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E2" w:rsidRPr="0006009D" w:rsidRDefault="007B7EE2" w:rsidP="00096303">
      <w:pPr>
        <w:pStyle w:val="Boldstem"/>
      </w:pPr>
      <w:bookmarkStart w:id="0" w:name="_GoBack"/>
      <w:bookmarkEnd w:id="0"/>
      <w:r w:rsidRPr="0006009D">
        <w:t>In</w:t>
      </w:r>
      <w:r w:rsidRPr="008E429D">
        <w:rPr>
          <w:rStyle w:val="Heading3Char"/>
          <w:bCs w:val="0"/>
          <w:sz w:val="22"/>
          <w:lang w:eastAsia="zh-TW"/>
        </w:rPr>
        <w:t>clu</w:t>
      </w:r>
      <w:r w:rsidRPr="0006009D">
        <w:t xml:space="preserve">de: </w:t>
      </w:r>
    </w:p>
    <w:p w:rsidR="00B36F63" w:rsidRPr="00601326" w:rsidRDefault="00B36F63" w:rsidP="00B36F63">
      <w:pPr>
        <w:pStyle w:val="Bulletslevel1"/>
      </w:pPr>
      <w:r w:rsidRPr="00601326">
        <w:t xml:space="preserve">a </w:t>
      </w:r>
      <w:r w:rsidRPr="005A0F3D">
        <w:t>variety of opportunities</w:t>
      </w:r>
      <w:r w:rsidRPr="00601326">
        <w:t xml:space="preserve"> to learn and apply the Ways of working throughout every unit. </w:t>
      </w:r>
    </w:p>
    <w:p w:rsidR="00B36F63" w:rsidRPr="00601326" w:rsidRDefault="00B36F63" w:rsidP="00B36F63">
      <w:pPr>
        <w:pStyle w:val="Bulletslevel1"/>
      </w:pPr>
      <w:r w:rsidRPr="00601326">
        <w:t xml:space="preserve">advice about using the </w:t>
      </w:r>
      <w:r w:rsidRPr="00ED51FA">
        <w:rPr>
          <w:i/>
        </w:rPr>
        <w:t>Essential Learnings</w:t>
      </w:r>
      <w:r w:rsidRPr="00601326">
        <w:t xml:space="preserve"> when planning for </w:t>
      </w:r>
      <w:r>
        <w:t>Languages</w:t>
      </w:r>
      <w:r w:rsidRPr="00601326">
        <w:t xml:space="preserve">: </w:t>
      </w:r>
    </w:p>
    <w:p w:rsidR="00452DE5" w:rsidRDefault="00B36F63" w:rsidP="00452DE5">
      <w:pPr>
        <w:pStyle w:val="Bulletslevel2"/>
      </w:pPr>
      <w:r>
        <w:t>Language has two</w:t>
      </w:r>
      <w:r w:rsidRPr="00601326">
        <w:t xml:space="preserve"> organisers — </w:t>
      </w:r>
      <w:r w:rsidRPr="00351FE6">
        <w:t>Comprehending and composing in languages and Intercultural competence and language awareness.</w:t>
      </w:r>
      <w:r w:rsidR="00452DE5">
        <w:t xml:space="preserve"> </w:t>
      </w:r>
    </w:p>
    <w:p w:rsidR="00B36F63" w:rsidRPr="00351FE6" w:rsidRDefault="00452DE5" w:rsidP="00452DE5">
      <w:pPr>
        <w:pStyle w:val="Bulletslevel2"/>
      </w:pPr>
      <w:r w:rsidRPr="00351FE6">
        <w:t xml:space="preserve">Consider the students in your class and their stages of language learning. Select </w:t>
      </w:r>
      <w:r w:rsidRPr="00452DE5">
        <w:rPr>
          <w:i/>
        </w:rPr>
        <w:t>Essential Learnings</w:t>
      </w:r>
      <w:r w:rsidRPr="00351FE6">
        <w:t xml:space="preserve"> from Beginner, Elementary </w:t>
      </w:r>
      <w:r>
        <w:t>and/</w:t>
      </w:r>
      <w:r w:rsidRPr="00351FE6">
        <w:t>or Lower Intermediate Stages.</w:t>
      </w:r>
    </w:p>
    <w:p w:rsidR="00B36F63" w:rsidRPr="00601326" w:rsidRDefault="00B36F63" w:rsidP="00B36F63">
      <w:pPr>
        <w:pStyle w:val="Bulletslevel2"/>
      </w:pPr>
      <w:r w:rsidRPr="00601326">
        <w:t xml:space="preserve">Select Knowledge and understanding from </w:t>
      </w:r>
      <w:r>
        <w:t>one or both of the organisers.</w:t>
      </w:r>
    </w:p>
    <w:p w:rsidR="00601823" w:rsidRDefault="00452DE5" w:rsidP="00452DE5">
      <w:pPr>
        <w:pStyle w:val="Bulletslevel2"/>
      </w:pPr>
      <w:r w:rsidRPr="00351FE6">
        <w:t>Locate the specific target language Knowledge and understanding for the Comprehending and composing in languages organiser</w:t>
      </w:r>
      <w:r w:rsidR="008A1C2F">
        <w:t xml:space="preserve">. These are listed in the </w:t>
      </w:r>
      <w:r w:rsidR="008A1C2F" w:rsidRPr="00351FE6">
        <w:t xml:space="preserve">Languages </w:t>
      </w:r>
      <w:r w:rsidR="00E9328F">
        <w:t>o</w:t>
      </w:r>
      <w:r w:rsidR="008A1C2F" w:rsidRPr="00351FE6">
        <w:t>ther than English (LOTE) curriculum</w:t>
      </w:r>
      <w:r w:rsidR="008A1C2F">
        <w:t xml:space="preserve"> </w:t>
      </w:r>
      <w:r w:rsidR="008A1C2F" w:rsidRPr="00351FE6">
        <w:t>materials for Chinese, French, German, Indonesian, Italian, Japanese and Korean.</w:t>
      </w:r>
      <w:r w:rsidR="008A1C2F">
        <w:t xml:space="preserve"> </w:t>
      </w:r>
      <w:r w:rsidR="00601823">
        <w:t>Visit &lt;www.qsa.qld.edu.au&gt;</w:t>
      </w:r>
      <w:r w:rsidR="00601823" w:rsidRPr="00351FE6">
        <w:t xml:space="preserve"> </w:t>
      </w:r>
      <w:r w:rsidR="00601823">
        <w:t xml:space="preserve">and search for “Language functions and elements”. </w:t>
      </w:r>
    </w:p>
    <w:p w:rsidR="00452DE5" w:rsidRPr="00601326" w:rsidRDefault="00452DE5" w:rsidP="00452DE5">
      <w:pPr>
        <w:pStyle w:val="Bulletslevel2"/>
      </w:pPr>
      <w:r>
        <w:t>The</w:t>
      </w:r>
      <w:r w:rsidRPr="00601326">
        <w:t xml:space="preserve"> Ways of working </w:t>
      </w:r>
      <w:r>
        <w:t xml:space="preserve">should be used </w:t>
      </w:r>
      <w:r w:rsidRPr="00601326">
        <w:t>in conjunction with Knowledge and understanding</w:t>
      </w:r>
      <w:r>
        <w:t>.</w:t>
      </w:r>
    </w:p>
    <w:p w:rsidR="001F2D3C" w:rsidRPr="00CC7EBB" w:rsidRDefault="00452DE5" w:rsidP="001F2D3C">
      <w:pPr>
        <w:pStyle w:val="Bulletslevel1"/>
      </w:pPr>
      <w:r w:rsidRPr="00601326">
        <w:t>information about how this course caters for learners in the middle phase of learning, e.g. how this course of study contributes to an engaging, broad and general education, with a continued focus on literacy, numeracy and embedding ICTs.</w:t>
      </w:r>
    </w:p>
    <w:tbl>
      <w:tblPr>
        <w:tblStyle w:val="TableGrid"/>
        <w:tblW w:w="1509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75"/>
        <w:gridCol w:w="1562"/>
        <w:gridCol w:w="2871"/>
        <w:gridCol w:w="3249"/>
        <w:gridCol w:w="2942"/>
        <w:gridCol w:w="2998"/>
      </w:tblGrid>
      <w:tr w:rsidR="00E570EB" w:rsidRPr="0089549E">
        <w:tc>
          <w:tcPr>
            <w:tcW w:w="1475" w:type="dxa"/>
            <w:tcBorders>
              <w:bottom w:val="single" w:sz="18" w:space="0" w:color="auto"/>
            </w:tcBorders>
            <w:shd w:val="clear" w:color="auto" w:fill="000000"/>
          </w:tcPr>
          <w:p w:rsidR="00E570EB" w:rsidRPr="00A57381" w:rsidRDefault="00E570EB" w:rsidP="00146DAC">
            <w:pPr>
              <w:rPr>
                <w:rFonts w:cs="Arial"/>
                <w:b/>
                <w:szCs w:val="22"/>
                <w:u w:val="single"/>
              </w:rPr>
            </w:pPr>
            <w:r w:rsidRPr="00A57381">
              <w:rPr>
                <w:rFonts w:cs="Arial"/>
                <w:b/>
                <w:szCs w:val="22"/>
              </w:rPr>
              <w:t>Year level/s:</w:t>
            </w:r>
          </w:p>
        </w:tc>
        <w:tc>
          <w:tcPr>
            <w:tcW w:w="1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A57381" w:rsidRDefault="00E570EB" w:rsidP="00414BB2">
            <w:pPr>
              <w:pStyle w:val="Tabletext"/>
            </w:pPr>
          </w:p>
        </w:tc>
        <w:tc>
          <w:tcPr>
            <w:tcW w:w="120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570EB" w:rsidRPr="00A57381" w:rsidRDefault="00E570EB" w:rsidP="00146DAC">
            <w:pPr>
              <w:rPr>
                <w:rFonts w:cs="Arial"/>
                <w:szCs w:val="22"/>
                <w:u w:val="single"/>
              </w:rPr>
            </w:pPr>
          </w:p>
        </w:tc>
      </w:tr>
      <w:tr w:rsidR="00E570EB" w:rsidRPr="0089549E">
        <w:tc>
          <w:tcPr>
            <w:tcW w:w="1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cs="Arial"/>
                <w:b/>
                <w:color w:val="FFFFFF"/>
                <w:szCs w:val="22"/>
              </w:rPr>
            </w:pPr>
            <w:r w:rsidRPr="00A57381">
              <w:rPr>
                <w:rFonts w:cs="Arial"/>
                <w:b/>
                <w:color w:val="FFFFFF"/>
                <w:szCs w:val="22"/>
              </w:rPr>
              <w:t>Time allocation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cs="Arial"/>
                <w:b/>
                <w:color w:val="FFFFFF"/>
                <w:szCs w:val="22"/>
                <w:u w:val="single"/>
              </w:rPr>
            </w:pPr>
            <w:r w:rsidRPr="00A57381">
              <w:rPr>
                <w:rFonts w:cs="Arial"/>
                <w:b/>
                <w:color w:val="FFFFFF"/>
                <w:szCs w:val="22"/>
              </w:rPr>
              <w:t>Unit title</w:t>
            </w:r>
          </w:p>
        </w:tc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570EB" w:rsidRPr="00A57381" w:rsidRDefault="00E570EB" w:rsidP="00146DAC">
            <w:pPr>
              <w:rPr>
                <w:rFonts w:cs="Arial"/>
                <w:b/>
                <w:i/>
                <w:szCs w:val="22"/>
              </w:rPr>
            </w:pPr>
            <w:r w:rsidRPr="00A57381">
              <w:rPr>
                <w:rFonts w:cs="Arial"/>
                <w:b/>
                <w:szCs w:val="22"/>
              </w:rPr>
              <w:t xml:space="preserve">Targeted </w:t>
            </w:r>
            <w:r w:rsidRPr="00A57381">
              <w:rPr>
                <w:rFonts w:cs="Arial"/>
                <w:b/>
                <w:i/>
                <w:szCs w:val="22"/>
              </w:rPr>
              <w:t>Essential Learnings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cs="Arial"/>
                <w:b/>
                <w:color w:val="FFFFFF"/>
                <w:szCs w:val="22"/>
                <w:u w:val="single"/>
              </w:rPr>
            </w:pPr>
            <w:r w:rsidRPr="00A57381">
              <w:rPr>
                <w:rFonts w:cs="Arial"/>
                <w:b/>
                <w:color w:val="FFFFFF"/>
                <w:szCs w:val="22"/>
              </w:rPr>
              <w:t>Unit overview topics</w:t>
            </w: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367C34" w:rsidP="00146DAC">
            <w:pPr>
              <w:rPr>
                <w:rFonts w:cs="Arial"/>
                <w:b/>
                <w:color w:val="FFFFFF"/>
                <w:szCs w:val="22"/>
                <w:u w:val="single"/>
              </w:rPr>
            </w:pPr>
            <w:r>
              <w:rPr>
                <w:rFonts w:cs="Arial"/>
                <w:b/>
                <w:color w:val="FFFFFF"/>
                <w:szCs w:val="22"/>
              </w:rPr>
              <w:t>Assessable elements A</w:t>
            </w:r>
            <w:r w:rsidR="00A909F7">
              <w:rPr>
                <w:rFonts w:cs="Arial"/>
                <w:b/>
                <w:color w:val="FFFFFF"/>
                <w:szCs w:val="22"/>
              </w:rPr>
              <w:t xml:space="preserve">ssessment </w:t>
            </w:r>
            <w:r w:rsidR="00E570EB" w:rsidRPr="00A57381">
              <w:rPr>
                <w:rFonts w:cs="Arial"/>
                <w:b/>
                <w:color w:val="FFFFFF"/>
                <w:szCs w:val="22"/>
              </w:rPr>
              <w:t xml:space="preserve">instruments </w:t>
            </w:r>
            <w:r>
              <w:rPr>
                <w:rFonts w:cs="Arial"/>
                <w:b/>
                <w:color w:val="FFFFFF"/>
                <w:szCs w:val="22"/>
              </w:rPr>
              <w:t>and</w:t>
            </w:r>
            <w:r w:rsidR="00E570EB" w:rsidRPr="00A57381">
              <w:rPr>
                <w:rFonts w:cs="Arial"/>
                <w:b/>
                <w:color w:val="FFFFFF"/>
                <w:szCs w:val="22"/>
              </w:rPr>
              <w:t xml:space="preserve"> techniques</w:t>
            </w:r>
          </w:p>
        </w:tc>
      </w:tr>
      <w:tr w:rsidR="00E570EB" w:rsidRPr="0089549E">
        <w:tc>
          <w:tcPr>
            <w:tcW w:w="1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Default="00E570EB" w:rsidP="00414BB2">
            <w:pPr>
              <w:pStyle w:val="Tabletext"/>
            </w:pPr>
          </w:p>
          <w:p w:rsidR="00E570EB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89549E" w:rsidRDefault="00E570EB" w:rsidP="00414BB2">
            <w:pPr>
              <w:pStyle w:val="Tabletext"/>
            </w:pPr>
          </w:p>
        </w:tc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F15" w:rsidRPr="00A9793F" w:rsidRDefault="00E570EB" w:rsidP="008E0F15">
            <w:pPr>
              <w:rPr>
                <w:rFonts w:cs="Arial"/>
                <w:b/>
                <w:sz w:val="20"/>
                <w:szCs w:val="20"/>
              </w:rPr>
            </w:pPr>
            <w:r w:rsidRPr="008D10F0">
              <w:rPr>
                <w:rFonts w:cs="Arial"/>
                <w:b/>
                <w:sz w:val="20"/>
                <w:szCs w:val="20"/>
              </w:rPr>
              <w:t>Ways of working</w:t>
            </w: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B</w:t>
            </w:r>
            <w:r w:rsidR="00697EB7" w:rsidRPr="008D10F0">
              <w:rPr>
                <w:b/>
              </w:rPr>
              <w:t>eginner</w:t>
            </w:r>
            <w:r w:rsidRPr="008D10F0">
              <w:rPr>
                <w:b/>
              </w:rPr>
              <w:t>:</w:t>
            </w: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E</w:t>
            </w:r>
            <w:r w:rsidR="00697EB7" w:rsidRPr="008D10F0">
              <w:rPr>
                <w:b/>
              </w:rPr>
              <w:t>lementary</w:t>
            </w:r>
            <w:r w:rsidRPr="008D10F0">
              <w:rPr>
                <w:b/>
              </w:rPr>
              <w:t>:</w:t>
            </w: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</w:p>
          <w:p w:rsidR="008E0F15" w:rsidRPr="008D10F0" w:rsidRDefault="008E0F15" w:rsidP="00697EB7">
            <w:pPr>
              <w:pStyle w:val="Tabletext"/>
              <w:rPr>
                <w:b/>
              </w:rPr>
            </w:pPr>
          </w:p>
          <w:p w:rsidR="00B90606" w:rsidRPr="008D10F0" w:rsidRDefault="00697EB7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Lower Intermediate</w:t>
            </w:r>
            <w:r w:rsidR="008E0F15" w:rsidRPr="008D10F0">
              <w:rPr>
                <w:b/>
              </w:rPr>
              <w:t>:</w:t>
            </w:r>
          </w:p>
          <w:p w:rsidR="00CC7EBB" w:rsidRPr="008D10F0" w:rsidRDefault="00CC7EBB" w:rsidP="00697EB7">
            <w:pPr>
              <w:pStyle w:val="Tabletext"/>
              <w:rPr>
                <w:b/>
              </w:rPr>
            </w:pPr>
          </w:p>
          <w:p w:rsidR="00CC7EBB" w:rsidRPr="008D10F0" w:rsidRDefault="00CC7EBB" w:rsidP="00697EB7">
            <w:pPr>
              <w:pStyle w:val="Tabletext"/>
              <w:rPr>
                <w:b/>
              </w:rPr>
            </w:pPr>
          </w:p>
        </w:tc>
        <w:tc>
          <w:tcPr>
            <w:tcW w:w="3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606" w:rsidRPr="00A9793F" w:rsidRDefault="00E570EB" w:rsidP="00A9793F">
            <w:pPr>
              <w:rPr>
                <w:b/>
                <w:sz w:val="20"/>
                <w:szCs w:val="20"/>
              </w:rPr>
            </w:pPr>
            <w:r w:rsidRPr="00A9793F">
              <w:rPr>
                <w:b/>
                <w:sz w:val="20"/>
                <w:szCs w:val="20"/>
              </w:rPr>
              <w:t>Knowledge and understanding</w:t>
            </w: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Beginner:</w:t>
            </w: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Elementary:</w:t>
            </w: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</w:p>
          <w:p w:rsidR="00697EB7" w:rsidRPr="008D10F0" w:rsidRDefault="00697EB7" w:rsidP="00697EB7">
            <w:pPr>
              <w:pStyle w:val="Tabletext"/>
              <w:rPr>
                <w:b/>
              </w:rPr>
            </w:pPr>
          </w:p>
          <w:p w:rsidR="008E0F15" w:rsidRPr="008D10F0" w:rsidRDefault="00697EB7" w:rsidP="00697EB7">
            <w:pPr>
              <w:pStyle w:val="Tabletext"/>
              <w:rPr>
                <w:b/>
              </w:rPr>
            </w:pPr>
            <w:r w:rsidRPr="008D10F0">
              <w:rPr>
                <w:b/>
              </w:rPr>
              <w:t>Lower Intermediate: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0EB" w:rsidRPr="0089549E" w:rsidRDefault="00E570EB" w:rsidP="00414BB2">
            <w:pPr>
              <w:pStyle w:val="Tabletext"/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70EB" w:rsidRPr="0089549E" w:rsidRDefault="00E570EB" w:rsidP="00414BB2">
            <w:pPr>
              <w:pStyle w:val="Tabletext"/>
            </w:pPr>
          </w:p>
        </w:tc>
      </w:tr>
    </w:tbl>
    <w:p w:rsidR="00B46C37" w:rsidRPr="00780218" w:rsidRDefault="00B46C37" w:rsidP="00CC7EBB">
      <w:pPr>
        <w:pStyle w:val="mediumspace"/>
      </w:pPr>
    </w:p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B46C37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B46C37" w:rsidRPr="00DD6543" w:rsidRDefault="008E0F15" w:rsidP="008E429D">
            <w:pPr>
              <w:pStyle w:val="Tableheaderwhite"/>
            </w:pPr>
            <w:r>
              <w:lastRenderedPageBreak/>
              <w:t>Languages</w:t>
            </w:r>
            <w:r w:rsidR="008F7661" w:rsidRPr="00DD6543">
              <w:t xml:space="preserve"> </w:t>
            </w:r>
            <w:r w:rsidR="00B46C37" w:rsidRPr="00DD6543">
              <w:t xml:space="preserve">course of study mapped to </w:t>
            </w:r>
            <w:r w:rsidR="00B46C37" w:rsidRPr="00DD6543">
              <w:rPr>
                <w:i/>
              </w:rPr>
              <w:t>Essential Learnings</w:t>
            </w:r>
            <w:r w:rsidR="00B46C37" w:rsidRPr="00DD6543">
              <w:t xml:space="preserve"> — Ways of working</w:t>
            </w:r>
          </w:p>
        </w:tc>
      </w:tr>
      <w:tr w:rsidR="00E92A75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E92A75" w:rsidRPr="007248D3" w:rsidRDefault="00E92A75" w:rsidP="00E92A75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8544B9" w:rsidRPr="002A245C">
        <w:tc>
          <w:tcPr>
            <w:tcW w:w="576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8544B9" w:rsidRPr="008544B9" w:rsidRDefault="00821D2E" w:rsidP="00E63FEC">
            <w:pPr>
              <w:pStyle w:val="STAGE"/>
              <w:rPr>
                <w:sz w:val="48"/>
                <w:szCs w:val="48"/>
              </w:rPr>
            </w:pPr>
            <w:r w:rsidRPr="008544B9">
              <w:t>B</w:t>
            </w:r>
            <w:r w:rsidRPr="00821D2E">
              <w:t>EGINN</w:t>
            </w:r>
            <w:r w:rsidRPr="00E63FEC">
              <w:t>E</w:t>
            </w:r>
            <w:r w:rsidRPr="00821D2E">
              <w:t>R</w:t>
            </w: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544B9" w:rsidRPr="007248D3" w:rsidRDefault="008544B9" w:rsidP="002A0FC2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8544B9" w:rsidRPr="002A245C">
        <w:trPr>
          <w:trHeight w:val="242"/>
        </w:trPr>
        <w:tc>
          <w:tcPr>
            <w:tcW w:w="576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544B9" w:rsidRPr="002A245C" w:rsidRDefault="008544B9" w:rsidP="005C62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44B9" w:rsidRPr="002A245C" w:rsidRDefault="008544B9" w:rsidP="00385A3C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44B9" w:rsidRPr="002A245C" w:rsidRDefault="008544B9" w:rsidP="00385A3C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E92A75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46C37" w:rsidRPr="008544B9" w:rsidRDefault="00B46C37" w:rsidP="008544B9">
            <w:pPr>
              <w:pStyle w:val="Heading1"/>
              <w:spacing w:before="0" w:after="0"/>
              <w:jc w:val="right"/>
              <w:rPr>
                <w:color w:val="C0C0C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6C37" w:rsidRPr="002A245C" w:rsidRDefault="00B46C37" w:rsidP="005C62D5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C37" w:rsidRPr="002A245C" w:rsidRDefault="00B46C37" w:rsidP="005C62D5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6C37" w:rsidRPr="002A245C" w:rsidRDefault="00B46C37" w:rsidP="005C62D5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C37" w:rsidRPr="002A245C" w:rsidRDefault="00B46C37" w:rsidP="005C62D5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E92A75" w:rsidRPr="002A245C">
        <w:trPr>
          <w:trHeight w:val="1229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2A75" w:rsidRPr="002A245C" w:rsidRDefault="00E92A75" w:rsidP="00E92A75">
            <w:pPr>
              <w:spacing w:before="120"/>
              <w:rPr>
                <w:rFonts w:cs="Arial"/>
                <w:b/>
                <w:sz w:val="36"/>
              </w:rPr>
            </w:pPr>
            <w:r w:rsidRPr="002A245C">
              <w:rPr>
                <w:rFonts w:cs="Arial"/>
                <w:b/>
                <w:sz w:val="36"/>
              </w:rPr>
              <w:t xml:space="preserve">Ways of </w:t>
            </w:r>
            <w:r>
              <w:rPr>
                <w:rFonts w:cs="Arial"/>
                <w:b/>
                <w:sz w:val="36"/>
              </w:rPr>
              <w:t>w</w:t>
            </w:r>
            <w:r w:rsidRPr="002A245C">
              <w:rPr>
                <w:rFonts w:cs="Arial"/>
                <w:b/>
                <w:sz w:val="36"/>
              </w:rPr>
              <w:t>ork</w:t>
            </w:r>
            <w:r w:rsidRPr="007248D3">
              <w:rPr>
                <w:rStyle w:val="CourseofstudyChar"/>
              </w:rPr>
              <w:t>ing</w:t>
            </w:r>
          </w:p>
          <w:p w:rsidR="00E92A75" w:rsidRPr="002A245C" w:rsidRDefault="00E92A75" w:rsidP="00E92A75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E92A75" w:rsidRPr="00E92A75" w:rsidRDefault="00E92A75" w:rsidP="00E92A75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  <w:tr w:rsidR="00E92A75" w:rsidRPr="002A245C">
        <w:trPr>
          <w:trHeight w:val="182"/>
        </w:trPr>
        <w:tc>
          <w:tcPr>
            <w:tcW w:w="5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A75" w:rsidRPr="002A245C" w:rsidRDefault="008E0F15" w:rsidP="00E92A75">
            <w:pPr>
              <w:spacing w:after="6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</w:rPr>
              <w:t>By the end of the Beginner stage s</w:t>
            </w:r>
            <w:r w:rsidRPr="0052109C">
              <w:rPr>
                <w:rFonts w:cs="Arial"/>
                <w:b/>
              </w:rPr>
              <w:t xml:space="preserve">tudents </w:t>
            </w:r>
            <w:r w:rsidR="00E92A75" w:rsidRPr="0052109C">
              <w:rPr>
                <w:rFonts w:cs="Arial"/>
                <w:b/>
              </w:rPr>
              <w:t>are able to: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E92A75" w:rsidRPr="002A245C" w:rsidRDefault="00E92A75" w:rsidP="00E92A75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  <w:tr w:rsidR="00E92A75" w:rsidRPr="002A245C">
        <w:trPr>
          <w:trHeight w:val="242"/>
        </w:trPr>
        <w:tc>
          <w:tcPr>
            <w:tcW w:w="57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DD6543" w:rsidRDefault="008E0F15" w:rsidP="00414BB2">
            <w:pPr>
              <w:pStyle w:val="Tablebulletslevel1"/>
            </w:pPr>
            <w:r w:rsidRPr="0019679E">
              <w:rPr>
                <w:rFonts w:cs="Arial"/>
              </w:rPr>
              <w:t>identify the purpose or main topic in simple spoken and written texts, using visual and verbal language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  <w:tr w:rsidR="00E92A7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DD6543" w:rsidRDefault="008E0F15" w:rsidP="00414BB2">
            <w:pPr>
              <w:pStyle w:val="Tablebulletslevel1"/>
            </w:pPr>
            <w:r w:rsidRPr="0019679E">
              <w:rPr>
                <w:rFonts w:cs="Arial"/>
              </w:rPr>
              <w:t>respond to familiar statements and questions in simple conversations and discussions, using key words, phrases and memorised material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  <w:tr w:rsidR="008E0F1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19679E" w:rsidRDefault="00181024" w:rsidP="00414BB2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identify and use non-verbal communication strategies in familiar contexts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</w:tr>
      <w:tr w:rsidR="008E0F1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19679E" w:rsidRDefault="00181024" w:rsidP="00414BB2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construct simple spoken and written texts in familiar contexts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</w:tr>
      <w:tr w:rsidR="008E0F1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19679E" w:rsidRDefault="00181024" w:rsidP="00414BB2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notice and compare aspects of the target language and English and/or other familiar languages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</w:tr>
      <w:tr w:rsidR="008E0F1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19679E" w:rsidRDefault="00181024" w:rsidP="00414BB2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notice and compare aspects of their own cultures and of the target cultures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0F15" w:rsidRPr="002A245C" w:rsidRDefault="008E0F15" w:rsidP="00414BB2">
            <w:pPr>
              <w:pStyle w:val="Tabletext"/>
            </w:pPr>
          </w:p>
        </w:tc>
      </w:tr>
      <w:tr w:rsidR="0018102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024" w:rsidRPr="0019679E" w:rsidRDefault="00181024" w:rsidP="00414BB2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reflect on and evaluate the suitability of language choices in familiar contexts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024" w:rsidRPr="002A245C" w:rsidRDefault="00181024" w:rsidP="00414BB2">
            <w:pPr>
              <w:pStyle w:val="Tabletext"/>
            </w:pPr>
          </w:p>
        </w:tc>
      </w:tr>
      <w:tr w:rsidR="00E92A75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DD6543" w:rsidRDefault="00181024" w:rsidP="00414BB2">
            <w:pPr>
              <w:pStyle w:val="Tablebulletslevel1"/>
            </w:pPr>
            <w:r w:rsidRPr="0019679E">
              <w:rPr>
                <w:rFonts w:cs="Arial"/>
              </w:rPr>
              <w:t>reflect on learning to identify new understandings and future applications.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</w:tbl>
    <w:p w:rsidR="008E429D" w:rsidRDefault="008E429D" w:rsidP="008E429D"/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B81B84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B81B84" w:rsidRPr="00DD6543" w:rsidRDefault="00B81B84" w:rsidP="00764D8A">
            <w:pPr>
              <w:pStyle w:val="Tableheaderwhite"/>
            </w:pPr>
            <w:r>
              <w:lastRenderedPageBreak/>
              <w:t>Languages</w:t>
            </w:r>
            <w:r w:rsidRPr="00DD6543">
              <w:t xml:space="preserve"> course of study mapped to </w:t>
            </w:r>
            <w:r w:rsidRPr="00DD6543">
              <w:rPr>
                <w:i/>
              </w:rPr>
              <w:t>Essential Learnings</w:t>
            </w:r>
            <w:r w:rsidRPr="00DD6543">
              <w:t xml:space="preserve"> — Ways of working</w:t>
            </w:r>
          </w:p>
        </w:tc>
      </w:tr>
      <w:tr w:rsidR="00B81B84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B81B84" w:rsidRPr="007248D3" w:rsidRDefault="00B81B84" w:rsidP="00764D8A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B81B84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E2446D" w:rsidRDefault="001D16C7" w:rsidP="00E63FEC">
            <w:pPr>
              <w:pStyle w:val="STAGE"/>
              <w:rPr>
                <w:sz w:val="28"/>
                <w:szCs w:val="28"/>
              </w:rPr>
            </w:pPr>
            <w:r>
              <w:t>ELEMENTARY</w:t>
            </w: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81B84" w:rsidRPr="007248D3" w:rsidRDefault="00B81B84" w:rsidP="00764D8A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B81B84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385A3C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385A3C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81B84" w:rsidRPr="002A245C" w:rsidRDefault="00B81B84" w:rsidP="00E63FEC">
            <w:pPr>
              <w:pStyle w:val="STAGE"/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B81B84" w:rsidRPr="002A245C">
        <w:trPr>
          <w:trHeight w:val="1229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1B84" w:rsidRPr="002A245C" w:rsidRDefault="00B81B84" w:rsidP="00764D8A">
            <w:pPr>
              <w:spacing w:before="120"/>
              <w:rPr>
                <w:rFonts w:cs="Arial"/>
                <w:b/>
                <w:sz w:val="36"/>
              </w:rPr>
            </w:pPr>
            <w:r w:rsidRPr="002A245C">
              <w:rPr>
                <w:rFonts w:cs="Arial"/>
                <w:b/>
                <w:sz w:val="36"/>
              </w:rPr>
              <w:t xml:space="preserve">Ways of </w:t>
            </w:r>
            <w:r>
              <w:rPr>
                <w:rFonts w:cs="Arial"/>
                <w:b/>
                <w:sz w:val="36"/>
              </w:rPr>
              <w:t>w</w:t>
            </w:r>
            <w:r w:rsidRPr="002A245C">
              <w:rPr>
                <w:rFonts w:cs="Arial"/>
                <w:b/>
                <w:sz w:val="36"/>
              </w:rPr>
              <w:t>ork</w:t>
            </w:r>
            <w:r w:rsidRPr="007248D3">
              <w:rPr>
                <w:rStyle w:val="CourseofstudyChar"/>
              </w:rPr>
              <w:t>ing</w:t>
            </w:r>
          </w:p>
          <w:p w:rsidR="00B81B84" w:rsidRPr="002A245C" w:rsidRDefault="00B81B84" w:rsidP="00764D8A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B81B84" w:rsidRPr="00E92A75" w:rsidRDefault="00B81B84" w:rsidP="00764D8A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182"/>
        </w:trPr>
        <w:tc>
          <w:tcPr>
            <w:tcW w:w="5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B84" w:rsidRPr="002A245C" w:rsidRDefault="00B81B84" w:rsidP="00764D8A">
            <w:pPr>
              <w:spacing w:after="6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</w:rPr>
              <w:t xml:space="preserve">By the end of the </w:t>
            </w:r>
            <w:r w:rsidR="00275D08">
              <w:rPr>
                <w:rFonts w:cs="Arial"/>
                <w:b/>
              </w:rPr>
              <w:t>Elementary</w:t>
            </w:r>
            <w:r>
              <w:rPr>
                <w:rFonts w:cs="Arial"/>
                <w:b/>
              </w:rPr>
              <w:t xml:space="preserve"> stage s</w:t>
            </w:r>
            <w:r w:rsidRPr="0052109C">
              <w:rPr>
                <w:rFonts w:cs="Arial"/>
                <w:b/>
              </w:rPr>
              <w:t>tudents are able to: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B81B84" w:rsidRPr="002A245C" w:rsidRDefault="00B81B84" w:rsidP="00764D8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DD6543" w:rsidRDefault="0055146B" w:rsidP="00764D8A">
            <w:pPr>
              <w:pStyle w:val="Tablebulletslevel1"/>
            </w:pPr>
            <w:r w:rsidRPr="0019679E">
              <w:rPr>
                <w:rFonts w:cs="Arial"/>
              </w:rPr>
              <w:t>interpret a range of spoken and written texts in different contexts where familiar and some unfamiliar language is used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DD6543" w:rsidRDefault="0055146B" w:rsidP="00764D8A">
            <w:pPr>
              <w:pStyle w:val="Tablebulletslevel1"/>
            </w:pPr>
            <w:r w:rsidRPr="0019679E">
              <w:rPr>
                <w:rFonts w:cs="Arial"/>
              </w:rPr>
              <w:t>interpret and respond by manipulating some elements of language to contribute to conversations for different purposes, contexts and audiences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recognise and use appropriate verbal and non-verbal language to support the development of communicative competence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select and apply strategies to adjust verbal and non-verbal language for a variety of purposes, contexts and audiences, and respond appropriately to feedback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construct simple, cohesive spoken and written texts for different contexts, displaying some concept of register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notice and compare similarities and differences between the target language and English and/or other familiar languages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notice and compare their own beliefs, attitudes and practices and those reflected in the target culture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55146B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146B" w:rsidRPr="0019679E" w:rsidRDefault="0055146B" w:rsidP="00764D8A">
            <w:pPr>
              <w:pStyle w:val="Tablebulletslevel1"/>
              <w:rPr>
                <w:rFonts w:cs="Arial"/>
              </w:rPr>
            </w:pPr>
            <w:r w:rsidRPr="0019679E">
              <w:rPr>
                <w:rFonts w:cs="Arial"/>
              </w:rPr>
              <w:t>reflect on and evaluate the suitability of language choices for purpose, context and audience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146B" w:rsidRPr="002A245C" w:rsidRDefault="0055146B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DD6543" w:rsidRDefault="0055146B" w:rsidP="00764D8A">
            <w:pPr>
              <w:pStyle w:val="Tablebulletslevel1"/>
            </w:pPr>
            <w:r w:rsidRPr="0019679E">
              <w:rPr>
                <w:rFonts w:cs="Arial"/>
              </w:rPr>
              <w:t>reflect on learning, apply new understandings and identify future applications.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275D08" w:rsidRPr="002A245C">
        <w:tc>
          <w:tcPr>
            <w:tcW w:w="15127" w:type="dxa"/>
            <w:gridSpan w:val="18"/>
            <w:tcBorders>
              <w:top w:val="nil"/>
              <w:left w:val="nil"/>
              <w:right w:val="nil"/>
            </w:tcBorders>
            <w:shd w:val="clear" w:color="auto" w:fill="737373"/>
          </w:tcPr>
          <w:p w:rsidR="00275D08" w:rsidRPr="00DD6543" w:rsidRDefault="00275D08" w:rsidP="00764D8A">
            <w:pPr>
              <w:pStyle w:val="Tableheaderwhite"/>
            </w:pPr>
            <w:r>
              <w:t>Languages</w:t>
            </w:r>
            <w:r w:rsidRPr="00DD6543">
              <w:t xml:space="preserve"> course of study mapped to </w:t>
            </w:r>
            <w:r w:rsidRPr="00DD6543">
              <w:rPr>
                <w:i/>
              </w:rPr>
              <w:t>Essential Learnings</w:t>
            </w:r>
            <w:r w:rsidRPr="00DD6543">
              <w:t xml:space="preserve"> — Ways of working</w:t>
            </w:r>
          </w:p>
        </w:tc>
      </w:tr>
      <w:tr w:rsidR="00275D08" w:rsidRPr="002A245C">
        <w:tc>
          <w:tcPr>
            <w:tcW w:w="15127" w:type="dxa"/>
            <w:gridSpan w:val="18"/>
            <w:tcBorders>
              <w:left w:val="nil"/>
            </w:tcBorders>
            <w:shd w:val="clear" w:color="auto" w:fill="auto"/>
          </w:tcPr>
          <w:p w:rsidR="00275D08" w:rsidRPr="007248D3" w:rsidRDefault="00275D08" w:rsidP="00764D8A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275D08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75D08" w:rsidRPr="00E2446D" w:rsidRDefault="001D16C7" w:rsidP="00E63FEC">
            <w:pPr>
              <w:pStyle w:val="STAGE"/>
              <w:rPr>
                <w:szCs w:val="28"/>
              </w:rPr>
            </w:pPr>
            <w:r>
              <w:t>LOWER INTERMEDIATE</w:t>
            </w: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275D08" w:rsidRPr="007248D3" w:rsidRDefault="00275D08" w:rsidP="00764D8A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275D08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75D08" w:rsidRPr="002A245C" w:rsidRDefault="00275D08" w:rsidP="00764D8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5D08" w:rsidRPr="002A245C" w:rsidRDefault="00275D08" w:rsidP="00385A3C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5D08" w:rsidRPr="002A245C" w:rsidRDefault="00275D08" w:rsidP="00385A3C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275D08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75D08" w:rsidRPr="002A245C" w:rsidRDefault="00275D08" w:rsidP="00E63FEC">
            <w:pPr>
              <w:pStyle w:val="STAGE"/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75D08" w:rsidRPr="002A245C" w:rsidRDefault="00275D08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275D08" w:rsidRPr="002A245C">
        <w:trPr>
          <w:trHeight w:val="1229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D08" w:rsidRPr="002A245C" w:rsidRDefault="00275D08" w:rsidP="00764D8A">
            <w:pPr>
              <w:spacing w:before="120"/>
              <w:rPr>
                <w:rFonts w:cs="Arial"/>
                <w:b/>
                <w:sz w:val="36"/>
              </w:rPr>
            </w:pPr>
            <w:r w:rsidRPr="002A245C">
              <w:rPr>
                <w:rFonts w:cs="Arial"/>
                <w:b/>
                <w:sz w:val="36"/>
              </w:rPr>
              <w:t xml:space="preserve">Ways of </w:t>
            </w:r>
            <w:r>
              <w:rPr>
                <w:rFonts w:cs="Arial"/>
                <w:b/>
                <w:sz w:val="36"/>
              </w:rPr>
              <w:t>w</w:t>
            </w:r>
            <w:r w:rsidRPr="002A245C">
              <w:rPr>
                <w:rFonts w:cs="Arial"/>
                <w:b/>
                <w:sz w:val="36"/>
              </w:rPr>
              <w:t>ork</w:t>
            </w:r>
            <w:r w:rsidRPr="007248D3">
              <w:rPr>
                <w:rStyle w:val="CourseofstudyChar"/>
              </w:rPr>
              <w:t>ing</w:t>
            </w:r>
          </w:p>
          <w:p w:rsidR="00275D08" w:rsidRPr="002A245C" w:rsidRDefault="00275D08" w:rsidP="00764D8A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275D08" w:rsidRPr="00E92A75" w:rsidRDefault="00275D08" w:rsidP="00764D8A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E92A75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E92A75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E92A75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5D08" w:rsidRPr="00E92A75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</w:tr>
      <w:tr w:rsidR="00275D08" w:rsidRPr="002A245C">
        <w:trPr>
          <w:trHeight w:val="534"/>
        </w:trPr>
        <w:tc>
          <w:tcPr>
            <w:tcW w:w="5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D08" w:rsidRPr="002A245C" w:rsidRDefault="00275D08" w:rsidP="00764D8A">
            <w:pPr>
              <w:spacing w:after="6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</w:rPr>
              <w:t>By the end of the Lower Intermediate stage s</w:t>
            </w:r>
            <w:r w:rsidRPr="0052109C">
              <w:rPr>
                <w:rFonts w:cs="Arial"/>
                <w:b/>
              </w:rPr>
              <w:t>tudents are able to: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275D08" w:rsidRPr="002A245C" w:rsidRDefault="00275D08" w:rsidP="00764D8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08" w:rsidRPr="002A245C" w:rsidRDefault="00275D08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interpret ideas and information in spoken and written texts and make judgments about the ways that people, places, events and things are represented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locate, analyse and respond in the target language to information on topics and issues of significance to members of the target cultures of a similar age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plan, monitor and adjust verbal and non-verbal language to suit the role, purpose, context and audience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construct spoken and written texts that present an argument, perspective or opinion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recognise that texts are culturally constructed, and analyse embedded cultural information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notice and compare similarities and differences in text formats, language and style between similar texts in the target language and English, and/or other familiar languages, to inform intercultural communication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notice and compare beliefs, values and practices in target language texts to identify the author’s purpose and audience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reflect on and evaluate the appropriateness of their own and others’ language choices in target language texts for purpose, context and audience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410959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959" w:rsidRPr="006F1963" w:rsidRDefault="00410959" w:rsidP="00410959">
            <w:pPr>
              <w:pStyle w:val="Tablebulletslevel1"/>
            </w:pPr>
            <w:r w:rsidRPr="006F1963">
              <w:t>reflect on and evaluate learning to evaluate and apply new understandings and future applications.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959" w:rsidRPr="002A245C" w:rsidRDefault="00410959" w:rsidP="00764D8A">
            <w:pPr>
              <w:pStyle w:val="Tabletext"/>
            </w:pPr>
          </w:p>
        </w:tc>
      </w:tr>
      <w:tr w:rsidR="008E429D" w:rsidRPr="002A245C">
        <w:tc>
          <w:tcPr>
            <w:tcW w:w="15127" w:type="dxa"/>
            <w:gridSpan w:val="18"/>
            <w:tcBorders>
              <w:top w:val="nil"/>
              <w:left w:val="nil"/>
              <w:right w:val="nil"/>
            </w:tcBorders>
            <w:shd w:val="clear" w:color="auto" w:fill="737373"/>
          </w:tcPr>
          <w:p w:rsidR="008E429D" w:rsidRPr="0035586E" w:rsidRDefault="00181024" w:rsidP="008E429D">
            <w:pPr>
              <w:pStyle w:val="Tableheaderwhite"/>
              <w:rPr>
                <w:sz w:val="33"/>
                <w:szCs w:val="33"/>
              </w:rPr>
            </w:pPr>
            <w:r w:rsidRPr="0035586E">
              <w:rPr>
                <w:sz w:val="33"/>
                <w:szCs w:val="33"/>
              </w:rPr>
              <w:t>Languages</w:t>
            </w:r>
            <w:r w:rsidR="008E429D" w:rsidRPr="0035586E">
              <w:rPr>
                <w:sz w:val="33"/>
                <w:szCs w:val="33"/>
              </w:rPr>
              <w:t xml:space="preserve"> course </w:t>
            </w:r>
            <w:r w:rsidR="008E429D" w:rsidRPr="0035586E">
              <w:rPr>
                <w:rStyle w:val="tableheaderwhite165ptChar"/>
              </w:rPr>
              <w:t>of study</w:t>
            </w:r>
            <w:r w:rsidR="008E429D" w:rsidRPr="0035586E">
              <w:rPr>
                <w:sz w:val="33"/>
                <w:szCs w:val="33"/>
              </w:rPr>
              <w:t xml:space="preserve"> mapped to </w:t>
            </w:r>
            <w:r w:rsidR="008E429D" w:rsidRPr="0035586E">
              <w:rPr>
                <w:i/>
                <w:sz w:val="33"/>
                <w:szCs w:val="33"/>
              </w:rPr>
              <w:t>Essential Learnings</w:t>
            </w:r>
            <w:r w:rsidR="008E429D" w:rsidRPr="0035586E">
              <w:rPr>
                <w:sz w:val="33"/>
                <w:szCs w:val="33"/>
              </w:rPr>
              <w:t xml:space="preserve"> — Knowledge and understanding</w:t>
            </w:r>
          </w:p>
        </w:tc>
      </w:tr>
      <w:tr w:rsidR="008E429D" w:rsidRPr="002A245C">
        <w:tc>
          <w:tcPr>
            <w:tcW w:w="15127" w:type="dxa"/>
            <w:gridSpan w:val="18"/>
            <w:tcBorders>
              <w:left w:val="nil"/>
            </w:tcBorders>
            <w:shd w:val="clear" w:color="auto" w:fill="auto"/>
          </w:tcPr>
          <w:p w:rsidR="008E429D" w:rsidRPr="007248D3" w:rsidRDefault="008E429D" w:rsidP="00146DAC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8E429D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E429D" w:rsidRPr="00E2446D" w:rsidRDefault="00FE02C1" w:rsidP="00FE02C1">
            <w:pPr>
              <w:pStyle w:val="STAGE"/>
              <w:rPr>
                <w:sz w:val="28"/>
                <w:szCs w:val="28"/>
              </w:rPr>
            </w:pPr>
            <w:r w:rsidRPr="008544B9">
              <w:t>B</w:t>
            </w:r>
            <w:r w:rsidRPr="00821D2E">
              <w:t>EGINN</w:t>
            </w:r>
            <w:r w:rsidRPr="00E63FEC">
              <w:t>E</w:t>
            </w:r>
            <w:r w:rsidRPr="00821D2E">
              <w:t>R</w:t>
            </w: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E429D" w:rsidRPr="007248D3" w:rsidRDefault="008E429D" w:rsidP="002A0FC2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8E429D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429D" w:rsidRPr="002A245C" w:rsidRDefault="008E429D" w:rsidP="00FE02C1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429D" w:rsidRPr="002A245C" w:rsidRDefault="008E429D" w:rsidP="00FE02C1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8E429D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8E429D" w:rsidRPr="002A245C">
        <w:trPr>
          <w:trHeight w:val="1611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spacing w:before="12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Knowledge and understanding</w:t>
            </w:r>
          </w:p>
          <w:p w:rsidR="008E429D" w:rsidRPr="002A245C" w:rsidRDefault="008E429D" w:rsidP="00146DAC">
            <w:pPr>
              <w:spacing w:after="60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8E429D" w:rsidRPr="00E92A75" w:rsidRDefault="008E429D" w:rsidP="00146DAC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</w:tr>
      <w:tr w:rsidR="008E429D" w:rsidRPr="002A245C">
        <w:trPr>
          <w:trHeight w:val="242"/>
        </w:trPr>
        <w:tc>
          <w:tcPr>
            <w:tcW w:w="15127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901FD" w:rsidRPr="00D739B5" w:rsidRDefault="002901FD" w:rsidP="002901FD">
            <w:pPr>
              <w:pStyle w:val="Organiser"/>
            </w:pPr>
            <w:r w:rsidRPr="00D739B5">
              <w:t>Comprehending and composing in the target language</w:t>
            </w:r>
          </w:p>
          <w:p w:rsidR="00096303" w:rsidRPr="00096303" w:rsidRDefault="002901FD" w:rsidP="002901FD">
            <w:pPr>
              <w:pStyle w:val="Boldstatement"/>
            </w:pPr>
            <w:r w:rsidRPr="00D739B5">
              <w:t>Comprehending and composing skills are used to understand language input, to convey</w:t>
            </w:r>
            <w:r>
              <w:t xml:space="preserve"> </w:t>
            </w:r>
            <w:r w:rsidRPr="00D739B5">
              <w:t>information and to express ideas in response to needs and interests.</w:t>
            </w:r>
          </w:p>
        </w:tc>
      </w:tr>
      <w:tr w:rsidR="008E429D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DD6543" w:rsidRDefault="002901FD" w:rsidP="002901FD">
            <w:pPr>
              <w:pStyle w:val="Tablebulletslevel1"/>
            </w:pPr>
            <w:r w:rsidRPr="00D739B5">
              <w:t>Verbal language and non-verbal language are used in simple, routine exchanges to negotiate</w:t>
            </w:r>
            <w:r>
              <w:t xml:space="preserve"> </w:t>
            </w:r>
            <w:r w:rsidRPr="00D739B5">
              <w:t>meaning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</w:tr>
      <w:tr w:rsidR="008E429D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2901FD" w:rsidRDefault="002901FD" w:rsidP="002901FD">
            <w:pPr>
              <w:pStyle w:val="Tablebulletslevel1"/>
              <w:rPr>
                <w:rFonts w:cs="Arial"/>
                <w:sz w:val="16"/>
                <w:szCs w:val="16"/>
              </w:rPr>
            </w:pPr>
            <w:r w:rsidRPr="00D739B5">
              <w:t>Language forms, functions, grammar and vocabulary are combined with process skills and</w:t>
            </w:r>
            <w:r>
              <w:t xml:space="preserve"> </w:t>
            </w:r>
            <w:r w:rsidRPr="00D739B5">
              <w:t>strategies to make meaning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</w:tr>
      <w:tr w:rsidR="002901FD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01FD" w:rsidRPr="00D739B5" w:rsidRDefault="002901FD" w:rsidP="002901FD">
            <w:pPr>
              <w:pStyle w:val="Tablebulletslevel1"/>
            </w:pPr>
            <w:r w:rsidRPr="00D739B5">
              <w:t>Listening for and locating key words and phrases, and using memorised material helps to make</w:t>
            </w:r>
            <w:r w:rsidR="00567BCA">
              <w:t xml:space="preserve"> </w:t>
            </w:r>
            <w:r w:rsidRPr="00D739B5">
              <w:t>meaning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01FD" w:rsidRPr="002A245C" w:rsidRDefault="002901FD" w:rsidP="00414BB2">
            <w:pPr>
              <w:pStyle w:val="Tabletext"/>
            </w:pPr>
          </w:p>
        </w:tc>
      </w:tr>
      <w:tr w:rsidR="008E429D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901FD" w:rsidRDefault="002901FD" w:rsidP="002901FD">
            <w:pPr>
              <w:pStyle w:val="Tablebulletslevel1"/>
            </w:pPr>
            <w:r w:rsidRPr="002901FD">
              <w:t>Manipulating known language helps to make meaning in different contexts.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</w:tr>
      <w:tr w:rsidR="00745A9A" w:rsidRPr="002A245C">
        <w:trPr>
          <w:trHeight w:val="242"/>
        </w:trPr>
        <w:tc>
          <w:tcPr>
            <w:tcW w:w="15127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901FD" w:rsidRPr="00D739B5" w:rsidRDefault="002901FD" w:rsidP="002901FD">
            <w:pPr>
              <w:pStyle w:val="Organiser"/>
            </w:pPr>
            <w:r w:rsidRPr="00D739B5">
              <w:t>Intercultural competence and language awareness</w:t>
            </w:r>
          </w:p>
          <w:p w:rsidR="00745A9A" w:rsidRPr="002901FD" w:rsidRDefault="002901FD" w:rsidP="002901FD">
            <w:pPr>
              <w:pStyle w:val="Boldstatement"/>
            </w:pPr>
            <w:r w:rsidRPr="00D739B5">
              <w:t>Noticing and comparing similarities and differences between languages and cultures informs</w:t>
            </w:r>
            <w:r>
              <w:t xml:space="preserve"> </w:t>
            </w:r>
            <w:r w:rsidRPr="00D739B5">
              <w:t>intercultural communication.</w:t>
            </w:r>
          </w:p>
        </w:tc>
      </w:tr>
      <w:tr w:rsidR="00745A9A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Default="002901FD" w:rsidP="002901FD">
            <w:pPr>
              <w:pStyle w:val="Tablebulletslevel1"/>
            </w:pPr>
            <w:r w:rsidRPr="00D739B5">
              <w:t>Learning languages provides insights into one’s own languages and the target language, and how</w:t>
            </w:r>
            <w:r>
              <w:t xml:space="preserve"> </w:t>
            </w:r>
            <w:r w:rsidRPr="00D739B5">
              <w:t>concepts are expressed across languages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</w:tr>
      <w:tr w:rsidR="00745A9A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Pr="0073553D" w:rsidRDefault="0073553D" w:rsidP="0073553D">
            <w:pPr>
              <w:pStyle w:val="Tablebulletslevel1"/>
            </w:pPr>
            <w:r w:rsidRPr="0073553D">
              <w:t>Ways of using language provide information about cultures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A9A" w:rsidRPr="002A245C" w:rsidRDefault="00745A9A" w:rsidP="00414BB2">
            <w:pPr>
              <w:pStyle w:val="Tabletext"/>
            </w:pPr>
          </w:p>
        </w:tc>
      </w:tr>
      <w:tr w:rsidR="0073553D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3D" w:rsidRPr="00782335" w:rsidRDefault="0073553D" w:rsidP="0073553D">
            <w:pPr>
              <w:pStyle w:val="Tablebulletslevel1"/>
            </w:pPr>
            <w:r w:rsidRPr="00D739B5">
              <w:t>Languages and cultural practices have particular features, conventions, patterns and practices that</w:t>
            </w:r>
            <w:r>
              <w:t xml:space="preserve"> </w:t>
            </w:r>
            <w:r w:rsidRPr="00D739B5">
              <w:t>may be similar to or different from one’s own language and culture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3D" w:rsidRPr="002A245C" w:rsidRDefault="0073553D" w:rsidP="00414BB2">
            <w:pPr>
              <w:pStyle w:val="Tabletext"/>
            </w:pPr>
          </w:p>
        </w:tc>
      </w:tr>
    </w:tbl>
    <w:p w:rsidR="008E429D" w:rsidRDefault="008E429D" w:rsidP="008E429D"/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B81B84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B81B84" w:rsidRPr="008E429D" w:rsidRDefault="00B81B84" w:rsidP="0035586E">
            <w:pPr>
              <w:pStyle w:val="tableheaderwhite165pt"/>
            </w:pPr>
            <w:r>
              <w:t>Languages</w:t>
            </w:r>
            <w:r w:rsidRPr="008E429D">
              <w:t xml:space="preserve"> course of study mapped to </w:t>
            </w:r>
            <w:r w:rsidRPr="008E429D">
              <w:rPr>
                <w:i/>
              </w:rPr>
              <w:t>Essential Learnings</w:t>
            </w:r>
            <w:r w:rsidRPr="008E429D">
              <w:t xml:space="preserve"> — Knowledge and understanding</w:t>
            </w:r>
          </w:p>
        </w:tc>
      </w:tr>
      <w:tr w:rsidR="00B81B84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B81B84" w:rsidRPr="007248D3" w:rsidRDefault="00B81B84" w:rsidP="00764D8A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B81B84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E2446D" w:rsidRDefault="00FE02C1" w:rsidP="00FE02C1">
            <w:pPr>
              <w:pStyle w:val="STAGE"/>
              <w:rPr>
                <w:sz w:val="28"/>
                <w:szCs w:val="28"/>
              </w:rPr>
            </w:pPr>
            <w:r>
              <w:t>ELEMENTARY</w:t>
            </w: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81B84" w:rsidRPr="007248D3" w:rsidRDefault="00B81B84" w:rsidP="00764D8A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B81B84" w:rsidRPr="002A245C">
        <w:trPr>
          <w:trHeight w:val="38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FE02C1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FE02C1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B81B84" w:rsidRPr="002A245C">
        <w:trPr>
          <w:trHeight w:val="1611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B84" w:rsidRPr="002A245C" w:rsidRDefault="00B81B84" w:rsidP="00764D8A">
            <w:pPr>
              <w:spacing w:before="12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Knowledge and understanding</w:t>
            </w:r>
          </w:p>
          <w:p w:rsidR="00B81B84" w:rsidRPr="002A245C" w:rsidRDefault="00B81B84" w:rsidP="00764D8A">
            <w:pPr>
              <w:spacing w:after="60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B81B84" w:rsidRPr="00E92A75" w:rsidRDefault="00B81B84" w:rsidP="00764D8A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15127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01563A" w:rsidRPr="00D739B5" w:rsidRDefault="0001563A" w:rsidP="0001563A">
            <w:pPr>
              <w:pStyle w:val="Organiser"/>
            </w:pPr>
            <w:r w:rsidRPr="00D739B5">
              <w:t>Comprehending and composing in the target language</w:t>
            </w:r>
          </w:p>
          <w:p w:rsidR="00B81B84" w:rsidRPr="00096303" w:rsidRDefault="0001563A" w:rsidP="0001563A">
            <w:pPr>
              <w:pStyle w:val="Boldstatement"/>
            </w:pPr>
            <w:r w:rsidRPr="00D739B5">
              <w:t>Comprehending and composing skills are used to understand language input, to convey information</w:t>
            </w:r>
            <w:r>
              <w:t xml:space="preserve"> </w:t>
            </w:r>
            <w:r w:rsidRPr="00D739B5">
              <w:t>and express ideas</w:t>
            </w:r>
            <w:r>
              <w:t xml:space="preserve"> and opinions, and to engage in </w:t>
            </w:r>
            <w:r w:rsidRPr="00D739B5">
              <w:t>interactions in the target language for different</w:t>
            </w:r>
            <w:r>
              <w:t xml:space="preserve"> </w:t>
            </w:r>
            <w:r w:rsidRPr="00D739B5">
              <w:t>purposes, contexts and audiences.</w:t>
            </w: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01563A" w:rsidRDefault="0001563A" w:rsidP="0001563A">
            <w:pPr>
              <w:pStyle w:val="Tablebulletslevel1"/>
            </w:pPr>
            <w:r w:rsidRPr="0001563A">
              <w:t>Verbal language and non-verbal language are adapted according to purpose, context and audience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  <w:tr w:rsidR="00B81B84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01563A" w:rsidRDefault="0001563A" w:rsidP="0001563A">
            <w:pPr>
              <w:pStyle w:val="Tablebulletslevel1"/>
              <w:rPr>
                <w:rFonts w:cs="Arial"/>
                <w:sz w:val="16"/>
                <w:szCs w:val="16"/>
              </w:rPr>
            </w:pPr>
            <w:r w:rsidRPr="00D739B5">
              <w:t>Texts, including conversations and narratives, follow patterns and are shaped by conventions that</w:t>
            </w:r>
            <w:r>
              <w:t xml:space="preserve"> </w:t>
            </w:r>
            <w:r w:rsidRPr="00D739B5">
              <w:t>can vary between cultures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01563A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563A" w:rsidRPr="005B1D20" w:rsidRDefault="0001563A" w:rsidP="0001563A">
            <w:pPr>
              <w:pStyle w:val="Tablebulletslevel1"/>
            </w:pPr>
            <w:r w:rsidRPr="005B1D20">
              <w:t>Familiar language can be used in new contexts to help interpret and convey main ideas and supporting details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1563A" w:rsidRDefault="0001563A" w:rsidP="00764D8A"/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01563A" w:rsidRDefault="0001563A" w:rsidP="00764D8A"/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63A" w:rsidRDefault="0001563A" w:rsidP="00764D8A"/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1563A" w:rsidRDefault="0001563A" w:rsidP="00764D8A"/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B81B84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B84" w:rsidRPr="00534FD9" w:rsidRDefault="00534FD9" w:rsidP="00534FD9">
            <w:pPr>
              <w:pStyle w:val="Tablebulletslevel1"/>
              <w:rPr>
                <w:rFonts w:cs="Arial"/>
                <w:sz w:val="16"/>
                <w:szCs w:val="16"/>
              </w:rPr>
            </w:pPr>
            <w:r w:rsidRPr="00D739B5">
              <w:t>Familiar linguistic features and structures are manipulated to generate original target language</w:t>
            </w:r>
            <w:r>
              <w:t xml:space="preserve"> </w:t>
            </w:r>
            <w:r w:rsidRPr="00D739B5">
              <w:t>texts and to construct simple, cohesive texts for different purposes, contexts and audiences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666FCD" w:rsidRPr="002A245C">
        <w:trPr>
          <w:trHeight w:val="242"/>
        </w:trPr>
        <w:tc>
          <w:tcPr>
            <w:tcW w:w="15127" w:type="dxa"/>
            <w:gridSpan w:val="17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66FCD" w:rsidRPr="00666FCD" w:rsidRDefault="00666FCD" w:rsidP="00666FCD">
            <w:pPr>
              <w:pStyle w:val="Organiser"/>
            </w:pPr>
            <w:r w:rsidRPr="00666FCD">
              <w:t>Intercultural competence and language awareness</w:t>
            </w:r>
          </w:p>
          <w:p w:rsidR="00666FCD" w:rsidRPr="002A245C" w:rsidRDefault="00666FCD" w:rsidP="00666FCD">
            <w:pPr>
              <w:pStyle w:val="Boldstatement"/>
            </w:pPr>
            <w:r w:rsidRPr="00666FCD">
              <w:t>Intercultural competence and knowledge of languages and cultures allow for exploration of different ways of experiencing and acting in the world.</w:t>
            </w:r>
          </w:p>
        </w:tc>
      </w:tr>
      <w:tr w:rsidR="00534FD9" w:rsidRPr="002A245C">
        <w:trPr>
          <w:trHeight w:val="242"/>
        </w:trPr>
        <w:tc>
          <w:tcPr>
            <w:tcW w:w="576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D739B5" w:rsidRDefault="00534FD9" w:rsidP="00534FD9">
            <w:pPr>
              <w:pStyle w:val="Tablebulletslevel1"/>
            </w:pPr>
            <w:r w:rsidRPr="00D739B5">
              <w:t>Ideas or information may or may not be transferable from one language to another and can</w:t>
            </w:r>
            <w:r>
              <w:t xml:space="preserve"> </w:t>
            </w:r>
            <w:r w:rsidRPr="00D739B5">
              <w:t>provide cultural insights and information</w:t>
            </w:r>
            <w:r>
              <w:t>.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</w:tr>
      <w:tr w:rsidR="00534FD9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D739B5" w:rsidRDefault="00534FD9" w:rsidP="00534FD9">
            <w:pPr>
              <w:pStyle w:val="Tablebulletslevel1"/>
            </w:pPr>
            <w:r w:rsidRPr="00D739B5">
              <w:t>Cultural practices in the target language can be compared with those of other cultures and</w:t>
            </w:r>
            <w:r>
              <w:t xml:space="preserve"> </w:t>
            </w:r>
            <w:r w:rsidRPr="00D739B5">
              <w:t>connections noticed between language use and cultural knowledge and behaviour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</w:tr>
      <w:tr w:rsidR="00534FD9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D739B5" w:rsidRDefault="00534FD9" w:rsidP="00534FD9">
            <w:pPr>
              <w:pStyle w:val="Tablebulletslevel1"/>
            </w:pPr>
            <w:r w:rsidRPr="00D739B5">
              <w:t>Investigations into language use and cultural beliefs, attitudes and practices further develop</w:t>
            </w:r>
            <w:r>
              <w:t xml:space="preserve"> </w:t>
            </w:r>
            <w:r w:rsidRPr="00D739B5">
              <w:t>intercultural competence</w:t>
            </w:r>
            <w:r>
              <w:t>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764D8A">
            <w:pPr>
              <w:pStyle w:val="Tabletext"/>
            </w:pPr>
          </w:p>
        </w:tc>
      </w:tr>
    </w:tbl>
    <w:p w:rsidR="00542FB1" w:rsidRDefault="00542FB1" w:rsidP="00542FB1"/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B81B84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B81B84" w:rsidRPr="008E429D" w:rsidRDefault="00B81B84" w:rsidP="0035586E">
            <w:pPr>
              <w:pStyle w:val="tableheaderwhite165pt"/>
            </w:pPr>
            <w:r>
              <w:t>Languages</w:t>
            </w:r>
            <w:r w:rsidRPr="008E429D">
              <w:t xml:space="preserve"> course of study mapped to </w:t>
            </w:r>
            <w:r w:rsidRPr="008E429D">
              <w:rPr>
                <w:i/>
              </w:rPr>
              <w:t>Essential Learnings</w:t>
            </w:r>
            <w:r w:rsidRPr="008E429D">
              <w:t xml:space="preserve"> — Knowledge and understanding</w:t>
            </w:r>
          </w:p>
        </w:tc>
      </w:tr>
      <w:tr w:rsidR="00B81B84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B81B84" w:rsidRPr="007248D3" w:rsidRDefault="00B81B84" w:rsidP="00764D8A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23"/>
        <w:gridCol w:w="4617"/>
        <w:gridCol w:w="4687"/>
      </w:tblGrid>
      <w:tr w:rsidR="00B81B84" w:rsidRPr="002A245C">
        <w:tc>
          <w:tcPr>
            <w:tcW w:w="582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E2446D" w:rsidRDefault="00FE02C1" w:rsidP="003842CC">
            <w:pPr>
              <w:pStyle w:val="STAGE"/>
              <w:rPr>
                <w:sz w:val="28"/>
                <w:szCs w:val="28"/>
              </w:rPr>
            </w:pPr>
            <w:r>
              <w:t>LOWER INTERMEDIATE</w:t>
            </w:r>
          </w:p>
        </w:tc>
        <w:tc>
          <w:tcPr>
            <w:tcW w:w="93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81B84" w:rsidRPr="007248D3" w:rsidRDefault="00B81B84" w:rsidP="003842CC">
            <w:pPr>
              <w:pStyle w:val="Heading2Table"/>
              <w:spacing w:before="0" w:after="0"/>
              <w:rPr>
                <w:sz w:val="22"/>
              </w:rPr>
            </w:pPr>
            <w:r w:rsidRPr="007248D3">
              <w:t>Units of work</w:t>
            </w:r>
          </w:p>
        </w:tc>
      </w:tr>
      <w:tr w:rsidR="00B81B84" w:rsidRPr="002A245C">
        <w:trPr>
          <w:trHeight w:val="38"/>
        </w:trPr>
        <w:tc>
          <w:tcPr>
            <w:tcW w:w="582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3842CC">
            <w:pPr>
              <w:pStyle w:val="Heading3"/>
              <w:spacing w:before="0" w:after="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1B84" w:rsidRPr="002A245C" w:rsidRDefault="00B81B84" w:rsidP="003842CC">
            <w:pPr>
              <w:pStyle w:val="Heading3"/>
              <w:spacing w:before="0" w:after="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20"/>
        <w:gridCol w:w="503"/>
        <w:gridCol w:w="522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B81B84" w:rsidRPr="002A245C">
        <w:trPr>
          <w:trHeight w:val="242"/>
        </w:trPr>
        <w:tc>
          <w:tcPr>
            <w:tcW w:w="582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3842C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  <w:tr w:rsidR="00B81B84" w:rsidRPr="002A245C">
        <w:trPr>
          <w:trHeight w:val="1513"/>
        </w:trPr>
        <w:tc>
          <w:tcPr>
            <w:tcW w:w="53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B84" w:rsidRPr="002A245C" w:rsidRDefault="00B81B84" w:rsidP="00764D8A">
            <w:pPr>
              <w:spacing w:before="12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Knowledge and understanding</w:t>
            </w:r>
          </w:p>
          <w:p w:rsidR="00B81B84" w:rsidRPr="002A245C" w:rsidRDefault="00B81B84" w:rsidP="00764D8A">
            <w:pPr>
              <w:spacing w:after="60"/>
              <w:rPr>
                <w:rFonts w:cs="Arial"/>
                <w:b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B81B84" w:rsidRPr="00E92A75" w:rsidRDefault="00B81B84" w:rsidP="00764D8A">
            <w:pPr>
              <w:ind w:left="113" w:right="113"/>
              <w:jc w:val="center"/>
              <w:rPr>
                <w:rFonts w:cs="Arial"/>
                <w:b/>
                <w:i/>
                <w:color w:val="FFFFFF"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E92A75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1B84" w:rsidRPr="002A245C" w:rsidRDefault="00B81B84" w:rsidP="00764D8A">
            <w:pPr>
              <w:pStyle w:val="Tabletext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09"/>
        <w:gridCol w:w="53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2F4119" w:rsidRPr="002A245C">
        <w:trPr>
          <w:trHeight w:val="242"/>
        </w:trPr>
        <w:tc>
          <w:tcPr>
            <w:tcW w:w="15127" w:type="dxa"/>
            <w:gridSpan w:val="17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F4119" w:rsidRPr="00D739B5" w:rsidRDefault="002F4119" w:rsidP="002F4119">
            <w:pPr>
              <w:pStyle w:val="Organiser"/>
            </w:pPr>
            <w:r w:rsidRPr="00D739B5">
              <w:t>Comprehending and composing in the target language</w:t>
            </w:r>
          </w:p>
          <w:p w:rsidR="002F4119" w:rsidRPr="002A245C" w:rsidRDefault="002F4119" w:rsidP="002F4119">
            <w:pPr>
              <w:pStyle w:val="Boldstatement"/>
            </w:pPr>
            <w:r w:rsidRPr="007020B9">
              <w:t>Comprehending and composing texts for particular purposes, contexts and audiences requires</w:t>
            </w:r>
            <w:r>
              <w:t xml:space="preserve"> </w:t>
            </w:r>
            <w:r w:rsidRPr="007020B9">
              <w:t>knowledge about the interrelations among purpose, text type, audience, mode and medium.</w:t>
            </w: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Verbal language and non-verbal language are adapted, based on role, purpose, context,</w:t>
            </w:r>
            <w:r w:rsidR="00424AFA" w:rsidRPr="00185054">
              <w:t xml:space="preserve"> </w:t>
            </w:r>
            <w:r w:rsidRPr="00185054">
              <w:t>audience, mode and medium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Context, vocabulary and syntax combine to provide cues to the purpose and meaning of texts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High-frequency forms and identification of register help when interpreting complex language</w:t>
            </w:r>
            <w:r w:rsidR="00424AFA" w:rsidRPr="00185054">
              <w:t xml:space="preserve"> </w:t>
            </w:r>
            <w:r w:rsidRPr="00185054">
              <w:t>involving dependent clauses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Ideas and information can be expressed through a variety of text types and language adjusted to</w:t>
            </w:r>
            <w:r w:rsidR="00424AFA" w:rsidRPr="00185054">
              <w:t xml:space="preserve"> </w:t>
            </w:r>
            <w:r w:rsidRPr="00185054">
              <w:t>suit formal and informal contexts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Language can be manipulated to make original and extended texts that are organised according</w:t>
            </w:r>
            <w:r w:rsidR="00424AFA" w:rsidRPr="00185054">
              <w:t xml:space="preserve"> </w:t>
            </w:r>
            <w:r w:rsidRPr="00185054">
              <w:t>to sociocultural conventions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Common colloquial expressions are used in communication and these can be regional in their use</w:t>
            </w:r>
            <w:r w:rsidR="00424AFA" w:rsidRPr="00185054">
              <w:t xml:space="preserve"> </w:t>
            </w:r>
            <w:r w:rsidRPr="00185054">
              <w:t>and often meaningless when translated word for word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38519C" w:rsidRPr="002A245C">
        <w:trPr>
          <w:trHeight w:val="242"/>
        </w:trPr>
        <w:tc>
          <w:tcPr>
            <w:tcW w:w="15127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8519C" w:rsidRPr="00D739B5" w:rsidRDefault="0038519C" w:rsidP="0038519C">
            <w:pPr>
              <w:pStyle w:val="Organiser"/>
            </w:pPr>
            <w:r w:rsidRPr="00D739B5">
              <w:t>Intercultural competence and language awareness</w:t>
            </w:r>
          </w:p>
          <w:p w:rsidR="0038519C" w:rsidRPr="002A245C" w:rsidRDefault="0038519C" w:rsidP="00666FCD">
            <w:pPr>
              <w:pStyle w:val="Boldstatement"/>
            </w:pPr>
            <w:r w:rsidRPr="007020B9">
              <w:t>Intercultural competence and knowledge of languages and cultures allow for differing ways of</w:t>
            </w:r>
            <w:r>
              <w:t xml:space="preserve"> </w:t>
            </w:r>
            <w:r w:rsidRPr="007020B9">
              <w:t>experiencing, acting in and viewing the world.</w:t>
            </w: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Regional and social diversity exists within and across languages and cultures, and this diversity</w:t>
            </w:r>
            <w:r w:rsidR="00424AFA" w:rsidRPr="00185054">
              <w:t xml:space="preserve"> </w:t>
            </w:r>
            <w:r w:rsidR="003842CC">
              <w:t xml:space="preserve">informs appropriate </w:t>
            </w:r>
            <w:r w:rsidRPr="00185054">
              <w:t>communication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Familiarity with issues and topics of significance to members of the target culture enhances</w:t>
            </w:r>
            <w:r w:rsidR="00424AFA" w:rsidRPr="00185054">
              <w:t xml:space="preserve"> </w:t>
            </w:r>
            <w:r w:rsidRPr="00185054">
              <w:t>intercultural communication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  <w:tr w:rsidR="00534FD9" w:rsidRPr="002A245C">
        <w:trPr>
          <w:trHeight w:val="242"/>
        </w:trPr>
        <w:tc>
          <w:tcPr>
            <w:tcW w:w="5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185054" w:rsidRDefault="00534FD9" w:rsidP="00A7744A">
            <w:pPr>
              <w:pStyle w:val="Tablebulletslevel1"/>
              <w:spacing w:before="40" w:after="40"/>
            </w:pPr>
            <w:r w:rsidRPr="00185054">
              <w:t>Beliefs, values and attitudes are embedded in languages and cultures; and knowledge of these</w:t>
            </w:r>
            <w:r w:rsidR="00424AFA" w:rsidRPr="00185054">
              <w:t xml:space="preserve"> </w:t>
            </w:r>
            <w:r w:rsidRPr="00185054">
              <w:t>aspects can facilitate intercultural communication</w:t>
            </w:r>
            <w:r w:rsidR="00424AFA" w:rsidRPr="00185054"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FD9" w:rsidRPr="002A245C" w:rsidRDefault="00534FD9" w:rsidP="00A7744A">
            <w:pPr>
              <w:pStyle w:val="Tabletext"/>
              <w:spacing w:before="40" w:after="40"/>
            </w:pP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542FB1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542FB1" w:rsidRPr="00DD6543" w:rsidRDefault="00275D08" w:rsidP="00146DAC">
            <w:pPr>
              <w:pStyle w:val="Tableheaderwhite"/>
            </w:pPr>
            <w:r>
              <w:t>Languages</w:t>
            </w:r>
            <w:r w:rsidR="00542FB1" w:rsidRPr="00DD6543">
              <w:t xml:space="preserve"> course of study mapped to </w:t>
            </w:r>
            <w:r w:rsidR="00542FB1" w:rsidRPr="00DD6543">
              <w:rPr>
                <w:i/>
              </w:rPr>
              <w:t>Essential Learnings</w:t>
            </w:r>
            <w:r w:rsidR="00542FB1" w:rsidRPr="00DD6543">
              <w:t xml:space="preserve"> — </w:t>
            </w:r>
            <w:r w:rsidR="00542FB1">
              <w:t>Assessable elements</w:t>
            </w:r>
          </w:p>
        </w:tc>
      </w:tr>
      <w:tr w:rsidR="00542FB1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542FB1" w:rsidRPr="007248D3" w:rsidRDefault="00542FB1" w:rsidP="00146DAC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542FB1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2FB1" w:rsidRPr="00E2446D" w:rsidRDefault="00542FB1" w:rsidP="00146DA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2FB1" w:rsidRPr="007248D3" w:rsidRDefault="00542FB1" w:rsidP="002A0FC2">
            <w:pPr>
              <w:pStyle w:val="Heading2Table"/>
              <w:rPr>
                <w:sz w:val="22"/>
              </w:rPr>
            </w:pPr>
            <w:r w:rsidRPr="007248D3">
              <w:t xml:space="preserve">Units </w:t>
            </w:r>
            <w:r w:rsidRPr="002A0FC2">
              <w:t>of work</w:t>
            </w:r>
          </w:p>
        </w:tc>
      </w:tr>
      <w:tr w:rsidR="00542FB1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2FB1" w:rsidRPr="002A245C" w:rsidRDefault="00542FB1" w:rsidP="005D7A96">
            <w:pPr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2FB1" w:rsidRPr="002A245C" w:rsidRDefault="00542FB1" w:rsidP="00F1382B">
            <w:pPr>
              <w:pStyle w:val="Heading3"/>
              <w:spacing w:before="40" w:after="4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2FB1" w:rsidRPr="002A245C" w:rsidRDefault="00542FB1" w:rsidP="00F1382B">
            <w:pPr>
              <w:pStyle w:val="Heading3"/>
              <w:spacing w:before="40" w:after="4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2340"/>
        <w:gridCol w:w="2340"/>
        <w:gridCol w:w="2340"/>
        <w:gridCol w:w="2347"/>
      </w:tblGrid>
      <w:tr w:rsidR="00542FB1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542FB1" w:rsidRPr="002A245C" w:rsidRDefault="00542FB1" w:rsidP="00146D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42FB1" w:rsidRPr="002A245C" w:rsidRDefault="00542FB1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1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146DAC">
            <w:pPr>
              <w:jc w:val="center"/>
              <w:rPr>
                <w:rFonts w:cs="Arial"/>
                <w:b/>
              </w:rPr>
            </w:pPr>
            <w:r w:rsidRPr="002A245C">
              <w:rPr>
                <w:rFonts w:cs="Arial"/>
                <w:b/>
              </w:rPr>
              <w:t>Semester 2</w:t>
            </w: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2A23EF" w:rsidRPr="002A245C">
        <w:trPr>
          <w:trHeight w:val="242"/>
        </w:trPr>
        <w:tc>
          <w:tcPr>
            <w:tcW w:w="5220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A23EF" w:rsidRPr="002A245C" w:rsidRDefault="002A23EF" w:rsidP="002A23EF">
            <w:pPr>
              <w:spacing w:before="120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Assessable elements</w:t>
            </w:r>
          </w:p>
          <w:p w:rsidR="002A23EF" w:rsidRPr="003029CF" w:rsidRDefault="002A23EF" w:rsidP="00764D8A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3B3B3"/>
            <w:textDirection w:val="btLr"/>
            <w:vAlign w:val="center"/>
          </w:tcPr>
          <w:p w:rsidR="002A23EF" w:rsidRPr="003029CF" w:rsidRDefault="002A23EF" w:rsidP="002A23EF">
            <w:pPr>
              <w:ind w:left="113" w:right="113"/>
              <w:rPr>
                <w:rFonts w:cs="Arial"/>
                <w:b/>
              </w:rPr>
            </w:pPr>
            <w:r w:rsidRPr="00E92A75">
              <w:rPr>
                <w:rFonts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837A64"/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</w:tr>
      <w:tr w:rsidR="002A23EF" w:rsidRPr="002A245C">
        <w:trPr>
          <w:trHeight w:val="685"/>
        </w:trPr>
        <w:tc>
          <w:tcPr>
            <w:tcW w:w="522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3EF" w:rsidRDefault="002A23EF" w:rsidP="00764D8A">
            <w:pPr>
              <w:rPr>
                <w:rFonts w:cs="Arial"/>
              </w:rPr>
            </w:pPr>
            <w:r w:rsidRPr="003029CF">
              <w:rPr>
                <w:rFonts w:cs="Arial"/>
                <w:b/>
              </w:rPr>
              <w:t xml:space="preserve">Beginner, Elementary and </w:t>
            </w:r>
            <w:r>
              <w:rPr>
                <w:rFonts w:cs="Arial"/>
                <w:b/>
              </w:rPr>
              <w:br/>
            </w:r>
            <w:r w:rsidRPr="003029CF">
              <w:rPr>
                <w:rFonts w:cs="Arial"/>
                <w:b/>
              </w:rPr>
              <w:t>Lower Intermediate stages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2A23EF" w:rsidRDefault="002A23EF" w:rsidP="00764D8A">
            <w:pPr>
              <w:rPr>
                <w:rFonts w:cs="Arial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837A64"/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3EF" w:rsidRPr="002A245C" w:rsidRDefault="002A23EF" w:rsidP="00414BB2">
            <w:pPr>
              <w:pStyle w:val="Tabletext"/>
            </w:pPr>
          </w:p>
        </w:tc>
      </w:tr>
      <w:tr w:rsidR="003029CF" w:rsidRPr="002A245C">
        <w:trPr>
          <w:trHeight w:val="242"/>
        </w:trPr>
        <w:tc>
          <w:tcPr>
            <w:tcW w:w="57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3EF" w:rsidRDefault="003029CF" w:rsidP="00764D8A">
            <w:r>
              <w:rPr>
                <w:rFonts w:cs="Arial"/>
              </w:rPr>
              <w:t>Knowledge and understanding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</w:tr>
      <w:tr w:rsidR="003029CF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19679E" w:rsidRDefault="003029CF" w:rsidP="00764D8A">
            <w:pPr>
              <w:rPr>
                <w:rFonts w:cs="Arial"/>
              </w:rPr>
            </w:pPr>
            <w:r w:rsidRPr="0019679E">
              <w:rPr>
                <w:rFonts w:cs="Arial"/>
              </w:rPr>
              <w:t>Comprehending texts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</w:tr>
      <w:tr w:rsidR="003029CF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19679E" w:rsidRDefault="003029CF" w:rsidP="00764D8A">
            <w:pPr>
              <w:rPr>
                <w:rFonts w:cs="Arial"/>
              </w:rPr>
            </w:pPr>
            <w:r w:rsidRPr="0019679E">
              <w:rPr>
                <w:rFonts w:cs="Arial"/>
              </w:rPr>
              <w:t>Composing texts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</w:tr>
      <w:tr w:rsidR="003029CF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19679E" w:rsidRDefault="003029CF" w:rsidP="00764D8A">
            <w:pPr>
              <w:rPr>
                <w:rFonts w:cs="Arial"/>
              </w:rPr>
            </w:pPr>
            <w:r w:rsidRPr="0019679E">
              <w:rPr>
                <w:rFonts w:cs="Arial"/>
              </w:rPr>
              <w:t>Intercultural competence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</w:tr>
      <w:tr w:rsidR="003029CF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9CF" w:rsidRPr="00E42F36" w:rsidRDefault="003029CF" w:rsidP="00764D8A">
            <w:pPr>
              <w:rPr>
                <w:rFonts w:cs="Arial"/>
              </w:rPr>
            </w:pPr>
            <w:r>
              <w:rPr>
                <w:rFonts w:cs="Arial"/>
              </w:rPr>
              <w:t>Reflecting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9CF" w:rsidRPr="002A245C" w:rsidRDefault="003029CF" w:rsidP="00414BB2">
            <w:pPr>
              <w:pStyle w:val="Tabletext"/>
            </w:pPr>
          </w:p>
        </w:tc>
      </w:tr>
    </w:tbl>
    <w:p w:rsidR="003E122C" w:rsidRDefault="003E122C"/>
    <w:sectPr w:rsidR="003E122C" w:rsidSect="002D66B7">
      <w:footerReference w:type="default" r:id="rId8"/>
      <w:headerReference w:type="first" r:id="rId9"/>
      <w:footerReference w:type="first" r:id="rId10"/>
      <w:pgSz w:w="16838" w:h="11906" w:orient="landscape" w:code="9"/>
      <w:pgMar w:top="567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B7" w:rsidRDefault="00AC49B7">
      <w:r>
        <w:separator/>
      </w:r>
    </w:p>
  </w:endnote>
  <w:endnote w:type="continuationSeparator" w:id="0">
    <w:p w:rsidR="00AC49B7" w:rsidRDefault="00AC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0"/>
      <w:gridCol w:w="1080"/>
      <w:gridCol w:w="7020"/>
    </w:tblGrid>
    <w:tr w:rsidR="0071528E">
      <w:tc>
        <w:tcPr>
          <w:tcW w:w="7020" w:type="dxa"/>
          <w:vAlign w:val="bottom"/>
        </w:tcPr>
        <w:p w:rsidR="0071528E" w:rsidRPr="00243BE2" w:rsidRDefault="0071528E" w:rsidP="002D66B7">
          <w:pPr>
            <w:spacing w:before="240"/>
            <w:rPr>
              <w:rFonts w:cs="Arial"/>
              <w:sz w:val="14"/>
              <w:szCs w:val="14"/>
            </w:rPr>
          </w:pPr>
          <w:hyperlink r:id="rId1" w:history="1">
            <w:r w:rsidRPr="00243BE2">
              <w:rPr>
                <w:rStyle w:val="Hyperlink"/>
                <w:rFonts w:cs="Arial"/>
                <w:sz w:val="14"/>
                <w:szCs w:val="14"/>
              </w:rPr>
              <w:t>www.qsa.qld.edu.au</w:t>
            </w:r>
          </w:hyperlink>
          <w:r w:rsidRPr="00243BE2">
            <w:rPr>
              <w:rFonts w:eastAsia="MS Gothic" w:cs="Arial"/>
              <w:sz w:val="14"/>
              <w:szCs w:val="14"/>
            </w:rPr>
            <w:t xml:space="preserve">   </w:t>
          </w:r>
          <w:r w:rsidRPr="00243BE2">
            <w:rPr>
              <w:rFonts w:cs="Arial"/>
              <w:sz w:val="14"/>
              <w:szCs w:val="14"/>
            </w:rPr>
            <w:t xml:space="preserve">© The State of </w:t>
          </w:r>
          <w:smartTag w:uri="urn:schemas-microsoft-com:office:smarttags" w:element="State">
            <w:smartTag w:uri="urn:schemas-microsoft-com:office:smarttags" w:element="place">
              <w:r w:rsidRPr="00243BE2">
                <w:rPr>
                  <w:rFonts w:cs="Arial"/>
                  <w:sz w:val="14"/>
                  <w:szCs w:val="14"/>
                </w:rPr>
                <w:t>Queensland</w:t>
              </w:r>
            </w:smartTag>
          </w:smartTag>
          <w:r w:rsidRPr="00243BE2">
            <w:rPr>
              <w:rFonts w:cs="Arial"/>
              <w:sz w:val="14"/>
              <w:szCs w:val="14"/>
            </w:rPr>
            <w:t xml:space="preserve"> (Queensland Studies Authority) 2008</w:t>
          </w:r>
          <w:r w:rsidRPr="00243BE2">
            <w:rPr>
              <w:rFonts w:eastAsia="MS Gothic" w:cs="Arial"/>
              <w:sz w:val="14"/>
              <w:szCs w:val="14"/>
            </w:rPr>
            <w:t xml:space="preserve">   </w:t>
          </w:r>
        </w:p>
      </w:tc>
      <w:tc>
        <w:tcPr>
          <w:tcW w:w="1080" w:type="dxa"/>
          <w:vAlign w:val="bottom"/>
        </w:tcPr>
        <w:p w:rsidR="0071528E" w:rsidRDefault="0071528E" w:rsidP="005C62D5">
          <w:pPr>
            <w:spacing w:before="240"/>
            <w:jc w:val="center"/>
            <w:rPr>
              <w:sz w:val="20"/>
              <w:szCs w:val="20"/>
            </w:rPr>
          </w:pPr>
          <w:r w:rsidRPr="00243BE2">
            <w:rPr>
              <w:rFonts w:cs="Arial"/>
              <w:sz w:val="16"/>
              <w:szCs w:val="16"/>
            </w:rPr>
            <w:t xml:space="preserve">Page </w:t>
          </w:r>
          <w:r w:rsidRPr="00243BE2">
            <w:rPr>
              <w:rFonts w:cs="Arial"/>
              <w:sz w:val="16"/>
              <w:szCs w:val="16"/>
            </w:rPr>
            <w:fldChar w:fldCharType="begin"/>
          </w:r>
          <w:r w:rsidRPr="00243BE2">
            <w:rPr>
              <w:rFonts w:cs="Arial"/>
              <w:sz w:val="16"/>
              <w:szCs w:val="16"/>
            </w:rPr>
            <w:instrText xml:space="preserve"> PAGE </w:instrText>
          </w:r>
          <w:r w:rsidRPr="00243BE2">
            <w:rPr>
              <w:rFonts w:cs="Arial"/>
              <w:sz w:val="16"/>
              <w:szCs w:val="16"/>
            </w:rPr>
            <w:fldChar w:fldCharType="separate"/>
          </w:r>
          <w:r w:rsidR="00E3727C">
            <w:rPr>
              <w:rFonts w:cs="Arial"/>
              <w:noProof/>
              <w:sz w:val="16"/>
              <w:szCs w:val="16"/>
            </w:rPr>
            <w:t>2</w:t>
          </w:r>
          <w:r w:rsidRPr="00243BE2">
            <w:rPr>
              <w:rFonts w:cs="Arial"/>
              <w:sz w:val="16"/>
              <w:szCs w:val="16"/>
            </w:rPr>
            <w:fldChar w:fldCharType="end"/>
          </w:r>
          <w:r w:rsidRPr="00243BE2">
            <w:rPr>
              <w:rFonts w:cs="Arial"/>
              <w:sz w:val="16"/>
              <w:szCs w:val="16"/>
            </w:rPr>
            <w:t xml:space="preserve"> of </w:t>
          </w:r>
          <w:r w:rsidRPr="00243BE2">
            <w:rPr>
              <w:rFonts w:cs="Arial"/>
              <w:sz w:val="16"/>
              <w:szCs w:val="16"/>
            </w:rPr>
            <w:fldChar w:fldCharType="begin"/>
          </w:r>
          <w:r w:rsidRPr="00243BE2">
            <w:rPr>
              <w:rFonts w:cs="Arial"/>
              <w:sz w:val="16"/>
              <w:szCs w:val="16"/>
            </w:rPr>
            <w:instrText xml:space="preserve"> NUMPAGES </w:instrText>
          </w:r>
          <w:r w:rsidRPr="00243BE2">
            <w:rPr>
              <w:rFonts w:cs="Arial"/>
              <w:sz w:val="16"/>
              <w:szCs w:val="16"/>
            </w:rPr>
            <w:fldChar w:fldCharType="separate"/>
          </w:r>
          <w:r w:rsidR="00E3727C">
            <w:rPr>
              <w:rFonts w:cs="Arial"/>
              <w:noProof/>
              <w:sz w:val="16"/>
              <w:szCs w:val="16"/>
            </w:rPr>
            <w:t>2</w:t>
          </w:r>
          <w:r w:rsidRPr="00243BE2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020" w:type="dxa"/>
          <w:vAlign w:val="bottom"/>
        </w:tcPr>
        <w:p w:rsidR="0071528E" w:rsidRPr="00243BE2" w:rsidRDefault="00E3727C" w:rsidP="005C62D5">
          <w:pPr>
            <w:jc w:val="right"/>
            <w:rPr>
              <w:sz w:val="16"/>
              <w:szCs w:val="16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>
                <wp:extent cx="2152650" cy="333375"/>
                <wp:effectExtent l="0" t="0" r="0" b="9525"/>
                <wp:docPr id="1" name="Picture 1" descr="QSA_QG_mono_ho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SA_QG_mono_ho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528E" w:rsidRPr="00243BE2">
            <w:rPr>
              <w:sz w:val="16"/>
              <w:szCs w:val="16"/>
            </w:rPr>
            <w:t xml:space="preserve"> </w:t>
          </w:r>
        </w:p>
      </w:tc>
    </w:tr>
  </w:tbl>
  <w:p w:rsidR="0071528E" w:rsidRPr="002D66B7" w:rsidRDefault="0071528E" w:rsidP="002D66B7">
    <w:pPr>
      <w:rPr>
        <w:sz w:val="2"/>
        <w:szCs w:val="2"/>
      </w:rPr>
    </w:pPr>
  </w:p>
  <w:p w:rsidR="0071528E" w:rsidRPr="002A0FC2" w:rsidRDefault="0071528E" w:rsidP="002A0FC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0"/>
      <w:gridCol w:w="1080"/>
      <w:gridCol w:w="7020"/>
    </w:tblGrid>
    <w:tr w:rsidR="0071528E">
      <w:tc>
        <w:tcPr>
          <w:tcW w:w="7020" w:type="dxa"/>
          <w:vAlign w:val="bottom"/>
        </w:tcPr>
        <w:p w:rsidR="0071528E" w:rsidRPr="007947BD" w:rsidRDefault="0071528E" w:rsidP="007947BD">
          <w:pPr>
            <w:autoSpaceDE w:val="0"/>
            <w:autoSpaceDN w:val="0"/>
            <w:adjustRightInd w:val="0"/>
            <w:spacing w:before="40"/>
            <w:rPr>
              <w:rFonts w:cs="Arial"/>
              <w:b/>
              <w:bCs/>
              <w:sz w:val="14"/>
              <w:szCs w:val="14"/>
            </w:rPr>
          </w:pPr>
          <w:smartTag w:uri="urn:schemas-microsoft-com:office:smarttags" w:element="State">
            <w:r w:rsidRPr="007947BD">
              <w:rPr>
                <w:rFonts w:cs="Arial"/>
                <w:b/>
                <w:bCs/>
                <w:sz w:val="14"/>
                <w:szCs w:val="14"/>
              </w:rPr>
              <w:t>Queensland</w:t>
            </w:r>
          </w:smartTag>
          <w:r w:rsidRPr="007947BD">
            <w:rPr>
              <w:rFonts w:cs="Arial"/>
              <w:b/>
              <w:bCs/>
              <w:sz w:val="14"/>
              <w:szCs w:val="14"/>
            </w:rPr>
            <w:t xml:space="preserve"> Studies Authority  </w:t>
          </w:r>
          <w:smartTag w:uri="urn:schemas-microsoft-com:office:smarttags" w:element="address">
            <w:smartTag w:uri="urn:schemas-microsoft-com:office:smarttags" w:element="Street">
              <w:r w:rsidRPr="007947BD">
                <w:rPr>
                  <w:rFonts w:cs="Arial"/>
                  <w:sz w:val="14"/>
                  <w:szCs w:val="14"/>
                </w:rPr>
                <w:t>PO Box 307</w:t>
              </w:r>
            </w:smartTag>
            <w:r w:rsidRPr="007947BD">
              <w:rPr>
                <w:rFonts w:cs="Arial"/>
                <w:sz w:val="14"/>
                <w:szCs w:val="14"/>
              </w:rPr>
              <w:t xml:space="preserve"> </w:t>
            </w:r>
            <w:smartTag w:uri="urn:schemas-microsoft-com:office:smarttags" w:element="City">
              <w:r w:rsidRPr="007947BD">
                <w:rPr>
                  <w:rFonts w:cs="Arial"/>
                  <w:sz w:val="14"/>
                  <w:szCs w:val="14"/>
                </w:rPr>
                <w:t>Spring Hill</w:t>
              </w:r>
            </w:smartTag>
            <w:r w:rsidRPr="007947BD">
              <w:rPr>
                <w:rFonts w:cs="Arial"/>
                <w:b/>
                <w:bCs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7947BD">
                <w:rPr>
                  <w:rFonts w:cs="Arial"/>
                  <w:sz w:val="14"/>
                  <w:szCs w:val="14"/>
                </w:rPr>
                <w:t>Queensland</w:t>
              </w:r>
            </w:smartTag>
          </w:smartTag>
          <w:r w:rsidRPr="007947BD">
            <w:rPr>
              <w:rFonts w:cs="Arial"/>
              <w:sz w:val="14"/>
              <w:szCs w:val="14"/>
            </w:rPr>
            <w:t xml:space="preserve"> 4004 </w:t>
          </w:r>
          <w:smartTag w:uri="urn:schemas-microsoft-com:office:smarttags" w:element="place">
            <w:smartTag w:uri="urn:schemas-microsoft-com:office:smarttags" w:element="country-region">
              <w:r w:rsidRPr="007947BD">
                <w:rPr>
                  <w:rFonts w:cs="Arial"/>
                  <w:sz w:val="14"/>
                  <w:szCs w:val="14"/>
                </w:rPr>
                <w:t>Australia</w:t>
              </w:r>
            </w:smartTag>
          </w:smartTag>
        </w:p>
        <w:p w:rsidR="0071528E" w:rsidRPr="00601823" w:rsidRDefault="0071528E" w:rsidP="007947BD">
          <w:pPr>
            <w:autoSpaceDE w:val="0"/>
            <w:autoSpaceDN w:val="0"/>
            <w:adjustRightInd w:val="0"/>
            <w:spacing w:before="40"/>
            <w:rPr>
              <w:rFonts w:cs="Arial"/>
              <w:sz w:val="14"/>
              <w:szCs w:val="14"/>
              <w:lang w:val="fr-FR"/>
            </w:rPr>
          </w:pPr>
          <w:r w:rsidRPr="00601823">
            <w:rPr>
              <w:rFonts w:cs="Arial"/>
              <w:sz w:val="14"/>
              <w:szCs w:val="14"/>
              <w:lang w:val="fr-FR"/>
            </w:rPr>
            <w:t xml:space="preserve">Phone: (07) 3864 0299;  Fax: (07) 3221 2553;  </w:t>
          </w:r>
          <w:r w:rsidR="00601823">
            <w:rPr>
              <w:rFonts w:cs="Arial"/>
              <w:sz w:val="14"/>
              <w:szCs w:val="14"/>
              <w:lang w:val="fr-FR"/>
            </w:rPr>
            <w:t>Email: office@qsa.qld.edu.au </w:t>
          </w:r>
        </w:p>
        <w:p w:rsidR="0071528E" w:rsidRPr="00243BE2" w:rsidRDefault="0071528E" w:rsidP="007947BD">
          <w:pPr>
            <w:spacing w:before="40"/>
            <w:rPr>
              <w:rFonts w:cs="Arial"/>
              <w:sz w:val="14"/>
              <w:szCs w:val="14"/>
            </w:rPr>
          </w:pPr>
          <w:hyperlink r:id="rId1" w:history="1">
            <w:r w:rsidRPr="00243BE2">
              <w:rPr>
                <w:rStyle w:val="Hyperlink"/>
                <w:rFonts w:cs="Arial"/>
                <w:sz w:val="14"/>
                <w:szCs w:val="14"/>
              </w:rPr>
              <w:t>www.qsa.qld.edu.au</w:t>
            </w:r>
          </w:hyperlink>
          <w:r w:rsidRPr="00243BE2">
            <w:rPr>
              <w:rFonts w:eastAsia="MS Gothic" w:cs="Arial"/>
              <w:sz w:val="14"/>
              <w:szCs w:val="14"/>
            </w:rPr>
            <w:t xml:space="preserve">   </w:t>
          </w:r>
          <w:r w:rsidRPr="00243BE2">
            <w:rPr>
              <w:rFonts w:cs="Arial"/>
              <w:sz w:val="14"/>
              <w:szCs w:val="14"/>
            </w:rPr>
            <w:t xml:space="preserve">© The State of </w:t>
          </w:r>
          <w:smartTag w:uri="urn:schemas-microsoft-com:office:smarttags" w:element="State">
            <w:smartTag w:uri="urn:schemas-microsoft-com:office:smarttags" w:element="place">
              <w:r w:rsidRPr="00243BE2">
                <w:rPr>
                  <w:rFonts w:cs="Arial"/>
                  <w:sz w:val="14"/>
                  <w:szCs w:val="14"/>
                </w:rPr>
                <w:t>Queensland</w:t>
              </w:r>
            </w:smartTag>
          </w:smartTag>
          <w:r w:rsidRPr="00243BE2">
            <w:rPr>
              <w:rFonts w:cs="Arial"/>
              <w:sz w:val="14"/>
              <w:szCs w:val="14"/>
            </w:rPr>
            <w:t xml:space="preserve"> (Queensland Studies Authority) 2008</w:t>
          </w:r>
          <w:r w:rsidRPr="00243BE2">
            <w:rPr>
              <w:rFonts w:eastAsia="MS Gothic" w:cs="Arial"/>
              <w:sz w:val="14"/>
              <w:szCs w:val="14"/>
            </w:rPr>
            <w:t xml:space="preserve">   </w:t>
          </w:r>
        </w:p>
      </w:tc>
      <w:tc>
        <w:tcPr>
          <w:tcW w:w="1080" w:type="dxa"/>
          <w:vAlign w:val="bottom"/>
        </w:tcPr>
        <w:p w:rsidR="0071528E" w:rsidRDefault="0071528E" w:rsidP="00243BE2">
          <w:pPr>
            <w:spacing w:before="240"/>
            <w:jc w:val="center"/>
            <w:rPr>
              <w:sz w:val="20"/>
              <w:szCs w:val="20"/>
            </w:rPr>
          </w:pPr>
          <w:r w:rsidRPr="00243BE2">
            <w:rPr>
              <w:rFonts w:cs="Arial"/>
              <w:sz w:val="16"/>
              <w:szCs w:val="16"/>
            </w:rPr>
            <w:t xml:space="preserve">Page </w:t>
          </w:r>
          <w:r w:rsidRPr="00243BE2">
            <w:rPr>
              <w:rFonts w:cs="Arial"/>
              <w:sz w:val="16"/>
              <w:szCs w:val="16"/>
            </w:rPr>
            <w:fldChar w:fldCharType="begin"/>
          </w:r>
          <w:r w:rsidRPr="00243BE2">
            <w:rPr>
              <w:rFonts w:cs="Arial"/>
              <w:sz w:val="16"/>
              <w:szCs w:val="16"/>
            </w:rPr>
            <w:instrText xml:space="preserve"> PAGE </w:instrText>
          </w:r>
          <w:r w:rsidRPr="00243BE2">
            <w:rPr>
              <w:rFonts w:cs="Arial"/>
              <w:sz w:val="16"/>
              <w:szCs w:val="16"/>
            </w:rPr>
            <w:fldChar w:fldCharType="separate"/>
          </w:r>
          <w:r w:rsidR="00E3727C">
            <w:rPr>
              <w:rFonts w:cs="Arial"/>
              <w:noProof/>
              <w:sz w:val="16"/>
              <w:szCs w:val="16"/>
            </w:rPr>
            <w:t>1</w:t>
          </w:r>
          <w:r w:rsidRPr="00243BE2">
            <w:rPr>
              <w:rFonts w:cs="Arial"/>
              <w:sz w:val="16"/>
              <w:szCs w:val="16"/>
            </w:rPr>
            <w:fldChar w:fldCharType="end"/>
          </w:r>
          <w:r w:rsidRPr="00243BE2">
            <w:rPr>
              <w:rFonts w:cs="Arial"/>
              <w:sz w:val="16"/>
              <w:szCs w:val="16"/>
            </w:rPr>
            <w:t xml:space="preserve"> of </w:t>
          </w:r>
          <w:r w:rsidRPr="00243BE2">
            <w:rPr>
              <w:rFonts w:cs="Arial"/>
              <w:sz w:val="16"/>
              <w:szCs w:val="16"/>
            </w:rPr>
            <w:fldChar w:fldCharType="begin"/>
          </w:r>
          <w:r w:rsidRPr="00243BE2">
            <w:rPr>
              <w:rFonts w:cs="Arial"/>
              <w:sz w:val="16"/>
              <w:szCs w:val="16"/>
            </w:rPr>
            <w:instrText xml:space="preserve"> NUMPAGES </w:instrText>
          </w:r>
          <w:r w:rsidRPr="00243BE2">
            <w:rPr>
              <w:rFonts w:cs="Arial"/>
              <w:sz w:val="16"/>
              <w:szCs w:val="16"/>
            </w:rPr>
            <w:fldChar w:fldCharType="separate"/>
          </w:r>
          <w:r w:rsidR="00E3727C">
            <w:rPr>
              <w:rFonts w:cs="Arial"/>
              <w:noProof/>
              <w:sz w:val="16"/>
              <w:szCs w:val="16"/>
            </w:rPr>
            <w:t>1</w:t>
          </w:r>
          <w:r w:rsidRPr="00243BE2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020" w:type="dxa"/>
          <w:vAlign w:val="bottom"/>
        </w:tcPr>
        <w:p w:rsidR="0071528E" w:rsidRPr="00243BE2" w:rsidRDefault="00E3727C" w:rsidP="00243BE2">
          <w:pPr>
            <w:jc w:val="right"/>
            <w:rPr>
              <w:sz w:val="16"/>
              <w:szCs w:val="16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>
                <wp:extent cx="2152650" cy="333375"/>
                <wp:effectExtent l="0" t="0" r="0" b="9525"/>
                <wp:docPr id="2" name="Picture 2" descr="QSA_QG_mono_ho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SA_QG_mono_ho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528E" w:rsidRPr="00243BE2">
            <w:rPr>
              <w:sz w:val="16"/>
              <w:szCs w:val="16"/>
            </w:rPr>
            <w:t xml:space="preserve"> </w:t>
          </w:r>
        </w:p>
      </w:tc>
    </w:tr>
  </w:tbl>
  <w:p w:rsidR="0071528E" w:rsidRPr="002D66B7" w:rsidRDefault="0071528E" w:rsidP="002D66B7">
    <w:pPr>
      <w:rPr>
        <w:sz w:val="2"/>
        <w:szCs w:val="2"/>
      </w:rPr>
    </w:pPr>
  </w:p>
  <w:p w:rsidR="0071528E" w:rsidRPr="002A0FC2" w:rsidRDefault="0071528E" w:rsidP="002A0F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B7" w:rsidRDefault="00AC49B7">
      <w:r>
        <w:separator/>
      </w:r>
    </w:p>
  </w:footnote>
  <w:footnote w:type="continuationSeparator" w:id="0">
    <w:p w:rsidR="00AC49B7" w:rsidRDefault="00AC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Look w:val="01E0" w:firstRow="1" w:lastRow="1" w:firstColumn="1" w:lastColumn="1" w:noHBand="0" w:noVBand="0"/>
    </w:tblPr>
    <w:tblGrid>
      <w:gridCol w:w="6308"/>
      <w:gridCol w:w="2117"/>
      <w:gridCol w:w="6819"/>
      <w:tblGridChange w:id="1">
        <w:tblGrid>
          <w:gridCol w:w="6308"/>
          <w:gridCol w:w="2117"/>
          <w:gridCol w:w="6819"/>
        </w:tblGrid>
      </w:tblGridChange>
    </w:tblGrid>
    <w:tr w:rsidR="0071528E">
      <w:tc>
        <w:tcPr>
          <w:tcW w:w="6480" w:type="dxa"/>
          <w:shd w:val="clear" w:color="auto" w:fill="auto"/>
        </w:tcPr>
        <w:p w:rsidR="0071528E" w:rsidRPr="0016212E" w:rsidRDefault="0071528E" w:rsidP="005C62D5">
          <w:pPr>
            <w:pStyle w:val="HeaderWorkProgram"/>
            <w:spacing w:before="120"/>
            <w:rPr>
              <w:color w:val="FFFFFF"/>
            </w:rPr>
          </w:pPr>
          <w:r>
            <w:t>WORK PLAN FOR 20</w:t>
          </w:r>
          <w:r w:rsidRPr="00185E8D">
            <w:rPr>
              <w:b w:val="0"/>
            </w:rPr>
            <w:t>_ _</w:t>
          </w:r>
          <w:r>
            <w:t>–20</w:t>
          </w:r>
          <w:r w:rsidRPr="00185E8D">
            <w:rPr>
              <w:b w:val="0"/>
            </w:rPr>
            <w:t>_ _</w:t>
          </w:r>
        </w:p>
      </w:tc>
      <w:tc>
        <w:tcPr>
          <w:tcW w:w="1620" w:type="dxa"/>
          <w:shd w:val="clear" w:color="auto" w:fill="808080"/>
        </w:tcPr>
        <w:p w:rsidR="0071528E" w:rsidRPr="0016212E" w:rsidRDefault="0071528E" w:rsidP="005C62D5">
          <w:pPr>
            <w:pStyle w:val="HeaderWorkProgram"/>
            <w:spacing w:before="120"/>
            <w:rPr>
              <w:color w:val="FFFFFF"/>
            </w:rPr>
          </w:pPr>
          <w:r>
            <w:rPr>
              <w:color w:val="FFFFFF"/>
            </w:rPr>
            <w:t>Languages</w:t>
          </w:r>
          <w:r w:rsidRPr="0016212E">
            <w:rPr>
              <w:color w:val="FFFFFF"/>
            </w:rPr>
            <w:t xml:space="preserve"> </w:t>
          </w:r>
        </w:p>
      </w:tc>
      <w:tc>
        <w:tcPr>
          <w:tcW w:w="7020" w:type="dxa"/>
        </w:tcPr>
        <w:p w:rsidR="0071528E" w:rsidRDefault="0071528E" w:rsidP="005C62D5">
          <w:pPr>
            <w:pStyle w:val="Heading3"/>
          </w:pPr>
          <w:r>
            <w:t>Year level/s</w:t>
          </w:r>
          <w:r w:rsidRPr="00B40DE9">
            <w:t>:</w:t>
          </w:r>
        </w:p>
      </w:tc>
    </w:tr>
  </w:tbl>
  <w:p w:rsidR="0071528E" w:rsidRPr="00A310B1" w:rsidRDefault="007152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04F"/>
    <w:multiLevelType w:val="hybridMultilevel"/>
    <w:tmpl w:val="6658A572"/>
    <w:lvl w:ilvl="0" w:tplc="E9E46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7500"/>
    <w:multiLevelType w:val="hybridMultilevel"/>
    <w:tmpl w:val="B0A43682"/>
    <w:lvl w:ilvl="0" w:tplc="7914580C">
      <w:start w:val="1"/>
      <w:numFmt w:val="bullet"/>
      <w:pStyle w:val="Bulletslevel2"/>
      <w:lvlText w:val="—"/>
      <w:lvlJc w:val="left"/>
      <w:pPr>
        <w:tabs>
          <w:tab w:val="num" w:pos="794"/>
        </w:tabs>
        <w:ind w:left="794" w:hanging="414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828B0"/>
    <w:multiLevelType w:val="hybridMultilevel"/>
    <w:tmpl w:val="779E71A4"/>
    <w:lvl w:ilvl="0" w:tplc="2B54C518">
      <w:start w:val="1"/>
      <w:numFmt w:val="bullet"/>
      <w:pStyle w:val="Bulletslevel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63"/>
    <w:rsid w:val="0001488A"/>
    <w:rsid w:val="0001563A"/>
    <w:rsid w:val="00030246"/>
    <w:rsid w:val="00047E7D"/>
    <w:rsid w:val="00096303"/>
    <w:rsid w:val="000C6DBA"/>
    <w:rsid w:val="000E3058"/>
    <w:rsid w:val="00146DAC"/>
    <w:rsid w:val="00181024"/>
    <w:rsid w:val="00185054"/>
    <w:rsid w:val="00192B2B"/>
    <w:rsid w:val="001D16C7"/>
    <w:rsid w:val="001E52AA"/>
    <w:rsid w:val="001F2D3C"/>
    <w:rsid w:val="00213502"/>
    <w:rsid w:val="002432BB"/>
    <w:rsid w:val="00243BE2"/>
    <w:rsid w:val="00275D08"/>
    <w:rsid w:val="002901FD"/>
    <w:rsid w:val="002A0FC2"/>
    <w:rsid w:val="002A23EF"/>
    <w:rsid w:val="002C3AD4"/>
    <w:rsid w:val="002D5954"/>
    <w:rsid w:val="002D66B7"/>
    <w:rsid w:val="002E176F"/>
    <w:rsid w:val="002E39C1"/>
    <w:rsid w:val="002E6E9F"/>
    <w:rsid w:val="002F4119"/>
    <w:rsid w:val="002F41F3"/>
    <w:rsid w:val="003029CF"/>
    <w:rsid w:val="00305161"/>
    <w:rsid w:val="00322D64"/>
    <w:rsid w:val="00341D21"/>
    <w:rsid w:val="003433F7"/>
    <w:rsid w:val="0035586E"/>
    <w:rsid w:val="00367C34"/>
    <w:rsid w:val="003842CC"/>
    <w:rsid w:val="0038519C"/>
    <w:rsid w:val="00385A3C"/>
    <w:rsid w:val="003A2D27"/>
    <w:rsid w:val="003E122C"/>
    <w:rsid w:val="003F0415"/>
    <w:rsid w:val="00410959"/>
    <w:rsid w:val="00414BB2"/>
    <w:rsid w:val="00424AFA"/>
    <w:rsid w:val="00451484"/>
    <w:rsid w:val="00452DE5"/>
    <w:rsid w:val="004575B5"/>
    <w:rsid w:val="004771F3"/>
    <w:rsid w:val="004D15D8"/>
    <w:rsid w:val="004E3740"/>
    <w:rsid w:val="00534607"/>
    <w:rsid w:val="00534FD9"/>
    <w:rsid w:val="00542FB1"/>
    <w:rsid w:val="0055146B"/>
    <w:rsid w:val="00560757"/>
    <w:rsid w:val="00567BCA"/>
    <w:rsid w:val="00587832"/>
    <w:rsid w:val="005B5B9E"/>
    <w:rsid w:val="005C62D5"/>
    <w:rsid w:val="005D7A96"/>
    <w:rsid w:val="00601823"/>
    <w:rsid w:val="0061090E"/>
    <w:rsid w:val="006115C6"/>
    <w:rsid w:val="00666FCD"/>
    <w:rsid w:val="00690659"/>
    <w:rsid w:val="00697EB7"/>
    <w:rsid w:val="006D3C51"/>
    <w:rsid w:val="007125EB"/>
    <w:rsid w:val="0071528E"/>
    <w:rsid w:val="0073553D"/>
    <w:rsid w:val="00743155"/>
    <w:rsid w:val="00745A9A"/>
    <w:rsid w:val="00762968"/>
    <w:rsid w:val="00764D8A"/>
    <w:rsid w:val="00777251"/>
    <w:rsid w:val="00780218"/>
    <w:rsid w:val="00780F4D"/>
    <w:rsid w:val="007947BD"/>
    <w:rsid w:val="007B7EE2"/>
    <w:rsid w:val="00812575"/>
    <w:rsid w:val="00821D2E"/>
    <w:rsid w:val="00837A64"/>
    <w:rsid w:val="00852EF6"/>
    <w:rsid w:val="008544B9"/>
    <w:rsid w:val="008557D7"/>
    <w:rsid w:val="00872863"/>
    <w:rsid w:val="00896B4D"/>
    <w:rsid w:val="008A1C2F"/>
    <w:rsid w:val="008D10F0"/>
    <w:rsid w:val="008E0F15"/>
    <w:rsid w:val="008E429D"/>
    <w:rsid w:val="008E71C9"/>
    <w:rsid w:val="008F2E80"/>
    <w:rsid w:val="008F7661"/>
    <w:rsid w:val="009028CA"/>
    <w:rsid w:val="00981904"/>
    <w:rsid w:val="009A6E09"/>
    <w:rsid w:val="009E2876"/>
    <w:rsid w:val="009F0FA6"/>
    <w:rsid w:val="00A30822"/>
    <w:rsid w:val="00A310B1"/>
    <w:rsid w:val="00A52CFC"/>
    <w:rsid w:val="00A57381"/>
    <w:rsid w:val="00A7744A"/>
    <w:rsid w:val="00A8179C"/>
    <w:rsid w:val="00A83DCF"/>
    <w:rsid w:val="00A909F7"/>
    <w:rsid w:val="00A9793F"/>
    <w:rsid w:val="00AC49B7"/>
    <w:rsid w:val="00AD6282"/>
    <w:rsid w:val="00AF550B"/>
    <w:rsid w:val="00B36F63"/>
    <w:rsid w:val="00B46C37"/>
    <w:rsid w:val="00B81B84"/>
    <w:rsid w:val="00B90606"/>
    <w:rsid w:val="00BB1606"/>
    <w:rsid w:val="00C87026"/>
    <w:rsid w:val="00CC7EBB"/>
    <w:rsid w:val="00CE4B93"/>
    <w:rsid w:val="00CF63F7"/>
    <w:rsid w:val="00D164A8"/>
    <w:rsid w:val="00D33A36"/>
    <w:rsid w:val="00D41C1D"/>
    <w:rsid w:val="00D541C6"/>
    <w:rsid w:val="00D55C29"/>
    <w:rsid w:val="00E33A1F"/>
    <w:rsid w:val="00E3727C"/>
    <w:rsid w:val="00E570EB"/>
    <w:rsid w:val="00E63FEC"/>
    <w:rsid w:val="00E92A75"/>
    <w:rsid w:val="00E9328F"/>
    <w:rsid w:val="00EB43DC"/>
    <w:rsid w:val="00EE0B8A"/>
    <w:rsid w:val="00EF20E6"/>
    <w:rsid w:val="00F1382B"/>
    <w:rsid w:val="00F65D29"/>
    <w:rsid w:val="00F7757C"/>
    <w:rsid w:val="00F77E95"/>
    <w:rsid w:val="00FC1149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3F"/>
    <w:rPr>
      <w:rFonts w:ascii="Arial" w:eastAsia="PMingLiU" w:hAnsi="Arial"/>
      <w:sz w:val="22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544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next w:val="Normal"/>
    <w:link w:val="Heading3Char"/>
    <w:qFormat/>
    <w:rsid w:val="00A310B1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8E429D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styleId="Header">
    <w:name w:val="header"/>
    <w:basedOn w:val="Normal"/>
    <w:rsid w:val="008E42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4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3BE2"/>
    <w:rPr>
      <w:color w:val="0000FF"/>
      <w:u w:val="single"/>
    </w:rPr>
  </w:style>
  <w:style w:type="paragraph" w:customStyle="1" w:styleId="HeaderWorkProgram">
    <w:name w:val="Header Work Program"/>
    <w:rsid w:val="00A310B1"/>
    <w:pPr>
      <w:widowControl w:val="0"/>
      <w:tabs>
        <w:tab w:val="right" w:pos="1951"/>
      </w:tabs>
      <w:suppressAutoHyphens/>
      <w:spacing w:after="80"/>
    </w:pPr>
    <w:rPr>
      <w:rFonts w:ascii="Arial" w:hAnsi="Arial"/>
      <w:b/>
      <w:sz w:val="36"/>
      <w:szCs w:val="36"/>
    </w:rPr>
  </w:style>
  <w:style w:type="character" w:styleId="CommentReference">
    <w:name w:val="annotation reference"/>
    <w:basedOn w:val="DefaultParagraphFont"/>
    <w:semiHidden/>
    <w:rsid w:val="00B46C37"/>
    <w:rPr>
      <w:sz w:val="16"/>
      <w:szCs w:val="16"/>
    </w:rPr>
  </w:style>
  <w:style w:type="paragraph" w:styleId="CommentText">
    <w:name w:val="annotation text"/>
    <w:basedOn w:val="Normal"/>
    <w:semiHidden/>
    <w:rsid w:val="00B46C37"/>
    <w:rPr>
      <w:sz w:val="20"/>
      <w:szCs w:val="20"/>
    </w:rPr>
  </w:style>
  <w:style w:type="paragraph" w:customStyle="1" w:styleId="Bulletslevel1">
    <w:name w:val="Bullets level 1"/>
    <w:basedOn w:val="Normal"/>
    <w:rsid w:val="00414BB2"/>
    <w:pPr>
      <w:numPr>
        <w:numId w:val="1"/>
      </w:numPr>
      <w:spacing w:before="80" w:after="80" w:line="280" w:lineRule="atLeast"/>
    </w:pPr>
    <w:rPr>
      <w:rFonts w:eastAsia="Times New Roman"/>
      <w:lang w:eastAsia="en-AU"/>
    </w:rPr>
  </w:style>
  <w:style w:type="paragraph" w:customStyle="1" w:styleId="Heading2Table">
    <w:name w:val="Heading 2 Table"/>
    <w:rsid w:val="002A0FC2"/>
    <w:pPr>
      <w:keepNext/>
      <w:tabs>
        <w:tab w:val="right" w:pos="9398"/>
      </w:tabs>
      <w:suppressAutoHyphens/>
      <w:spacing w:before="60" w:after="60"/>
      <w:jc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Courseofstudy">
    <w:name w:val="Course of study"/>
    <w:basedOn w:val="Normal"/>
    <w:link w:val="CourseofstudyChar"/>
    <w:rsid w:val="00B46C37"/>
    <w:pPr>
      <w:keepNext/>
      <w:pageBreakBefore/>
      <w:tabs>
        <w:tab w:val="left" w:pos="1985"/>
      </w:tabs>
      <w:suppressAutoHyphens/>
      <w:spacing w:after="120"/>
      <w:outlineLvl w:val="0"/>
    </w:pPr>
    <w:rPr>
      <w:rFonts w:eastAsia="Times New Roman" w:cs="Arial"/>
      <w:b/>
      <w:bCs/>
      <w:kern w:val="32"/>
      <w:sz w:val="36"/>
      <w:szCs w:val="28"/>
      <w:lang w:eastAsia="en-AU"/>
    </w:rPr>
  </w:style>
  <w:style w:type="paragraph" w:customStyle="1" w:styleId="Tablebulletslevel1">
    <w:name w:val="Table bullets level 1"/>
    <w:basedOn w:val="Bulletslevel1"/>
    <w:link w:val="Tablebulletslevel1Char"/>
    <w:rsid w:val="00B46C37"/>
    <w:pPr>
      <w:tabs>
        <w:tab w:val="clear" w:pos="380"/>
        <w:tab w:val="num" w:pos="252"/>
      </w:tabs>
      <w:spacing w:before="60" w:after="60" w:line="240" w:lineRule="auto"/>
      <w:ind w:left="252" w:hanging="252"/>
    </w:pPr>
    <w:rPr>
      <w:sz w:val="18"/>
      <w:szCs w:val="18"/>
      <w:lang w:val="en-GB"/>
    </w:rPr>
  </w:style>
  <w:style w:type="character" w:customStyle="1" w:styleId="Tablebulletslevel1Char">
    <w:name w:val="Table bullets level 1 Char"/>
    <w:basedOn w:val="DefaultParagraphFont"/>
    <w:link w:val="Tablebulletslevel1"/>
    <w:rsid w:val="00B46C37"/>
    <w:rPr>
      <w:rFonts w:ascii="Arial" w:hAnsi="Arial"/>
      <w:sz w:val="18"/>
      <w:szCs w:val="18"/>
      <w:lang w:val="en-GB" w:eastAsia="en-AU" w:bidi="ar-SA"/>
    </w:rPr>
  </w:style>
  <w:style w:type="character" w:customStyle="1" w:styleId="CourseofstudyChar">
    <w:name w:val="Course of study Char"/>
    <w:basedOn w:val="DefaultParagraphFont"/>
    <w:link w:val="Courseofstudy"/>
    <w:rsid w:val="00B46C37"/>
    <w:rPr>
      <w:rFonts w:ascii="Arial" w:hAnsi="Arial" w:cs="Arial"/>
      <w:b/>
      <w:bCs/>
      <w:kern w:val="32"/>
      <w:sz w:val="36"/>
      <w:szCs w:val="28"/>
      <w:lang w:val="en-AU" w:eastAsia="en-AU" w:bidi="ar-SA"/>
    </w:rPr>
  </w:style>
  <w:style w:type="paragraph" w:customStyle="1" w:styleId="Tableheaderwhite">
    <w:name w:val="Table header white"/>
    <w:basedOn w:val="Courseofstudy"/>
    <w:link w:val="TableheaderwhiteChar"/>
    <w:rsid w:val="008E429D"/>
    <w:pPr>
      <w:spacing w:before="120"/>
    </w:pPr>
    <w:rPr>
      <w:color w:val="FFFFFF"/>
      <w:sz w:val="34"/>
      <w:szCs w:val="34"/>
    </w:rPr>
  </w:style>
  <w:style w:type="paragraph" w:styleId="BalloonText">
    <w:name w:val="Balloon Text"/>
    <w:basedOn w:val="Normal"/>
    <w:semiHidden/>
    <w:rsid w:val="00B46C37"/>
    <w:rPr>
      <w:rFonts w:ascii="Tahoma" w:hAnsi="Tahoma" w:cs="Tahoma"/>
      <w:sz w:val="16"/>
      <w:szCs w:val="16"/>
    </w:rPr>
  </w:style>
  <w:style w:type="paragraph" w:customStyle="1" w:styleId="mediumspace">
    <w:name w:val="medium space"/>
    <w:basedOn w:val="Normal"/>
    <w:rsid w:val="00B46C37"/>
    <w:pPr>
      <w:widowControl w:val="0"/>
    </w:pPr>
    <w:rPr>
      <w:sz w:val="10"/>
      <w:szCs w:val="10"/>
    </w:rPr>
  </w:style>
  <w:style w:type="paragraph" w:customStyle="1" w:styleId="Organiser">
    <w:name w:val="Organiser"/>
    <w:basedOn w:val="Normal"/>
    <w:link w:val="OrganiserChar"/>
    <w:rsid w:val="00096303"/>
    <w:pPr>
      <w:spacing w:before="60" w:after="60"/>
    </w:pPr>
    <w:rPr>
      <w:rFonts w:cs="Arial"/>
      <w:b/>
      <w:i/>
    </w:rPr>
  </w:style>
  <w:style w:type="character" w:customStyle="1" w:styleId="OrganiserChar">
    <w:name w:val="Organiser Char"/>
    <w:basedOn w:val="DefaultParagraphFont"/>
    <w:link w:val="Organiser"/>
    <w:rsid w:val="00096303"/>
    <w:rPr>
      <w:rFonts w:ascii="Arial" w:eastAsia="PMingLiU" w:hAnsi="Arial" w:cs="Arial"/>
      <w:b/>
      <w:i/>
      <w:sz w:val="22"/>
      <w:szCs w:val="24"/>
      <w:lang w:val="en-AU" w:eastAsia="zh-TW" w:bidi="ar-SA"/>
    </w:rPr>
  </w:style>
  <w:style w:type="table" w:customStyle="1" w:styleId="TableGrid1">
    <w:name w:val="Table Grid1"/>
    <w:basedOn w:val="TableNormal"/>
    <w:next w:val="TableGrid"/>
    <w:rsid w:val="007B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level2">
    <w:name w:val="Bullets level 2"/>
    <w:basedOn w:val="Normal"/>
    <w:rsid w:val="00414BB2"/>
    <w:pPr>
      <w:numPr>
        <w:numId w:val="3"/>
      </w:numPr>
      <w:spacing w:before="80" w:after="80" w:line="280" w:lineRule="atLeast"/>
    </w:pPr>
    <w:rPr>
      <w:rFonts w:eastAsia="Times New Roman"/>
      <w:lang w:eastAsia="en-AU"/>
    </w:rPr>
  </w:style>
  <w:style w:type="paragraph" w:styleId="Footer">
    <w:name w:val="footer"/>
    <w:basedOn w:val="Normal"/>
    <w:rsid w:val="008E429D"/>
    <w:pPr>
      <w:tabs>
        <w:tab w:val="center" w:pos="4153"/>
        <w:tab w:val="right" w:pos="8306"/>
      </w:tabs>
    </w:pPr>
  </w:style>
  <w:style w:type="paragraph" w:customStyle="1" w:styleId="Boldstem">
    <w:name w:val="Bold stem"/>
    <w:basedOn w:val="Organiser"/>
    <w:rsid w:val="00A57381"/>
    <w:pPr>
      <w:spacing w:before="120"/>
    </w:pPr>
    <w:rPr>
      <w:i w:val="0"/>
    </w:rPr>
  </w:style>
  <w:style w:type="paragraph" w:customStyle="1" w:styleId="Boldstatement">
    <w:name w:val="Bold statement"/>
    <w:basedOn w:val="Organiser"/>
    <w:rsid w:val="00096303"/>
    <w:rPr>
      <w:i w:val="0"/>
      <w:sz w:val="20"/>
      <w:szCs w:val="20"/>
      <w:lang w:val="en-GB"/>
    </w:rPr>
  </w:style>
  <w:style w:type="paragraph" w:customStyle="1" w:styleId="Assessableelement">
    <w:name w:val="Assessable element"/>
    <w:basedOn w:val="Tablebulletslevel1"/>
    <w:link w:val="AssessableelementCharChar"/>
    <w:rsid w:val="00542FB1"/>
    <w:pPr>
      <w:numPr>
        <w:numId w:val="0"/>
      </w:numPr>
    </w:pPr>
    <w:rPr>
      <w:sz w:val="24"/>
      <w:szCs w:val="24"/>
    </w:rPr>
  </w:style>
  <w:style w:type="character" w:customStyle="1" w:styleId="AssessableelementCharChar">
    <w:name w:val="Assessable element Char Char"/>
    <w:basedOn w:val="Tablebulletslevel1Char"/>
    <w:link w:val="Assessableelement"/>
    <w:rsid w:val="00542FB1"/>
    <w:rPr>
      <w:rFonts w:ascii="Arial" w:hAnsi="Arial"/>
      <w:sz w:val="24"/>
      <w:szCs w:val="24"/>
      <w:lang w:val="en-GB" w:eastAsia="en-AU" w:bidi="ar-SA"/>
    </w:rPr>
  </w:style>
  <w:style w:type="paragraph" w:customStyle="1" w:styleId="Tabletext">
    <w:name w:val="Table text"/>
    <w:basedOn w:val="Tablebulletslevel1"/>
    <w:rsid w:val="00B90606"/>
    <w:pPr>
      <w:numPr>
        <w:numId w:val="0"/>
      </w:numPr>
    </w:pPr>
  </w:style>
  <w:style w:type="paragraph" w:customStyle="1" w:styleId="continuedonnextpage">
    <w:name w:val="continued on next page"/>
    <w:basedOn w:val="Normal"/>
    <w:link w:val="continuedonnextpageChar"/>
    <w:rsid w:val="00780218"/>
    <w:pPr>
      <w:spacing w:before="120"/>
      <w:jc w:val="right"/>
    </w:pPr>
    <w:rPr>
      <w:rFonts w:cs="Arial"/>
      <w:sz w:val="20"/>
      <w:szCs w:val="20"/>
    </w:rPr>
  </w:style>
  <w:style w:type="character" w:customStyle="1" w:styleId="continuedonnextpageChar">
    <w:name w:val="continued on next page Char"/>
    <w:basedOn w:val="DefaultParagraphFont"/>
    <w:link w:val="continuedonnextpage"/>
    <w:rsid w:val="00780218"/>
    <w:rPr>
      <w:rFonts w:ascii="Arial" w:eastAsia="PMingLiU" w:hAnsi="Arial" w:cs="Arial"/>
      <w:lang w:val="en-AU" w:eastAsia="zh-TW" w:bidi="ar-SA"/>
    </w:rPr>
  </w:style>
  <w:style w:type="paragraph" w:styleId="CommentSubject">
    <w:name w:val="annotation subject"/>
    <w:basedOn w:val="CommentText"/>
    <w:next w:val="CommentText"/>
    <w:semiHidden/>
    <w:rsid w:val="008E0F15"/>
    <w:rPr>
      <w:b/>
      <w:bCs/>
    </w:rPr>
  </w:style>
  <w:style w:type="paragraph" w:customStyle="1" w:styleId="STAGE">
    <w:name w:val="STAGE"/>
    <w:basedOn w:val="Heading1"/>
    <w:link w:val="STAGEChar"/>
    <w:rsid w:val="00E63FEC"/>
    <w:pPr>
      <w:spacing w:before="0" w:after="0"/>
    </w:pPr>
    <w:rPr>
      <w:color w:val="999999"/>
    </w:rPr>
  </w:style>
  <w:style w:type="character" w:customStyle="1" w:styleId="Heading1Char">
    <w:name w:val="Heading 1 Char"/>
    <w:basedOn w:val="DefaultParagraphFont"/>
    <w:link w:val="Heading1"/>
    <w:rsid w:val="008544B9"/>
    <w:rPr>
      <w:rFonts w:ascii="Arial" w:eastAsia="PMingLiU" w:hAnsi="Arial" w:cs="Arial"/>
      <w:b/>
      <w:bCs/>
      <w:kern w:val="32"/>
      <w:sz w:val="32"/>
      <w:szCs w:val="32"/>
      <w:lang w:val="en-AU" w:eastAsia="zh-TW" w:bidi="ar-SA"/>
    </w:rPr>
  </w:style>
  <w:style w:type="character" w:customStyle="1" w:styleId="STAGEChar">
    <w:name w:val="STAGE Char"/>
    <w:basedOn w:val="Heading1Char"/>
    <w:link w:val="STAGE"/>
    <w:rsid w:val="00E63FEC"/>
    <w:rPr>
      <w:rFonts w:ascii="Arial" w:eastAsia="PMingLiU" w:hAnsi="Arial" w:cs="Arial"/>
      <w:b/>
      <w:bCs/>
      <w:color w:val="999999"/>
      <w:kern w:val="32"/>
      <w:sz w:val="32"/>
      <w:szCs w:val="32"/>
      <w:lang w:val="en-AU" w:eastAsia="zh-TW" w:bidi="ar-SA"/>
    </w:rPr>
  </w:style>
  <w:style w:type="paragraph" w:customStyle="1" w:styleId="tableheaderwhite165pt">
    <w:name w:val="table header white 16.5pt"/>
    <w:basedOn w:val="Tableheaderwhite"/>
    <w:link w:val="tableheaderwhite165ptChar"/>
    <w:rsid w:val="0035586E"/>
    <w:rPr>
      <w:sz w:val="33"/>
      <w:szCs w:val="33"/>
    </w:rPr>
  </w:style>
  <w:style w:type="character" w:customStyle="1" w:styleId="TableheaderwhiteChar">
    <w:name w:val="Table header white Char"/>
    <w:basedOn w:val="CourseofstudyChar"/>
    <w:link w:val="Tableheaderwhite"/>
    <w:rsid w:val="0035586E"/>
    <w:rPr>
      <w:rFonts w:ascii="Arial" w:hAnsi="Arial" w:cs="Arial"/>
      <w:b/>
      <w:bCs/>
      <w:color w:val="FFFFFF"/>
      <w:kern w:val="32"/>
      <w:sz w:val="34"/>
      <w:szCs w:val="34"/>
      <w:lang w:val="en-AU" w:eastAsia="en-AU" w:bidi="ar-SA"/>
    </w:rPr>
  </w:style>
  <w:style w:type="character" w:customStyle="1" w:styleId="tableheaderwhite165ptChar">
    <w:name w:val="table header white 16.5pt Char"/>
    <w:basedOn w:val="TableheaderwhiteChar"/>
    <w:link w:val="tableheaderwhite165pt"/>
    <w:rsid w:val="0035586E"/>
    <w:rPr>
      <w:rFonts w:ascii="Arial" w:hAnsi="Arial" w:cs="Arial"/>
      <w:b/>
      <w:bCs/>
      <w:color w:val="FFFFFF"/>
      <w:kern w:val="32"/>
      <w:sz w:val="33"/>
      <w:szCs w:val="33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3F"/>
    <w:rPr>
      <w:rFonts w:ascii="Arial" w:eastAsia="PMingLiU" w:hAnsi="Arial"/>
      <w:sz w:val="22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544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next w:val="Normal"/>
    <w:link w:val="Heading3Char"/>
    <w:qFormat/>
    <w:rsid w:val="00A310B1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8E429D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styleId="Header">
    <w:name w:val="header"/>
    <w:basedOn w:val="Normal"/>
    <w:rsid w:val="008E42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4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3BE2"/>
    <w:rPr>
      <w:color w:val="0000FF"/>
      <w:u w:val="single"/>
    </w:rPr>
  </w:style>
  <w:style w:type="paragraph" w:customStyle="1" w:styleId="HeaderWorkProgram">
    <w:name w:val="Header Work Program"/>
    <w:rsid w:val="00A310B1"/>
    <w:pPr>
      <w:widowControl w:val="0"/>
      <w:tabs>
        <w:tab w:val="right" w:pos="1951"/>
      </w:tabs>
      <w:suppressAutoHyphens/>
      <w:spacing w:after="80"/>
    </w:pPr>
    <w:rPr>
      <w:rFonts w:ascii="Arial" w:hAnsi="Arial"/>
      <w:b/>
      <w:sz w:val="36"/>
      <w:szCs w:val="36"/>
    </w:rPr>
  </w:style>
  <w:style w:type="character" w:styleId="CommentReference">
    <w:name w:val="annotation reference"/>
    <w:basedOn w:val="DefaultParagraphFont"/>
    <w:semiHidden/>
    <w:rsid w:val="00B46C37"/>
    <w:rPr>
      <w:sz w:val="16"/>
      <w:szCs w:val="16"/>
    </w:rPr>
  </w:style>
  <w:style w:type="paragraph" w:styleId="CommentText">
    <w:name w:val="annotation text"/>
    <w:basedOn w:val="Normal"/>
    <w:semiHidden/>
    <w:rsid w:val="00B46C37"/>
    <w:rPr>
      <w:sz w:val="20"/>
      <w:szCs w:val="20"/>
    </w:rPr>
  </w:style>
  <w:style w:type="paragraph" w:customStyle="1" w:styleId="Bulletslevel1">
    <w:name w:val="Bullets level 1"/>
    <w:basedOn w:val="Normal"/>
    <w:rsid w:val="00414BB2"/>
    <w:pPr>
      <w:numPr>
        <w:numId w:val="1"/>
      </w:numPr>
      <w:spacing w:before="80" w:after="80" w:line="280" w:lineRule="atLeast"/>
    </w:pPr>
    <w:rPr>
      <w:rFonts w:eastAsia="Times New Roman"/>
      <w:lang w:eastAsia="en-AU"/>
    </w:rPr>
  </w:style>
  <w:style w:type="paragraph" w:customStyle="1" w:styleId="Heading2Table">
    <w:name w:val="Heading 2 Table"/>
    <w:rsid w:val="002A0FC2"/>
    <w:pPr>
      <w:keepNext/>
      <w:tabs>
        <w:tab w:val="right" w:pos="9398"/>
      </w:tabs>
      <w:suppressAutoHyphens/>
      <w:spacing w:before="60" w:after="60"/>
      <w:jc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Courseofstudy">
    <w:name w:val="Course of study"/>
    <w:basedOn w:val="Normal"/>
    <w:link w:val="CourseofstudyChar"/>
    <w:rsid w:val="00B46C37"/>
    <w:pPr>
      <w:keepNext/>
      <w:pageBreakBefore/>
      <w:tabs>
        <w:tab w:val="left" w:pos="1985"/>
      </w:tabs>
      <w:suppressAutoHyphens/>
      <w:spacing w:after="120"/>
      <w:outlineLvl w:val="0"/>
    </w:pPr>
    <w:rPr>
      <w:rFonts w:eastAsia="Times New Roman" w:cs="Arial"/>
      <w:b/>
      <w:bCs/>
      <w:kern w:val="32"/>
      <w:sz w:val="36"/>
      <w:szCs w:val="28"/>
      <w:lang w:eastAsia="en-AU"/>
    </w:rPr>
  </w:style>
  <w:style w:type="paragraph" w:customStyle="1" w:styleId="Tablebulletslevel1">
    <w:name w:val="Table bullets level 1"/>
    <w:basedOn w:val="Bulletslevel1"/>
    <w:link w:val="Tablebulletslevel1Char"/>
    <w:rsid w:val="00B46C37"/>
    <w:pPr>
      <w:tabs>
        <w:tab w:val="clear" w:pos="380"/>
        <w:tab w:val="num" w:pos="252"/>
      </w:tabs>
      <w:spacing w:before="60" w:after="60" w:line="240" w:lineRule="auto"/>
      <w:ind w:left="252" w:hanging="252"/>
    </w:pPr>
    <w:rPr>
      <w:sz w:val="18"/>
      <w:szCs w:val="18"/>
      <w:lang w:val="en-GB"/>
    </w:rPr>
  </w:style>
  <w:style w:type="character" w:customStyle="1" w:styleId="Tablebulletslevel1Char">
    <w:name w:val="Table bullets level 1 Char"/>
    <w:basedOn w:val="DefaultParagraphFont"/>
    <w:link w:val="Tablebulletslevel1"/>
    <w:rsid w:val="00B46C37"/>
    <w:rPr>
      <w:rFonts w:ascii="Arial" w:hAnsi="Arial"/>
      <w:sz w:val="18"/>
      <w:szCs w:val="18"/>
      <w:lang w:val="en-GB" w:eastAsia="en-AU" w:bidi="ar-SA"/>
    </w:rPr>
  </w:style>
  <w:style w:type="character" w:customStyle="1" w:styleId="CourseofstudyChar">
    <w:name w:val="Course of study Char"/>
    <w:basedOn w:val="DefaultParagraphFont"/>
    <w:link w:val="Courseofstudy"/>
    <w:rsid w:val="00B46C37"/>
    <w:rPr>
      <w:rFonts w:ascii="Arial" w:hAnsi="Arial" w:cs="Arial"/>
      <w:b/>
      <w:bCs/>
      <w:kern w:val="32"/>
      <w:sz w:val="36"/>
      <w:szCs w:val="28"/>
      <w:lang w:val="en-AU" w:eastAsia="en-AU" w:bidi="ar-SA"/>
    </w:rPr>
  </w:style>
  <w:style w:type="paragraph" w:customStyle="1" w:styleId="Tableheaderwhite">
    <w:name w:val="Table header white"/>
    <w:basedOn w:val="Courseofstudy"/>
    <w:link w:val="TableheaderwhiteChar"/>
    <w:rsid w:val="008E429D"/>
    <w:pPr>
      <w:spacing w:before="120"/>
    </w:pPr>
    <w:rPr>
      <w:color w:val="FFFFFF"/>
      <w:sz w:val="34"/>
      <w:szCs w:val="34"/>
    </w:rPr>
  </w:style>
  <w:style w:type="paragraph" w:styleId="BalloonText">
    <w:name w:val="Balloon Text"/>
    <w:basedOn w:val="Normal"/>
    <w:semiHidden/>
    <w:rsid w:val="00B46C37"/>
    <w:rPr>
      <w:rFonts w:ascii="Tahoma" w:hAnsi="Tahoma" w:cs="Tahoma"/>
      <w:sz w:val="16"/>
      <w:szCs w:val="16"/>
    </w:rPr>
  </w:style>
  <w:style w:type="paragraph" w:customStyle="1" w:styleId="mediumspace">
    <w:name w:val="medium space"/>
    <w:basedOn w:val="Normal"/>
    <w:rsid w:val="00B46C37"/>
    <w:pPr>
      <w:widowControl w:val="0"/>
    </w:pPr>
    <w:rPr>
      <w:sz w:val="10"/>
      <w:szCs w:val="10"/>
    </w:rPr>
  </w:style>
  <w:style w:type="paragraph" w:customStyle="1" w:styleId="Organiser">
    <w:name w:val="Organiser"/>
    <w:basedOn w:val="Normal"/>
    <w:link w:val="OrganiserChar"/>
    <w:rsid w:val="00096303"/>
    <w:pPr>
      <w:spacing w:before="60" w:after="60"/>
    </w:pPr>
    <w:rPr>
      <w:rFonts w:cs="Arial"/>
      <w:b/>
      <w:i/>
    </w:rPr>
  </w:style>
  <w:style w:type="character" w:customStyle="1" w:styleId="OrganiserChar">
    <w:name w:val="Organiser Char"/>
    <w:basedOn w:val="DefaultParagraphFont"/>
    <w:link w:val="Organiser"/>
    <w:rsid w:val="00096303"/>
    <w:rPr>
      <w:rFonts w:ascii="Arial" w:eastAsia="PMingLiU" w:hAnsi="Arial" w:cs="Arial"/>
      <w:b/>
      <w:i/>
      <w:sz w:val="22"/>
      <w:szCs w:val="24"/>
      <w:lang w:val="en-AU" w:eastAsia="zh-TW" w:bidi="ar-SA"/>
    </w:rPr>
  </w:style>
  <w:style w:type="table" w:customStyle="1" w:styleId="TableGrid1">
    <w:name w:val="Table Grid1"/>
    <w:basedOn w:val="TableNormal"/>
    <w:next w:val="TableGrid"/>
    <w:rsid w:val="007B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level2">
    <w:name w:val="Bullets level 2"/>
    <w:basedOn w:val="Normal"/>
    <w:rsid w:val="00414BB2"/>
    <w:pPr>
      <w:numPr>
        <w:numId w:val="3"/>
      </w:numPr>
      <w:spacing w:before="80" w:after="80" w:line="280" w:lineRule="atLeast"/>
    </w:pPr>
    <w:rPr>
      <w:rFonts w:eastAsia="Times New Roman"/>
      <w:lang w:eastAsia="en-AU"/>
    </w:rPr>
  </w:style>
  <w:style w:type="paragraph" w:styleId="Footer">
    <w:name w:val="footer"/>
    <w:basedOn w:val="Normal"/>
    <w:rsid w:val="008E429D"/>
    <w:pPr>
      <w:tabs>
        <w:tab w:val="center" w:pos="4153"/>
        <w:tab w:val="right" w:pos="8306"/>
      </w:tabs>
    </w:pPr>
  </w:style>
  <w:style w:type="paragraph" w:customStyle="1" w:styleId="Boldstem">
    <w:name w:val="Bold stem"/>
    <w:basedOn w:val="Organiser"/>
    <w:rsid w:val="00A57381"/>
    <w:pPr>
      <w:spacing w:before="120"/>
    </w:pPr>
    <w:rPr>
      <w:i w:val="0"/>
    </w:rPr>
  </w:style>
  <w:style w:type="paragraph" w:customStyle="1" w:styleId="Boldstatement">
    <w:name w:val="Bold statement"/>
    <w:basedOn w:val="Organiser"/>
    <w:rsid w:val="00096303"/>
    <w:rPr>
      <w:i w:val="0"/>
      <w:sz w:val="20"/>
      <w:szCs w:val="20"/>
      <w:lang w:val="en-GB"/>
    </w:rPr>
  </w:style>
  <w:style w:type="paragraph" w:customStyle="1" w:styleId="Assessableelement">
    <w:name w:val="Assessable element"/>
    <w:basedOn w:val="Tablebulletslevel1"/>
    <w:link w:val="AssessableelementCharChar"/>
    <w:rsid w:val="00542FB1"/>
    <w:pPr>
      <w:numPr>
        <w:numId w:val="0"/>
      </w:numPr>
    </w:pPr>
    <w:rPr>
      <w:sz w:val="24"/>
      <w:szCs w:val="24"/>
    </w:rPr>
  </w:style>
  <w:style w:type="character" w:customStyle="1" w:styleId="AssessableelementCharChar">
    <w:name w:val="Assessable element Char Char"/>
    <w:basedOn w:val="Tablebulletslevel1Char"/>
    <w:link w:val="Assessableelement"/>
    <w:rsid w:val="00542FB1"/>
    <w:rPr>
      <w:rFonts w:ascii="Arial" w:hAnsi="Arial"/>
      <w:sz w:val="24"/>
      <w:szCs w:val="24"/>
      <w:lang w:val="en-GB" w:eastAsia="en-AU" w:bidi="ar-SA"/>
    </w:rPr>
  </w:style>
  <w:style w:type="paragraph" w:customStyle="1" w:styleId="Tabletext">
    <w:name w:val="Table text"/>
    <w:basedOn w:val="Tablebulletslevel1"/>
    <w:rsid w:val="00B90606"/>
    <w:pPr>
      <w:numPr>
        <w:numId w:val="0"/>
      </w:numPr>
    </w:pPr>
  </w:style>
  <w:style w:type="paragraph" w:customStyle="1" w:styleId="continuedonnextpage">
    <w:name w:val="continued on next page"/>
    <w:basedOn w:val="Normal"/>
    <w:link w:val="continuedonnextpageChar"/>
    <w:rsid w:val="00780218"/>
    <w:pPr>
      <w:spacing w:before="120"/>
      <w:jc w:val="right"/>
    </w:pPr>
    <w:rPr>
      <w:rFonts w:cs="Arial"/>
      <w:sz w:val="20"/>
      <w:szCs w:val="20"/>
    </w:rPr>
  </w:style>
  <w:style w:type="character" w:customStyle="1" w:styleId="continuedonnextpageChar">
    <w:name w:val="continued on next page Char"/>
    <w:basedOn w:val="DefaultParagraphFont"/>
    <w:link w:val="continuedonnextpage"/>
    <w:rsid w:val="00780218"/>
    <w:rPr>
      <w:rFonts w:ascii="Arial" w:eastAsia="PMingLiU" w:hAnsi="Arial" w:cs="Arial"/>
      <w:lang w:val="en-AU" w:eastAsia="zh-TW" w:bidi="ar-SA"/>
    </w:rPr>
  </w:style>
  <w:style w:type="paragraph" w:styleId="CommentSubject">
    <w:name w:val="annotation subject"/>
    <w:basedOn w:val="CommentText"/>
    <w:next w:val="CommentText"/>
    <w:semiHidden/>
    <w:rsid w:val="008E0F15"/>
    <w:rPr>
      <w:b/>
      <w:bCs/>
    </w:rPr>
  </w:style>
  <w:style w:type="paragraph" w:customStyle="1" w:styleId="STAGE">
    <w:name w:val="STAGE"/>
    <w:basedOn w:val="Heading1"/>
    <w:link w:val="STAGEChar"/>
    <w:rsid w:val="00E63FEC"/>
    <w:pPr>
      <w:spacing w:before="0" w:after="0"/>
    </w:pPr>
    <w:rPr>
      <w:color w:val="999999"/>
    </w:rPr>
  </w:style>
  <w:style w:type="character" w:customStyle="1" w:styleId="Heading1Char">
    <w:name w:val="Heading 1 Char"/>
    <w:basedOn w:val="DefaultParagraphFont"/>
    <w:link w:val="Heading1"/>
    <w:rsid w:val="008544B9"/>
    <w:rPr>
      <w:rFonts w:ascii="Arial" w:eastAsia="PMingLiU" w:hAnsi="Arial" w:cs="Arial"/>
      <w:b/>
      <w:bCs/>
      <w:kern w:val="32"/>
      <w:sz w:val="32"/>
      <w:szCs w:val="32"/>
      <w:lang w:val="en-AU" w:eastAsia="zh-TW" w:bidi="ar-SA"/>
    </w:rPr>
  </w:style>
  <w:style w:type="character" w:customStyle="1" w:styleId="STAGEChar">
    <w:name w:val="STAGE Char"/>
    <w:basedOn w:val="Heading1Char"/>
    <w:link w:val="STAGE"/>
    <w:rsid w:val="00E63FEC"/>
    <w:rPr>
      <w:rFonts w:ascii="Arial" w:eastAsia="PMingLiU" w:hAnsi="Arial" w:cs="Arial"/>
      <w:b/>
      <w:bCs/>
      <w:color w:val="999999"/>
      <w:kern w:val="32"/>
      <w:sz w:val="32"/>
      <w:szCs w:val="32"/>
      <w:lang w:val="en-AU" w:eastAsia="zh-TW" w:bidi="ar-SA"/>
    </w:rPr>
  </w:style>
  <w:style w:type="paragraph" w:customStyle="1" w:styleId="tableheaderwhite165pt">
    <w:name w:val="table header white 16.5pt"/>
    <w:basedOn w:val="Tableheaderwhite"/>
    <w:link w:val="tableheaderwhite165ptChar"/>
    <w:rsid w:val="0035586E"/>
    <w:rPr>
      <w:sz w:val="33"/>
      <w:szCs w:val="33"/>
    </w:rPr>
  </w:style>
  <w:style w:type="character" w:customStyle="1" w:styleId="TableheaderwhiteChar">
    <w:name w:val="Table header white Char"/>
    <w:basedOn w:val="CourseofstudyChar"/>
    <w:link w:val="Tableheaderwhite"/>
    <w:rsid w:val="0035586E"/>
    <w:rPr>
      <w:rFonts w:ascii="Arial" w:hAnsi="Arial" w:cs="Arial"/>
      <w:b/>
      <w:bCs/>
      <w:color w:val="FFFFFF"/>
      <w:kern w:val="32"/>
      <w:sz w:val="34"/>
      <w:szCs w:val="34"/>
      <w:lang w:val="en-AU" w:eastAsia="en-AU" w:bidi="ar-SA"/>
    </w:rPr>
  </w:style>
  <w:style w:type="character" w:customStyle="1" w:styleId="tableheaderwhite165ptChar">
    <w:name w:val="table header white 16.5pt Char"/>
    <w:basedOn w:val="TableheaderwhiteChar"/>
    <w:link w:val="tableheaderwhite165pt"/>
    <w:rsid w:val="0035586E"/>
    <w:rPr>
      <w:rFonts w:ascii="Arial" w:hAnsi="Arial" w:cs="Arial"/>
      <w:b/>
      <w:bCs/>
      <w:color w:val="FFFFFF"/>
      <w:kern w:val="32"/>
      <w:sz w:val="33"/>
      <w:szCs w:val="33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qsa.qld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qsa.qld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urriculum\Syllabus%20Development\Years%201-10\Lower%20secondary\Lower%20secondary%20work%20program\Template%20development%20Nov%2008\LowerSecondary-Work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LowerSecondary-WorkPlan_template.dot</Template>
  <TotalTime>0</TotalTime>
  <Pages>3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Languages Work Plan</vt:lpstr>
    </vt:vector>
  </TitlesOfParts>
  <Company/>
  <LinksUpToDate>false</LinksUpToDate>
  <CharactersWithSpaces>11369</CharactersWithSpaces>
  <SharedDoc>false</SharedDoc>
  <HLinks>
    <vt:vector size="12" baseType="variant"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Work Plan</dc:title>
  <dc:subject>middle years; units of study; lesson plans; languages other than english</dc:subject>
  <dc:creator>Queensland Studies Authority</dc:creator>
  <cp:keywords/>
  <dc:description/>
  <cp:lastModifiedBy>QSA</cp:lastModifiedBy>
  <cp:revision>2</cp:revision>
  <cp:lastPrinted>1601-01-01T00:00:00Z</cp:lastPrinted>
  <dcterms:created xsi:type="dcterms:W3CDTF">2014-06-18T07:23:00Z</dcterms:created>
  <dcterms:modified xsi:type="dcterms:W3CDTF">2014-06-18T07:23:00Z</dcterms:modified>
</cp:coreProperties>
</file>