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098" w:type="dxa"/>
        <w:tblBorders>
          <w:bottom w:val="single" w:sz="12" w:space="0" w:color="D52B1E"/>
        </w:tblBorders>
        <w:tblCellMar>
          <w:left w:w="0" w:type="dxa"/>
        </w:tblCellMar>
        <w:tblLook w:val="0600" w:firstRow="0" w:lastRow="0" w:firstColumn="0" w:lastColumn="0" w:noHBand="1" w:noVBand="1"/>
      </w:tblPr>
      <w:tblGrid>
        <w:gridCol w:w="971"/>
        <w:gridCol w:w="9519"/>
        <w:gridCol w:w="5608"/>
      </w:tblGrid>
      <w:tr w:rsidR="009303DC" w:rsidTr="00372556">
        <w:trPr>
          <w:trHeight w:val="340"/>
        </w:trPr>
        <w:tc>
          <w:tcPr>
            <w:tcW w:w="971" w:type="dxa"/>
            <w:tcBorders>
              <w:bottom w:val="nil"/>
            </w:tcBorders>
            <w:tcMar>
              <w:left w:w="0" w:type="dxa"/>
              <w:bottom w:w="0" w:type="dxa"/>
              <w:right w:w="0" w:type="dxa"/>
            </w:tcMar>
            <w:vAlign w:val="bottom"/>
          </w:tcPr>
          <w:p w:rsidR="00D469F0" w:rsidRPr="009303DC" w:rsidRDefault="00D469F0" w:rsidP="00372556">
            <w:bookmarkStart w:id="0" w:name="_Toc234219367"/>
          </w:p>
        </w:tc>
        <w:tc>
          <w:tcPr>
            <w:tcW w:w="9519" w:type="dxa"/>
            <w:tcBorders>
              <w:bottom w:val="nil"/>
              <w:right w:val="nil"/>
            </w:tcBorders>
            <w:vAlign w:val="bottom"/>
          </w:tcPr>
          <w:p w:rsidR="00D469F0" w:rsidRPr="009303DC" w:rsidRDefault="00D469F0" w:rsidP="00372556"/>
        </w:tc>
        <w:tc>
          <w:tcPr>
            <w:tcW w:w="5608" w:type="dxa"/>
            <w:tcBorders>
              <w:left w:val="nil"/>
              <w:bottom w:val="nil"/>
            </w:tcBorders>
            <w:tcMar>
              <w:right w:w="0" w:type="dxa"/>
            </w:tcMar>
            <w:vAlign w:val="bottom"/>
          </w:tcPr>
          <w:p w:rsidR="00D469F0" w:rsidRPr="009303DC" w:rsidRDefault="00D469F0" w:rsidP="00372556"/>
        </w:tc>
      </w:tr>
      <w:tr w:rsidR="009303DC" w:rsidTr="00372556">
        <w:trPr>
          <w:trHeight w:hRule="exact" w:val="1508"/>
        </w:trPr>
        <w:tc>
          <w:tcPr>
            <w:tcW w:w="971" w:type="dxa"/>
            <w:tcBorders>
              <w:top w:val="nil"/>
            </w:tcBorders>
            <w:tcMar>
              <w:left w:w="0" w:type="dxa"/>
              <w:bottom w:w="0" w:type="dxa"/>
              <w:right w:w="0" w:type="dxa"/>
            </w:tcMar>
            <w:vAlign w:val="bottom"/>
          </w:tcPr>
          <w:p w:rsidR="009303DC" w:rsidRPr="00F57CBD" w:rsidRDefault="009303DC" w:rsidP="00372556">
            <w:pPr>
              <w:pStyle w:val="Subtitle"/>
              <w:framePr w:wrap="auto" w:vAnchor="margin" w:hAnchor="text" w:xAlign="left" w:yAlign="inline"/>
              <w:suppressOverlap w:val="0"/>
            </w:pPr>
          </w:p>
        </w:tc>
        <w:tc>
          <w:tcPr>
            <w:tcW w:w="9519" w:type="dxa"/>
            <w:tcBorders>
              <w:top w:val="nil"/>
              <w:bottom w:val="single" w:sz="12" w:space="0" w:color="D52B1E"/>
              <w:right w:val="nil"/>
            </w:tcBorders>
          </w:tcPr>
          <w:p w:rsidR="009303DC" w:rsidRPr="004F0180" w:rsidRDefault="009303DC" w:rsidP="00372556">
            <w:pPr>
              <w:pStyle w:val="Title"/>
              <w:framePr w:wrap="auto" w:vAnchor="margin" w:hAnchor="text" w:xAlign="left" w:yAlign="inline"/>
              <w:spacing w:before="0"/>
              <w:suppressOverlap w:val="0"/>
            </w:pPr>
            <w:r w:rsidRPr="004F0180">
              <w:t xml:space="preserve">Queensland </w:t>
            </w:r>
            <w:r w:rsidR="00376080">
              <w:t>kindergarten learning guideline</w:t>
            </w:r>
          </w:p>
          <w:p w:rsidR="009303DC" w:rsidRDefault="009303DC" w:rsidP="00372556">
            <w:pPr>
              <w:pStyle w:val="Subtitle"/>
              <w:framePr w:wrap="auto" w:vAnchor="margin" w:hAnchor="text" w:xAlign="left" w:yAlign="inline"/>
              <w:suppressOverlap w:val="0"/>
            </w:pPr>
            <w:r w:rsidRPr="004F0180">
              <w:t>Professional development | Resources</w:t>
            </w:r>
          </w:p>
        </w:tc>
        <w:tc>
          <w:tcPr>
            <w:tcW w:w="5608" w:type="dxa"/>
            <w:tcBorders>
              <w:top w:val="nil"/>
              <w:left w:val="nil"/>
              <w:bottom w:val="single" w:sz="12" w:space="0" w:color="D52B1E"/>
            </w:tcBorders>
            <w:tcMar>
              <w:right w:w="0" w:type="dxa"/>
            </w:tcMar>
            <w:vAlign w:val="bottom"/>
          </w:tcPr>
          <w:p w:rsidR="009303DC" w:rsidRDefault="00144EEE" w:rsidP="00372556">
            <w:pPr>
              <w:jc w:val="right"/>
              <w:rPr>
                <w:rFonts w:cs="Arial"/>
                <w:noProof/>
                <w:color w:val="6F7378" w:themeColor="background2" w:themeShade="80"/>
                <w:kern w:val="28"/>
                <w:sz w:val="28"/>
                <w:szCs w:val="32"/>
              </w:rPr>
            </w:pPr>
            <w:r w:rsidRPr="008E1B7A">
              <w:rPr>
                <w:noProof/>
              </w:rPr>
              <w:drawing>
                <wp:inline distT="0" distB="0" distL="0" distR="0" wp14:anchorId="23627778" wp14:editId="138DFC81">
                  <wp:extent cx="300990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y_ATSI_factsheet_header.jpg"/>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018903" cy="1155972"/>
                          </a:xfrm>
                          <a:prstGeom prst="rect">
                            <a:avLst/>
                          </a:prstGeom>
                          <a:ln>
                            <a:noFill/>
                          </a:ln>
                          <a:extLst>
                            <a:ext uri="{53640926-AAD7-44D8-BBD7-CCE9431645EC}">
                              <a14:shadowObscured xmlns:a14="http://schemas.microsoft.com/office/drawing/2010/main"/>
                            </a:ext>
                          </a:extLst>
                        </pic:spPr>
                      </pic:pic>
                    </a:graphicData>
                  </a:graphic>
                </wp:inline>
              </w:drawing>
            </w:r>
          </w:p>
        </w:tc>
      </w:tr>
      <w:tr w:rsidR="00301F60" w:rsidRPr="008E1B7A" w:rsidTr="00372556">
        <w:trPr>
          <w:trHeight w:val="968"/>
        </w:trPr>
        <w:tc>
          <w:tcPr>
            <w:tcW w:w="971" w:type="dxa"/>
            <w:tcBorders>
              <w:bottom w:val="nil"/>
            </w:tcBorders>
            <w:tcMar>
              <w:left w:w="0" w:type="dxa"/>
              <w:bottom w:w="0" w:type="dxa"/>
              <w:right w:w="0" w:type="dxa"/>
            </w:tcMar>
            <w:vAlign w:val="bottom"/>
          </w:tcPr>
          <w:p w:rsidR="00301F60" w:rsidRPr="00F57CBD" w:rsidRDefault="00301F60" w:rsidP="00372556">
            <w:pPr>
              <w:pStyle w:val="Subtitle"/>
              <w:framePr w:wrap="auto" w:vAnchor="margin" w:hAnchor="text" w:xAlign="left" w:yAlign="inline"/>
              <w:suppressOverlap w:val="0"/>
            </w:pPr>
          </w:p>
        </w:tc>
        <w:tc>
          <w:tcPr>
            <w:tcW w:w="15127" w:type="dxa"/>
            <w:gridSpan w:val="2"/>
            <w:tcBorders>
              <w:top w:val="single" w:sz="12" w:space="0" w:color="D52B1E"/>
              <w:bottom w:val="nil"/>
            </w:tcBorders>
            <w:tcMar>
              <w:right w:w="0" w:type="dxa"/>
            </w:tcMar>
          </w:tcPr>
          <w:p w:rsidR="00301F60" w:rsidRPr="008E1B7A" w:rsidRDefault="00115982" w:rsidP="006D6C83">
            <w:pPr>
              <w:pStyle w:val="Title"/>
              <w:framePr w:wrap="auto" w:vAnchor="margin" w:hAnchor="text" w:xAlign="left" w:yAlign="inline"/>
              <w:spacing w:before="400"/>
              <w:suppressOverlap w:val="0"/>
            </w:pPr>
            <w:r>
              <w:t>Transition case study</w:t>
            </w:r>
            <w:bookmarkStart w:id="1" w:name="_GoBack"/>
            <w:bookmarkEnd w:id="1"/>
          </w:p>
        </w:tc>
      </w:tr>
    </w:tbl>
    <w:p w:rsidR="00EE14BA" w:rsidRPr="004D7C37" w:rsidRDefault="00EE14BA" w:rsidP="004D7C37">
      <w:pPr>
        <w:pStyle w:val="ListParagraph0"/>
        <w:spacing w:after="0"/>
        <w:rPr>
          <w:sz w:val="2"/>
          <w:szCs w:val="2"/>
        </w:rPr>
      </w:pPr>
      <w:bookmarkStart w:id="2" w:name="_Toc346458180"/>
      <w:bookmarkStart w:id="3" w:name="_Toc354575927"/>
      <w:bookmarkStart w:id="4" w:name="_Toc357099227"/>
      <w:bookmarkStart w:id="5" w:name="_Toc314059834"/>
      <w:bookmarkEnd w:id="0"/>
    </w:p>
    <w:bookmarkEnd w:id="2"/>
    <w:bookmarkEnd w:id="3"/>
    <w:bookmarkEnd w:id="4"/>
    <w:bookmarkEnd w:id="5"/>
    <w:p w:rsidR="00950CB6" w:rsidRDefault="00950CB6" w:rsidP="00C24DD5">
      <w:pPr>
        <w:pStyle w:val="Heading1"/>
        <w:spacing w:before="720"/>
        <w:sectPr w:rsidR="00950CB6" w:rsidSect="00372556">
          <w:footerReference w:type="even" r:id="rId15"/>
          <w:footerReference w:type="default" r:id="rId16"/>
          <w:type w:val="continuous"/>
          <w:pgSz w:w="16840" w:h="11907" w:orient="landscape" w:code="9"/>
          <w:pgMar w:top="1134" w:right="1418" w:bottom="1701" w:left="1418" w:header="567" w:footer="425" w:gutter="0"/>
          <w:cols w:space="720"/>
          <w:formProt w:val="0"/>
          <w:noEndnote/>
          <w:docGrid w:linePitch="299"/>
        </w:sectPr>
      </w:pPr>
    </w:p>
    <w:p w:rsidR="006D6C83" w:rsidRDefault="006D6C83" w:rsidP="006D6C83">
      <w:pPr>
        <w:pStyle w:val="BodyText"/>
      </w:pPr>
      <w:r>
        <w:lastRenderedPageBreak/>
        <w:t>Read the following account of a kindergarten teacher’s experiences of trying to build successful transition processes between the kindergarten program and the local schools. Analyse the description of her experiences using the following questions:</w:t>
      </w:r>
    </w:p>
    <w:p w:rsidR="006D6C83" w:rsidRDefault="006D6C83" w:rsidP="006D6C83">
      <w:pPr>
        <w:pStyle w:val="ListBullet0"/>
        <w:spacing w:after="80"/>
      </w:pPr>
      <w:r>
        <w:t>What are the key messages in this statement?</w:t>
      </w:r>
    </w:p>
    <w:p w:rsidR="006D6C83" w:rsidRDefault="006D6C83" w:rsidP="006D6C83">
      <w:pPr>
        <w:pStyle w:val="ListBullet0"/>
        <w:spacing w:after="80"/>
      </w:pPr>
      <w:r>
        <w:t>How is the teacher feeling?</w:t>
      </w:r>
    </w:p>
    <w:p w:rsidR="006D6C83" w:rsidRDefault="006D6C83" w:rsidP="006D6C83">
      <w:pPr>
        <w:pStyle w:val="ListBullet0"/>
        <w:spacing w:after="80"/>
      </w:pPr>
      <w:r>
        <w:t>What barriers to successful transition processes and implementation can you identify?</w:t>
      </w:r>
    </w:p>
    <w:p w:rsidR="006D6C83" w:rsidRDefault="006D6C83" w:rsidP="006D6C83">
      <w:pPr>
        <w:pStyle w:val="ListBullet0"/>
        <w:spacing w:after="80"/>
      </w:pPr>
      <w:r>
        <w:t>What does the kindergarten teacher believe is important?</w:t>
      </w:r>
    </w:p>
    <w:p w:rsidR="006D6C83" w:rsidRDefault="006D6C83" w:rsidP="006D6C83">
      <w:pPr>
        <w:pStyle w:val="ListBullet0"/>
        <w:spacing w:after="80"/>
      </w:pPr>
      <w:r>
        <w:t>What do you think can be done to improve this situation?</w:t>
      </w:r>
    </w:p>
    <w:p w:rsidR="00DC703C" w:rsidRDefault="006D6C83" w:rsidP="006D6C83">
      <w:pPr>
        <w:pStyle w:val="ListBullet0"/>
      </w:pPr>
      <w:r>
        <w:t xml:space="preserve">How can </w:t>
      </w:r>
      <w:proofErr w:type="gramStart"/>
      <w:r>
        <w:t>existing</w:t>
      </w:r>
      <w:proofErr w:type="gramEnd"/>
      <w:r>
        <w:t xml:space="preserve"> attitudes be changed?</w:t>
      </w:r>
    </w:p>
    <w:tbl>
      <w:tblPr>
        <w:tblStyle w:val="QCAAtablestyle3"/>
        <w:tblW w:w="4900" w:type="pct"/>
        <w:tblLook w:val="0600" w:firstRow="0" w:lastRow="0" w:firstColumn="0" w:lastColumn="0" w:noHBand="1" w:noVBand="1"/>
      </w:tblPr>
      <w:tblGrid>
        <w:gridCol w:w="13936"/>
      </w:tblGrid>
      <w:tr w:rsidR="006D6C83" w:rsidTr="006D6C83">
        <w:tc>
          <w:tcPr>
            <w:tcW w:w="13936" w:type="dxa"/>
          </w:tcPr>
          <w:p w:rsidR="006D6C83" w:rsidRDefault="006D6C83" w:rsidP="006D6C83">
            <w:pPr>
              <w:pStyle w:val="TableText"/>
              <w:spacing w:before="0" w:after="0"/>
            </w:pPr>
            <w:r>
              <w:t>You know, we really understand the importance of successful transition processes, and work so hard to maintain that continuity of relationships with children and their families. We work hard to stay focused as a team on developing the kind of welcoming centre we want Ellendale Waters to be. We do this by using the same principles and practices to guide our programs as children move from babyhood to kindergarten.</w:t>
            </w:r>
          </w:p>
          <w:p w:rsidR="006D6C83" w:rsidRDefault="006D6C83" w:rsidP="006D6C83">
            <w:pPr>
              <w:pStyle w:val="TableText"/>
              <w:spacing w:after="0"/>
            </w:pPr>
            <w:r>
              <w:t xml:space="preserve">The experiences we have had so far in developing successful transition processes with local schools have not been very positive. The kindergarten children </w:t>
            </w:r>
            <w:r>
              <w:br/>
              <w:t>go to about seven primary schools in the local district, which is a fairly affluent area. Although we have the support of our parent community and really promote the importance of play-based programs, it seems that goes out the door when they move on to some schools. The primary schools seem more interested in their own procedures rather than really developing relationships with us. They also tend to focus heavily on academic performance, even at this age. I know a few of the schools actually use their own kind of readiness tests when a child and parent go for an interview. Our parent feedback suggests that they don’t focus on the children’s interests and strengths or what they are interested in learning about. The shame is this would be such a good starting point for the Prep teachers!</w:t>
            </w:r>
          </w:p>
          <w:p w:rsidR="006D6C83" w:rsidRPr="006D6C83" w:rsidRDefault="006D6C83" w:rsidP="006D6C83">
            <w:pPr>
              <w:pStyle w:val="TableText"/>
              <w:spacing w:after="0"/>
              <w:rPr>
                <w:i/>
              </w:rPr>
            </w:pPr>
            <w:r w:rsidRPr="006D6C83">
              <w:rPr>
                <w:i/>
              </w:rPr>
              <w:t xml:space="preserve">Kindergarten teacher, Ellendale Waters, long </w:t>
            </w:r>
            <w:proofErr w:type="spellStart"/>
            <w:r w:rsidRPr="006D6C83">
              <w:rPr>
                <w:i/>
              </w:rPr>
              <w:t>daycare</w:t>
            </w:r>
            <w:proofErr w:type="spellEnd"/>
            <w:r w:rsidRPr="006D6C83">
              <w:rPr>
                <w:i/>
              </w:rPr>
              <w:t xml:space="preserve"> centre</w:t>
            </w:r>
          </w:p>
        </w:tc>
      </w:tr>
    </w:tbl>
    <w:p w:rsidR="006D6C83" w:rsidRDefault="006D6C83" w:rsidP="006D6C83">
      <w:pPr>
        <w:pStyle w:val="BodyText"/>
        <w:spacing w:before="120"/>
      </w:pPr>
      <w:r>
        <w:t xml:space="preserve">Use the Transition action plan on the next page to examine the barriers to successful transitions identified in this scenario, and to provide strategies that may help to overcome the challenges faced by the kindergarten centre. Refer to the resource </w:t>
      </w:r>
      <w:r>
        <w:rPr>
          <w:i/>
          <w:iCs/>
        </w:rPr>
        <w:t xml:space="preserve">Reflection: Promoting continuity in learning </w:t>
      </w:r>
      <w:r>
        <w:t>(see the Module 5 Extend tab) for additional questions to assist you.</w:t>
      </w:r>
    </w:p>
    <w:p w:rsidR="006D6C83" w:rsidRDefault="006D6C83" w:rsidP="006D6C83">
      <w:pPr>
        <w:pStyle w:val="BodyText"/>
        <w:sectPr w:rsidR="006D6C83" w:rsidSect="00372556">
          <w:footerReference w:type="default" r:id="rId17"/>
          <w:type w:val="continuous"/>
          <w:pgSz w:w="16840" w:h="11907" w:orient="landscape" w:code="9"/>
          <w:pgMar w:top="1134" w:right="1418" w:bottom="1701" w:left="1418" w:header="567" w:footer="284" w:gutter="0"/>
          <w:cols w:space="720"/>
          <w:formProt w:val="0"/>
          <w:noEndnote/>
          <w:docGrid w:linePitch="299"/>
        </w:sectPr>
      </w:pPr>
      <w:r>
        <w:t>Collaborate with your centre team as you explore possibilities. Are there elements of this scenario that you identify with from personal experience and, if so, how have you worked to overcome them?</w:t>
      </w:r>
    </w:p>
    <w:p w:rsidR="006D6C83" w:rsidRDefault="006D6C83" w:rsidP="006D6C83">
      <w:pPr>
        <w:pStyle w:val="Heading2"/>
      </w:pPr>
      <w:r>
        <w:lastRenderedPageBreak/>
        <w:t>Action plan</w:t>
      </w:r>
    </w:p>
    <w:tbl>
      <w:tblPr>
        <w:tblStyle w:val="QCAAtablestyle1"/>
        <w:tblW w:w="4900" w:type="pct"/>
        <w:tblLook w:val="0620" w:firstRow="1" w:lastRow="0" w:firstColumn="0" w:lastColumn="0" w:noHBand="1" w:noVBand="1"/>
      </w:tblPr>
      <w:tblGrid>
        <w:gridCol w:w="2689"/>
        <w:gridCol w:w="2693"/>
        <w:gridCol w:w="2979"/>
        <w:gridCol w:w="2787"/>
        <w:gridCol w:w="2788"/>
      </w:tblGrid>
      <w:tr w:rsidR="006D6C83" w:rsidTr="00976B04">
        <w:trPr>
          <w:cnfStyle w:val="100000000000" w:firstRow="1" w:lastRow="0" w:firstColumn="0" w:lastColumn="0" w:oddVBand="0" w:evenVBand="0" w:oddHBand="0" w:evenHBand="0" w:firstRowFirstColumn="0" w:firstRowLastColumn="0" w:lastRowFirstColumn="0" w:lastRowLastColumn="0"/>
        </w:trPr>
        <w:tc>
          <w:tcPr>
            <w:tcW w:w="2689" w:type="dxa"/>
          </w:tcPr>
          <w:p w:rsidR="006D6C83" w:rsidRDefault="006D6C83" w:rsidP="006D6C83">
            <w:pPr>
              <w:pStyle w:val="TableHeading"/>
            </w:pPr>
            <w:r>
              <w:t>Identified existing practices</w:t>
            </w:r>
          </w:p>
        </w:tc>
        <w:tc>
          <w:tcPr>
            <w:tcW w:w="2693" w:type="dxa"/>
          </w:tcPr>
          <w:p w:rsidR="006D6C83" w:rsidRDefault="006D6C83" w:rsidP="006D6C83">
            <w:pPr>
              <w:pStyle w:val="TableHeading"/>
            </w:pPr>
            <w:r>
              <w:t>Strengths and barriers</w:t>
            </w:r>
          </w:p>
        </w:tc>
        <w:tc>
          <w:tcPr>
            <w:tcW w:w="2979" w:type="dxa"/>
          </w:tcPr>
          <w:p w:rsidR="006D6C83" w:rsidRDefault="006D6C83" w:rsidP="006D6C83">
            <w:pPr>
              <w:pStyle w:val="TableHeading"/>
            </w:pPr>
            <w:r>
              <w:t>Potential solutions</w:t>
            </w:r>
          </w:p>
        </w:tc>
        <w:tc>
          <w:tcPr>
            <w:tcW w:w="2787" w:type="dxa"/>
          </w:tcPr>
          <w:p w:rsidR="006D6C83" w:rsidRDefault="006D6C83" w:rsidP="006D6C83">
            <w:pPr>
              <w:pStyle w:val="TableHeading"/>
              <w:rPr>
                <w:rFonts w:asciiTheme="minorHAnsi" w:hAnsiTheme="minorHAnsi"/>
              </w:rPr>
            </w:pPr>
            <w:r>
              <w:t>Key resources</w:t>
            </w:r>
          </w:p>
        </w:tc>
        <w:tc>
          <w:tcPr>
            <w:tcW w:w="2788" w:type="dxa"/>
          </w:tcPr>
          <w:p w:rsidR="006D6C83" w:rsidRDefault="006D6C83" w:rsidP="006D6C83">
            <w:pPr>
              <w:pStyle w:val="TableHeading"/>
            </w:pPr>
            <w:r>
              <w:t>Timeline — key dates</w:t>
            </w:r>
          </w:p>
        </w:tc>
      </w:tr>
      <w:tr w:rsidR="006D6C83" w:rsidTr="00976B04">
        <w:tc>
          <w:tcPr>
            <w:tcW w:w="2689" w:type="dxa"/>
          </w:tcPr>
          <w:p w:rsidR="006D6C83" w:rsidRPr="006D6C83" w:rsidRDefault="006D6C83" w:rsidP="006D6C83">
            <w:pPr>
              <w:pStyle w:val="TableText"/>
            </w:pPr>
            <w:r>
              <w:t>Using a team approach to support continuity between home and kindergarten.</w:t>
            </w:r>
          </w:p>
        </w:tc>
        <w:tc>
          <w:tcPr>
            <w:tcW w:w="2693" w:type="dxa"/>
          </w:tcPr>
          <w:p w:rsidR="006D6C83" w:rsidRDefault="006D6C83" w:rsidP="006D6C83">
            <w:pPr>
              <w:pStyle w:val="TableText"/>
            </w:pPr>
            <w:r>
              <w:rPr>
                <w:b/>
                <w:bCs/>
              </w:rPr>
              <w:t xml:space="preserve">Strengths: </w:t>
            </w:r>
            <w:r>
              <w:t>Collaborative, shared perspectives.</w:t>
            </w:r>
          </w:p>
          <w:p w:rsidR="006D6C83" w:rsidRPr="006D6C83" w:rsidRDefault="006D6C83" w:rsidP="006D6C83">
            <w:pPr>
              <w:pStyle w:val="TableText"/>
            </w:pPr>
            <w:r>
              <w:rPr>
                <w:b/>
                <w:bCs/>
              </w:rPr>
              <w:t xml:space="preserve">Barriers: </w:t>
            </w:r>
            <w:r>
              <w:t>The team approach doesn’t continue in relationships with local schools.</w:t>
            </w:r>
          </w:p>
        </w:tc>
        <w:tc>
          <w:tcPr>
            <w:tcW w:w="2979" w:type="dxa"/>
          </w:tcPr>
          <w:p w:rsidR="006D6C83" w:rsidRDefault="0075123C" w:rsidP="0075123C">
            <w:pPr>
              <w:pStyle w:val="TableText"/>
            </w:pPr>
            <w:r w:rsidRPr="00976B04">
              <w:rPr>
                <w:b/>
              </w:rPr>
              <w:t>Step 1</w:t>
            </w:r>
            <w:r>
              <w:t xml:space="preserve">: Establish a list of contacts at the local </w:t>
            </w:r>
            <w:r w:rsidR="006D6C83">
              <w:t>schools.</w:t>
            </w:r>
          </w:p>
          <w:p w:rsidR="006D6C83" w:rsidRDefault="006D6C83" w:rsidP="0075123C">
            <w:pPr>
              <w:pStyle w:val="TableText"/>
            </w:pPr>
            <w:r w:rsidRPr="00976B04">
              <w:rPr>
                <w:b/>
              </w:rPr>
              <w:t>Step 2</w:t>
            </w:r>
            <w:r>
              <w:t>: Invite sch</w:t>
            </w:r>
            <w:r w:rsidR="0075123C">
              <w:t xml:space="preserve">ool personnel to an informal meeting at the centre (or a suitable venue) and establish the reason for the </w:t>
            </w:r>
            <w:r>
              <w:t>meeting.</w:t>
            </w:r>
          </w:p>
          <w:p w:rsidR="006D6C83" w:rsidRDefault="0075123C" w:rsidP="0075123C">
            <w:pPr>
              <w:pStyle w:val="TableText"/>
            </w:pPr>
            <w:r w:rsidRPr="00976B04">
              <w:rPr>
                <w:b/>
              </w:rPr>
              <w:t>Step 3</w:t>
            </w:r>
            <w:r>
              <w:t xml:space="preserve">: Provide everyone with an opportunity to share a coffee and ideas about what they would like to see happen in the interests of </w:t>
            </w:r>
            <w:r w:rsidR="006D6C83">
              <w:t>promoting continuity.</w:t>
            </w:r>
          </w:p>
          <w:p w:rsidR="006D6C83" w:rsidRPr="0075123C" w:rsidRDefault="0075123C" w:rsidP="0075123C">
            <w:pPr>
              <w:pStyle w:val="TableText"/>
            </w:pPr>
            <w:r w:rsidRPr="00976B04">
              <w:rPr>
                <w:b/>
              </w:rPr>
              <w:t>Step 4</w:t>
            </w:r>
            <w:r>
              <w:t xml:space="preserve">: Establish a </w:t>
            </w:r>
            <w:r w:rsidR="006D6C83">
              <w:t>working</w:t>
            </w:r>
            <w:r>
              <w:t xml:space="preserve">- party </w:t>
            </w:r>
            <w:r w:rsidR="006D6C83">
              <w:t>group.</w:t>
            </w:r>
          </w:p>
        </w:tc>
        <w:tc>
          <w:tcPr>
            <w:tcW w:w="2787" w:type="dxa"/>
          </w:tcPr>
          <w:p w:rsidR="006D6C83" w:rsidRPr="0075123C" w:rsidRDefault="0075123C" w:rsidP="0075123C">
            <w:pPr>
              <w:pStyle w:val="TableText"/>
            </w:pPr>
            <w:r>
              <w:t>Director and kindergarten teachers</w:t>
            </w:r>
          </w:p>
        </w:tc>
        <w:tc>
          <w:tcPr>
            <w:tcW w:w="2788" w:type="dxa"/>
          </w:tcPr>
          <w:p w:rsidR="006D6C83" w:rsidRPr="0075123C" w:rsidRDefault="0075123C" w:rsidP="0075123C">
            <w:pPr>
              <w:autoSpaceDE w:val="0"/>
              <w:autoSpaceDN w:val="0"/>
              <w:adjustRightInd w:val="0"/>
              <w:rPr>
                <w:rFonts w:cs="Arial"/>
                <w:sz w:val="20"/>
                <w:szCs w:val="20"/>
              </w:rPr>
            </w:pPr>
            <w:r>
              <w:rPr>
                <w:rFonts w:cs="Arial"/>
                <w:sz w:val="20"/>
                <w:szCs w:val="20"/>
              </w:rPr>
              <w:t xml:space="preserve">Ongoing — begin by establishing a series </w:t>
            </w:r>
            <w:r>
              <w:rPr>
                <w:rFonts w:cs="Arial"/>
                <w:sz w:val="20"/>
                <w:szCs w:val="20"/>
              </w:rPr>
              <w:br/>
              <w:t>of meeting dates</w:t>
            </w:r>
          </w:p>
        </w:tc>
      </w:tr>
      <w:tr w:rsidR="0075123C" w:rsidTr="00976B04">
        <w:tc>
          <w:tcPr>
            <w:tcW w:w="2689" w:type="dxa"/>
          </w:tcPr>
          <w:p w:rsidR="0075123C" w:rsidRDefault="0075123C" w:rsidP="006D6C83">
            <w:pPr>
              <w:pStyle w:val="TableText"/>
            </w:pPr>
          </w:p>
        </w:tc>
        <w:tc>
          <w:tcPr>
            <w:tcW w:w="2693" w:type="dxa"/>
          </w:tcPr>
          <w:p w:rsidR="0075123C" w:rsidRDefault="0075123C" w:rsidP="0075123C">
            <w:pPr>
              <w:pStyle w:val="TableText"/>
              <w:rPr>
                <w:b/>
              </w:rPr>
            </w:pPr>
            <w:r w:rsidRPr="0075123C">
              <w:rPr>
                <w:b/>
              </w:rPr>
              <w:t>Strengths:</w:t>
            </w:r>
          </w:p>
          <w:p w:rsidR="0075123C" w:rsidRPr="0075123C" w:rsidRDefault="0075123C" w:rsidP="0075123C">
            <w:pPr>
              <w:pStyle w:val="TableText"/>
              <w:rPr>
                <w:b/>
              </w:rPr>
            </w:pPr>
          </w:p>
          <w:p w:rsidR="0075123C" w:rsidRDefault="0075123C" w:rsidP="0075123C">
            <w:pPr>
              <w:pStyle w:val="TableText"/>
            </w:pPr>
            <w:r w:rsidRPr="0075123C">
              <w:rPr>
                <w:b/>
              </w:rPr>
              <w:t>Barriers:</w:t>
            </w:r>
          </w:p>
        </w:tc>
        <w:tc>
          <w:tcPr>
            <w:tcW w:w="2979" w:type="dxa"/>
          </w:tcPr>
          <w:p w:rsidR="0075123C" w:rsidRDefault="0075123C" w:rsidP="0075123C">
            <w:pPr>
              <w:pStyle w:val="TableText"/>
            </w:pPr>
          </w:p>
        </w:tc>
        <w:tc>
          <w:tcPr>
            <w:tcW w:w="2787" w:type="dxa"/>
          </w:tcPr>
          <w:p w:rsidR="0075123C" w:rsidRDefault="0075123C" w:rsidP="0075123C">
            <w:pPr>
              <w:pStyle w:val="TableText"/>
            </w:pPr>
          </w:p>
        </w:tc>
        <w:tc>
          <w:tcPr>
            <w:tcW w:w="2788" w:type="dxa"/>
          </w:tcPr>
          <w:p w:rsidR="0075123C" w:rsidRDefault="0075123C" w:rsidP="0075123C">
            <w:pPr>
              <w:autoSpaceDE w:val="0"/>
              <w:autoSpaceDN w:val="0"/>
              <w:adjustRightInd w:val="0"/>
              <w:rPr>
                <w:rFonts w:cs="Arial"/>
                <w:sz w:val="20"/>
                <w:szCs w:val="20"/>
              </w:rPr>
            </w:pPr>
          </w:p>
        </w:tc>
      </w:tr>
      <w:tr w:rsidR="0075123C" w:rsidTr="00976B04">
        <w:tc>
          <w:tcPr>
            <w:tcW w:w="2689" w:type="dxa"/>
          </w:tcPr>
          <w:p w:rsidR="0075123C" w:rsidRDefault="0075123C" w:rsidP="006D6C83">
            <w:pPr>
              <w:pStyle w:val="TableText"/>
            </w:pPr>
          </w:p>
        </w:tc>
        <w:tc>
          <w:tcPr>
            <w:tcW w:w="2693" w:type="dxa"/>
          </w:tcPr>
          <w:p w:rsidR="0075123C" w:rsidRDefault="0075123C" w:rsidP="0075123C">
            <w:pPr>
              <w:pStyle w:val="TableText"/>
              <w:rPr>
                <w:b/>
              </w:rPr>
            </w:pPr>
            <w:r w:rsidRPr="0075123C">
              <w:rPr>
                <w:b/>
              </w:rPr>
              <w:t>Strengths:</w:t>
            </w:r>
          </w:p>
          <w:p w:rsidR="0075123C" w:rsidRPr="0075123C" w:rsidRDefault="0075123C" w:rsidP="0075123C">
            <w:pPr>
              <w:pStyle w:val="TableText"/>
              <w:rPr>
                <w:b/>
              </w:rPr>
            </w:pPr>
          </w:p>
          <w:p w:rsidR="0075123C" w:rsidRPr="0075123C" w:rsidRDefault="0075123C" w:rsidP="0075123C">
            <w:pPr>
              <w:pStyle w:val="TableText"/>
              <w:rPr>
                <w:b/>
              </w:rPr>
            </w:pPr>
            <w:r w:rsidRPr="0075123C">
              <w:rPr>
                <w:b/>
              </w:rPr>
              <w:t>Barriers:</w:t>
            </w:r>
          </w:p>
        </w:tc>
        <w:tc>
          <w:tcPr>
            <w:tcW w:w="2979" w:type="dxa"/>
          </w:tcPr>
          <w:p w:rsidR="0075123C" w:rsidRDefault="0075123C" w:rsidP="0075123C">
            <w:pPr>
              <w:pStyle w:val="TableText"/>
            </w:pPr>
          </w:p>
        </w:tc>
        <w:tc>
          <w:tcPr>
            <w:tcW w:w="2787" w:type="dxa"/>
          </w:tcPr>
          <w:p w:rsidR="0075123C" w:rsidRDefault="0075123C" w:rsidP="0075123C">
            <w:pPr>
              <w:pStyle w:val="TableText"/>
            </w:pPr>
          </w:p>
        </w:tc>
        <w:tc>
          <w:tcPr>
            <w:tcW w:w="2788" w:type="dxa"/>
          </w:tcPr>
          <w:p w:rsidR="0075123C" w:rsidRDefault="0075123C" w:rsidP="0075123C">
            <w:pPr>
              <w:autoSpaceDE w:val="0"/>
              <w:autoSpaceDN w:val="0"/>
              <w:adjustRightInd w:val="0"/>
              <w:rPr>
                <w:rFonts w:cs="Arial"/>
                <w:sz w:val="20"/>
                <w:szCs w:val="20"/>
              </w:rPr>
            </w:pPr>
          </w:p>
        </w:tc>
      </w:tr>
      <w:tr w:rsidR="0075123C" w:rsidTr="00976B04">
        <w:tc>
          <w:tcPr>
            <w:tcW w:w="2689" w:type="dxa"/>
          </w:tcPr>
          <w:p w:rsidR="0075123C" w:rsidRDefault="0075123C" w:rsidP="006D6C83">
            <w:pPr>
              <w:pStyle w:val="TableText"/>
            </w:pPr>
          </w:p>
        </w:tc>
        <w:tc>
          <w:tcPr>
            <w:tcW w:w="2693" w:type="dxa"/>
          </w:tcPr>
          <w:p w:rsidR="0075123C" w:rsidRDefault="0075123C" w:rsidP="0075123C">
            <w:pPr>
              <w:pStyle w:val="TableText"/>
              <w:rPr>
                <w:b/>
              </w:rPr>
            </w:pPr>
            <w:r w:rsidRPr="0075123C">
              <w:rPr>
                <w:b/>
              </w:rPr>
              <w:t>Strengths:</w:t>
            </w:r>
          </w:p>
          <w:p w:rsidR="0075123C" w:rsidRPr="0075123C" w:rsidRDefault="0075123C" w:rsidP="0075123C">
            <w:pPr>
              <w:pStyle w:val="TableText"/>
              <w:rPr>
                <w:b/>
              </w:rPr>
            </w:pPr>
          </w:p>
          <w:p w:rsidR="0075123C" w:rsidRPr="0075123C" w:rsidRDefault="0075123C" w:rsidP="0075123C">
            <w:pPr>
              <w:pStyle w:val="TableText"/>
              <w:rPr>
                <w:b/>
              </w:rPr>
            </w:pPr>
            <w:r w:rsidRPr="0075123C">
              <w:rPr>
                <w:b/>
              </w:rPr>
              <w:t>Barriers:</w:t>
            </w:r>
          </w:p>
        </w:tc>
        <w:tc>
          <w:tcPr>
            <w:tcW w:w="2979" w:type="dxa"/>
          </w:tcPr>
          <w:p w:rsidR="0075123C" w:rsidRDefault="0075123C" w:rsidP="0075123C">
            <w:pPr>
              <w:pStyle w:val="TableText"/>
            </w:pPr>
          </w:p>
        </w:tc>
        <w:tc>
          <w:tcPr>
            <w:tcW w:w="2787" w:type="dxa"/>
          </w:tcPr>
          <w:p w:rsidR="0075123C" w:rsidRDefault="0075123C" w:rsidP="0075123C">
            <w:pPr>
              <w:pStyle w:val="TableText"/>
            </w:pPr>
          </w:p>
        </w:tc>
        <w:tc>
          <w:tcPr>
            <w:tcW w:w="2788" w:type="dxa"/>
          </w:tcPr>
          <w:p w:rsidR="0075123C" w:rsidRDefault="0075123C" w:rsidP="0075123C">
            <w:pPr>
              <w:autoSpaceDE w:val="0"/>
              <w:autoSpaceDN w:val="0"/>
              <w:adjustRightInd w:val="0"/>
              <w:rPr>
                <w:rFonts w:cs="Arial"/>
                <w:sz w:val="20"/>
                <w:szCs w:val="20"/>
              </w:rPr>
            </w:pPr>
          </w:p>
        </w:tc>
      </w:tr>
      <w:tr w:rsidR="0075123C" w:rsidTr="00976B04">
        <w:tc>
          <w:tcPr>
            <w:tcW w:w="2689" w:type="dxa"/>
          </w:tcPr>
          <w:p w:rsidR="0075123C" w:rsidRDefault="0075123C" w:rsidP="006D6C83">
            <w:pPr>
              <w:pStyle w:val="TableText"/>
            </w:pPr>
          </w:p>
        </w:tc>
        <w:tc>
          <w:tcPr>
            <w:tcW w:w="2693" w:type="dxa"/>
          </w:tcPr>
          <w:p w:rsidR="0075123C" w:rsidRDefault="0075123C" w:rsidP="0075123C">
            <w:pPr>
              <w:pStyle w:val="TableText"/>
              <w:rPr>
                <w:b/>
              </w:rPr>
            </w:pPr>
            <w:r w:rsidRPr="0075123C">
              <w:rPr>
                <w:b/>
              </w:rPr>
              <w:t>Strengths:</w:t>
            </w:r>
          </w:p>
          <w:p w:rsidR="0075123C" w:rsidRPr="0075123C" w:rsidRDefault="0075123C" w:rsidP="0075123C">
            <w:pPr>
              <w:pStyle w:val="TableText"/>
              <w:rPr>
                <w:b/>
              </w:rPr>
            </w:pPr>
          </w:p>
          <w:p w:rsidR="0075123C" w:rsidRPr="0075123C" w:rsidRDefault="0075123C" w:rsidP="0075123C">
            <w:pPr>
              <w:pStyle w:val="TableText"/>
              <w:rPr>
                <w:b/>
              </w:rPr>
            </w:pPr>
            <w:r w:rsidRPr="0075123C">
              <w:rPr>
                <w:b/>
              </w:rPr>
              <w:t>Barriers:</w:t>
            </w:r>
          </w:p>
        </w:tc>
        <w:tc>
          <w:tcPr>
            <w:tcW w:w="2979" w:type="dxa"/>
          </w:tcPr>
          <w:p w:rsidR="0075123C" w:rsidRDefault="0075123C" w:rsidP="0075123C">
            <w:pPr>
              <w:pStyle w:val="TableText"/>
            </w:pPr>
          </w:p>
        </w:tc>
        <w:tc>
          <w:tcPr>
            <w:tcW w:w="2787" w:type="dxa"/>
          </w:tcPr>
          <w:p w:rsidR="0075123C" w:rsidRDefault="0075123C" w:rsidP="0075123C">
            <w:pPr>
              <w:pStyle w:val="TableText"/>
            </w:pPr>
          </w:p>
        </w:tc>
        <w:tc>
          <w:tcPr>
            <w:tcW w:w="2788" w:type="dxa"/>
          </w:tcPr>
          <w:p w:rsidR="0075123C" w:rsidRDefault="0075123C" w:rsidP="0075123C">
            <w:pPr>
              <w:autoSpaceDE w:val="0"/>
              <w:autoSpaceDN w:val="0"/>
              <w:adjustRightInd w:val="0"/>
              <w:rPr>
                <w:rFonts w:cs="Arial"/>
                <w:sz w:val="20"/>
                <w:szCs w:val="20"/>
              </w:rPr>
            </w:pPr>
          </w:p>
        </w:tc>
      </w:tr>
    </w:tbl>
    <w:p w:rsidR="006D6C83" w:rsidRPr="00976B04" w:rsidRDefault="006D6C83" w:rsidP="00976B04"/>
    <w:sectPr w:rsidR="006D6C83" w:rsidRPr="00976B04" w:rsidSect="006D6C83">
      <w:pgSz w:w="16840" w:h="11907" w:orient="landscape"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49" w:rsidRDefault="00D57449">
      <w:r>
        <w:separator/>
      </w:r>
    </w:p>
    <w:p w:rsidR="00D57449" w:rsidRDefault="00D57449"/>
  </w:endnote>
  <w:endnote w:type="continuationSeparator" w:id="0">
    <w:p w:rsidR="00D57449" w:rsidRDefault="00D57449">
      <w:r>
        <w:continuationSeparator/>
      </w:r>
    </w:p>
    <w:p w:rsidR="00D57449" w:rsidRDefault="00D57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D57449" w:rsidRPr="007165FF" w:rsidTr="0093255E">
      <w:tc>
        <w:tcPr>
          <w:tcW w:w="2089" w:type="pct"/>
          <w:noWrap/>
          <w:tcMar>
            <w:left w:w="0" w:type="dxa"/>
            <w:right w:w="0" w:type="dxa"/>
          </w:tcMar>
        </w:tcPr>
        <w:sdt>
          <w:sdtPr>
            <w:alias w:val="Title"/>
            <w:tag w:val=""/>
            <w:id w:val="648637358"/>
            <w:placeholder>
              <w:docPart w:val="6549BCDF01714AFFBF08DC66D3E71A98"/>
            </w:placeholder>
            <w:dataBinding w:prefixMappings="xmlns:ns0='http://purl.org/dc/elements/1.1/' xmlns:ns1='http://schemas.openxmlformats.org/package/2006/metadata/core-properties' " w:xpath="/ns1:coreProperties[1]/ns0:title[1]" w:storeItemID="{6C3C8BC8-F283-45AE-878A-BAB7291924A1}"/>
            <w:text/>
          </w:sdtPr>
          <w:sdtEndPr/>
          <w:sdtContent>
            <w:p w:rsidR="00D57449" w:rsidRDefault="00D57449" w:rsidP="0093255E">
              <w:pPr>
                <w:pStyle w:val="Footer"/>
              </w:pPr>
              <w:r>
                <w:t>Kindergarten: Transition case study</w:t>
              </w:r>
            </w:p>
          </w:sdtContent>
        </w:sdt>
        <w:p w:rsidR="00D57449" w:rsidRPr="00FD561F" w:rsidRDefault="00115982" w:rsidP="0093255E">
          <w:pPr>
            <w:pStyle w:val="footersubtitle"/>
            <w:tabs>
              <w:tab w:val="left" w:pos="1250"/>
            </w:tabs>
          </w:pPr>
          <w:sdt>
            <w:sdtPr>
              <w:alias w:val="Subtitle"/>
              <w:tag w:val="Subtitle"/>
              <w:id w:val="1138460092"/>
              <w:placeholder>
                <w:docPart w:val="3692D3B85D1249CA9A12BC19A1DC4F4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D57449" w:rsidRPr="000F044B">
                <w:rPr>
                  <w:color w:val="6F7378" w:themeColor="background2" w:themeShade="80"/>
                  <w:shd w:val="clear" w:color="auto" w:fill="F7EA9F"/>
                </w:rPr>
                <w:t>[Sub</w:t>
              </w:r>
              <w:r w:rsidR="00D57449">
                <w:rPr>
                  <w:color w:val="6F7378" w:themeColor="background2" w:themeShade="80"/>
                  <w:shd w:val="clear" w:color="auto" w:fill="F7EA9F"/>
                </w:rPr>
                <w:t>title</w:t>
              </w:r>
              <w:r w:rsidR="00D57449" w:rsidRPr="000F044B">
                <w:rPr>
                  <w:color w:val="6F7378" w:themeColor="background2" w:themeShade="80"/>
                  <w:shd w:val="clear" w:color="auto" w:fill="F7EA9F"/>
                </w:rPr>
                <w:t>]</w:t>
              </w:r>
            </w:sdtContent>
          </w:sdt>
          <w:r w:rsidR="00D57449">
            <w:tab/>
          </w:r>
        </w:p>
      </w:tc>
      <w:tc>
        <w:tcPr>
          <w:tcW w:w="2911" w:type="pct"/>
        </w:tcPr>
        <w:p w:rsidR="00D57449" w:rsidRDefault="00D57449" w:rsidP="0093255E">
          <w:pPr>
            <w:pStyle w:val="Footer"/>
            <w:ind w:left="284"/>
            <w:jc w:val="right"/>
            <w:rPr>
              <w:rFonts w:eastAsia="SimSun"/>
            </w:rPr>
          </w:pPr>
          <w:r w:rsidRPr="0055152A">
            <w:rPr>
              <w:rFonts w:eastAsia="SimSun"/>
            </w:rPr>
            <w:t>Queensland Curriculum &amp; Assessment Authority</w:t>
          </w:r>
        </w:p>
        <w:p w:rsidR="00D57449" w:rsidRPr="000F044B" w:rsidRDefault="00115982" w:rsidP="0093255E">
          <w:pPr>
            <w:pStyle w:val="footersubtitle"/>
            <w:jc w:val="right"/>
            <w:rPr>
              <w:rStyle w:val="Footerbold"/>
              <w:b w:val="0"/>
              <w:color w:val="6F7378" w:themeColor="background2" w:themeShade="80"/>
            </w:rPr>
          </w:pPr>
          <w:sdt>
            <w:sdtPr>
              <w:alias w:val="Publication Date"/>
              <w:tag w:val=""/>
              <w:id w:val="-657851979"/>
              <w:placeholder>
                <w:docPart w:val="23509E635C1645BA851D8DB19B4A5529"/>
              </w:placeholder>
              <w:showingPlcHdr/>
              <w:dataBinding w:prefixMappings="xmlns:ns0='http://schemas.microsoft.com/office/2006/coverPageProps' " w:xpath="/ns0:CoverPageProperties[1]/ns0:PublishDate[1]" w:storeItemID="{55AF091B-3C7A-41E3-B477-F2FDAA23CFDA}"/>
              <w:date w:fullDate="2013-06-25T00:00:00Z">
                <w:dateFormat w:val="MMMM yyyy"/>
                <w:lid w:val="en-AU"/>
                <w:storeMappedDataAs w:val="dateTime"/>
                <w:calendar w:val="gregorian"/>
              </w:date>
            </w:sdtPr>
            <w:sdtEndPr/>
            <w:sdtContent>
              <w:r w:rsidR="00D57449" w:rsidRPr="000F044B">
                <w:rPr>
                  <w:shd w:val="clear" w:color="auto" w:fill="F7EA9F"/>
                </w:rPr>
                <w:t>[Publish Date]</w:t>
              </w:r>
            </w:sdtContent>
          </w:sdt>
          <w:r w:rsidR="00D57449" w:rsidRPr="000F044B">
            <w:t xml:space="preserve"> </w:t>
          </w:r>
        </w:p>
      </w:tc>
    </w:tr>
    <w:tr w:rsidR="00D57449"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D57449" w:rsidRPr="00914504" w:rsidRDefault="00D57449"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2</w:t>
              </w:r>
              <w:r w:rsidRPr="00914504">
                <w:rPr>
                  <w:b w:val="0"/>
                  <w:color w:val="000000" w:themeColor="text1"/>
                  <w:sz w:val="24"/>
                  <w:szCs w:val="24"/>
                </w:rPr>
                <w:fldChar w:fldCharType="end"/>
              </w:r>
            </w:p>
          </w:sdtContent>
        </w:sdt>
      </w:tc>
    </w:tr>
  </w:tbl>
  <w:p w:rsidR="00D57449" w:rsidRPr="0085726A" w:rsidRDefault="00D57449"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49" w:rsidRDefault="00D57449">
    <w:pPr>
      <w:pStyle w:val="Footer"/>
    </w:pPr>
    <w:r>
      <w:rPr>
        <w:noProof/>
      </w:rPr>
      <mc:AlternateContent>
        <mc:Choice Requires="wps">
          <w:drawing>
            <wp:anchor distT="0" distB="0" distL="114300" distR="114300" simplePos="0" relativeHeight="251665408" behindDoc="0" locked="0" layoutInCell="1" allowOverlap="1" wp14:anchorId="03301708" wp14:editId="66F04A39">
              <wp:simplePos x="0" y="0"/>
              <wp:positionH relativeFrom="page">
                <wp:posOffset>9700577</wp:posOffset>
              </wp:positionH>
              <wp:positionV relativeFrom="page">
                <wp:posOffset>6060123</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D57449" w:rsidRDefault="00115982" w:rsidP="00BB02B4">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proofErr w:type="gramStart"/>
                              <w:r w:rsidR="00D57449">
                                <w:t>r1054</w:t>
                              </w:r>
                              <w:proofErr w:type="gramEnd"/>
                            </w:sdtContent>
                          </w:sdt>
                          <w:r w:rsidR="00D57449"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D57449">
                                <w:t>Rebranded August 2014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8pt;margin-top:477.2pt;width:130.95pt;height:24.9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" filled="f" stroked="f">
              <v:textbox>
                <w:txbxContent>
                  <w:p w:rsidR="00D57449" w:rsidRDefault="00D57449" w:rsidP="00BB02B4">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Content>
                        <w:proofErr w:type="gramStart"/>
                        <w:r>
                          <w:t>r1054</w:t>
                        </w:r>
                        <w:proofErr w:type="gramEnd"/>
                      </w:sdtContent>
                    </w:sdt>
                    <w:r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Content>
                        <w:r>
                          <w:t>Rebranded August 2014</w:t>
                        </w:r>
                      </w:sdtContent>
                    </w:sdt>
                  </w:p>
                </w:txbxContent>
              </v:textbox>
              <w10:wrap anchorx="page" anchory="page"/>
            </v:shape>
          </w:pict>
        </mc:Fallback>
      </mc:AlternateContent>
    </w:r>
    <w:r>
      <w:rPr>
        <w:noProof/>
      </w:rPr>
      <w:drawing>
        <wp:anchor distT="0" distB="0" distL="114300" distR="114300" simplePos="0" relativeHeight="251663360" behindDoc="0" locked="0" layoutInCell="1" allowOverlap="1" wp14:anchorId="2B5C4F04" wp14:editId="0F5022EC">
          <wp:simplePos x="0" y="0"/>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31C87" w:rsidRPr="00CC7CDD" w:rsidTr="00617DD5">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rsidR="00331C87" w:rsidRDefault="00331C87" w:rsidP="00617DD5">
              <w:pPr>
                <w:pStyle w:val="Footer"/>
              </w:pPr>
              <w:r>
                <w:t>QKLG professional development</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rsidR="00331C87" w:rsidRPr="007B16C7" w:rsidRDefault="00331C87" w:rsidP="00331C87">
              <w:pPr>
                <w:pStyle w:val="footersubtitle"/>
                <w:rPr>
                  <w:rFonts w:eastAsia="Times New Roman"/>
                  <w:color w:val="auto"/>
                  <w:sz w:val="21"/>
                  <w:szCs w:val="21"/>
                </w:rPr>
              </w:pPr>
              <w:r>
                <w:t>Transition case study</w:t>
              </w:r>
            </w:p>
          </w:sdtContent>
        </w:sdt>
      </w:tc>
      <w:tc>
        <w:tcPr>
          <w:tcW w:w="2500" w:type="pct"/>
        </w:tcPr>
        <w:p w:rsidR="00331C87" w:rsidRDefault="00331C87" w:rsidP="00617DD5">
          <w:pPr>
            <w:pStyle w:val="Footer"/>
            <w:ind w:left="284"/>
            <w:jc w:val="right"/>
            <w:rPr>
              <w:rFonts w:eastAsia="SimSun"/>
            </w:rPr>
          </w:pPr>
          <w:r w:rsidRPr="0055152A">
            <w:rPr>
              <w:rFonts w:eastAsia="SimSun"/>
            </w:rPr>
            <w:t>Queensland Curriculum &amp; Assessment Authority</w:t>
          </w:r>
        </w:p>
        <w:p w:rsidR="00331C87" w:rsidRPr="00CC7CDD" w:rsidRDefault="00115982" w:rsidP="00617DD5">
          <w:pPr>
            <w:pStyle w:val="footersubtitle"/>
            <w:jc w:val="right"/>
          </w:pPr>
          <w:sdt>
            <w:sdtPr>
              <w:alias w:val="Publication Date"/>
              <w:tag w:val=""/>
              <w:id w:val="903257304"/>
              <w:showingPlcHdr/>
              <w:dataBinding w:prefixMappings="xmlns:ns0='http://schemas.microsoft.com/office/2006/coverPageProps' " w:xpath="/ns0:CoverPageProperties[1]/ns0:PublishDate[1]" w:storeItemID="{55AF091B-3C7A-41E3-B477-F2FDAA23CFDA}"/>
              <w:date>
                <w:dateFormat w:val="MMMM yyyy"/>
                <w:lid w:val="en-AU"/>
                <w:storeMappedDataAs w:val="dateTime"/>
                <w:calendar w:val="gregorian"/>
              </w:date>
            </w:sdtPr>
            <w:sdtEndPr/>
            <w:sdtContent>
              <w:r w:rsidR="00331C87">
                <w:t xml:space="preserve">     </w:t>
              </w:r>
            </w:sdtContent>
          </w:sdt>
          <w:r w:rsidR="00331C87" w:rsidRPr="00CC7CDD">
            <w:t xml:space="preserve"> </w:t>
          </w:r>
        </w:p>
      </w:tc>
    </w:tr>
    <w:tr w:rsidR="00331C87" w:rsidRPr="00914504" w:rsidTr="00617DD5">
      <w:tc>
        <w:tcPr>
          <w:tcW w:w="5000" w:type="pct"/>
          <w:gridSpan w:val="2"/>
          <w:noWrap/>
          <w:tcMar>
            <w:left w:w="0" w:type="dxa"/>
            <w:right w:w="0" w:type="dxa"/>
          </w:tcMar>
          <w:vAlign w:val="center"/>
        </w:tcPr>
        <w:sdt>
          <w:sdtPr>
            <w:id w:val="1616712813"/>
            <w:docPartObj>
              <w:docPartGallery w:val="Page Numbers (Top of Page)"/>
              <w:docPartUnique/>
            </w:docPartObj>
          </w:sdtPr>
          <w:sdtEndPr/>
          <w:sdtContent>
            <w:p w:rsidR="00331C87" w:rsidRPr="00914504" w:rsidRDefault="00331C87" w:rsidP="00617DD5">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15982">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15982">
                <w:rPr>
                  <w:b w:val="0"/>
                  <w:noProof/>
                  <w:color w:val="000000" w:themeColor="text1"/>
                </w:rPr>
                <w:t>2</w:t>
              </w:r>
              <w:r w:rsidRPr="00914504">
                <w:rPr>
                  <w:b w:val="0"/>
                  <w:color w:val="000000" w:themeColor="text1"/>
                  <w:sz w:val="24"/>
                  <w:szCs w:val="24"/>
                </w:rPr>
                <w:fldChar w:fldCharType="end"/>
              </w:r>
            </w:p>
          </w:sdtContent>
        </w:sdt>
      </w:tc>
    </w:tr>
  </w:tbl>
  <w:p w:rsidR="00D57449" w:rsidRPr="00331C87" w:rsidRDefault="00D57449" w:rsidP="00331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49" w:rsidRPr="00E95E3F" w:rsidRDefault="00D57449" w:rsidP="00B3438C">
      <w:pPr>
        <w:pStyle w:val="footnoteseparator"/>
      </w:pPr>
    </w:p>
  </w:footnote>
  <w:footnote w:type="continuationSeparator" w:id="0">
    <w:p w:rsidR="00D57449" w:rsidRDefault="00D57449">
      <w:r>
        <w:continuationSeparator/>
      </w:r>
    </w:p>
    <w:p w:rsidR="00D57449" w:rsidRDefault="00D574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42454E"/>
    <w:multiLevelType w:val="multilevel"/>
    <w:tmpl w:val="2D50BC1C"/>
    <w:numStyleLink w:val="ListHeadings"/>
  </w:abstractNum>
  <w:num w:numId="1">
    <w:abstractNumId w:val="11"/>
  </w:num>
  <w:num w:numId="2">
    <w:abstractNumId w:val="21"/>
  </w:num>
  <w:num w:numId="3">
    <w:abstractNumId w:val="22"/>
  </w:num>
  <w:num w:numId="4">
    <w:abstractNumId w:val="17"/>
  </w:num>
  <w:num w:numId="5">
    <w:abstractNumId w:val="9"/>
  </w:num>
  <w:num w:numId="6">
    <w:abstractNumId w:val="12"/>
  </w:num>
  <w:num w:numId="7">
    <w:abstractNumId w:val="7"/>
  </w:num>
  <w:num w:numId="8">
    <w:abstractNumId w:val="12"/>
  </w:num>
  <w:num w:numId="9">
    <w:abstractNumId w:val="8"/>
  </w:num>
  <w:num w:numId="10">
    <w:abstractNumId w:val="9"/>
  </w:num>
  <w:num w:numId="11">
    <w:abstractNumId w:val="3"/>
  </w:num>
  <w:num w:numId="12">
    <w:abstractNumId w:val="2"/>
  </w:num>
  <w:num w:numId="13">
    <w:abstractNumId w:val="1"/>
  </w:num>
  <w:num w:numId="14">
    <w:abstractNumId w:val="0"/>
  </w:num>
  <w:num w:numId="15">
    <w:abstractNumId w:val="6"/>
  </w:num>
  <w:num w:numId="16">
    <w:abstractNumId w:val="13"/>
  </w:num>
  <w:num w:numId="17">
    <w:abstractNumId w:val="19"/>
  </w:num>
  <w:num w:numId="18">
    <w:abstractNumId w:val="15"/>
  </w:num>
  <w:num w:numId="19">
    <w:abstractNumId w:val="18"/>
  </w:num>
  <w:num w:numId="20">
    <w:abstractNumId w:val="14"/>
  </w:num>
  <w:num w:numId="21">
    <w:abstractNumId w:val="4"/>
  </w:num>
  <w:num w:numId="22">
    <w:abstractNumId w:val="10"/>
  </w:num>
  <w:num w:numId="23">
    <w:abstractNumId w:val="5"/>
  </w:num>
  <w:num w:numId="24">
    <w:abstractNumId w:val="23"/>
  </w:num>
  <w:num w:numId="25">
    <w:abstractNumId w:val="11"/>
  </w:num>
  <w:num w:numId="26">
    <w:abstractNumId w:val="21"/>
  </w:num>
  <w:num w:numId="27">
    <w:abstractNumId w:val="22"/>
  </w:num>
  <w:num w:numId="28">
    <w:abstractNumId w:val="17"/>
  </w:num>
  <w:num w:numId="29">
    <w:abstractNumId w:val="16"/>
  </w:num>
  <w:num w:numId="30">
    <w:abstractNumId w:val="2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228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83"/>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1043"/>
    <w:rsid w:val="00072AAF"/>
    <w:rsid w:val="0007358E"/>
    <w:rsid w:val="00074F2E"/>
    <w:rsid w:val="00075317"/>
    <w:rsid w:val="000764AB"/>
    <w:rsid w:val="000775A1"/>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982"/>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4EEE"/>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5EA4"/>
    <w:rsid w:val="001C6D32"/>
    <w:rsid w:val="001C7DF9"/>
    <w:rsid w:val="001D09F5"/>
    <w:rsid w:val="001D2FEF"/>
    <w:rsid w:val="001D34F9"/>
    <w:rsid w:val="001E0CD8"/>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4BDD"/>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1F60"/>
    <w:rsid w:val="003043B4"/>
    <w:rsid w:val="003044FC"/>
    <w:rsid w:val="00305424"/>
    <w:rsid w:val="00305912"/>
    <w:rsid w:val="00313F6E"/>
    <w:rsid w:val="00314090"/>
    <w:rsid w:val="0031537C"/>
    <w:rsid w:val="0031707B"/>
    <w:rsid w:val="003204F2"/>
    <w:rsid w:val="003216A0"/>
    <w:rsid w:val="00322093"/>
    <w:rsid w:val="00324018"/>
    <w:rsid w:val="00330653"/>
    <w:rsid w:val="00330B8F"/>
    <w:rsid w:val="00331C87"/>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556"/>
    <w:rsid w:val="00372E92"/>
    <w:rsid w:val="0037352C"/>
    <w:rsid w:val="00374B3F"/>
    <w:rsid w:val="00376080"/>
    <w:rsid w:val="003836CE"/>
    <w:rsid w:val="003853BD"/>
    <w:rsid w:val="00386766"/>
    <w:rsid w:val="0039039F"/>
    <w:rsid w:val="0039306E"/>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384"/>
    <w:rsid w:val="004C7724"/>
    <w:rsid w:val="004C7D0E"/>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0180"/>
    <w:rsid w:val="004F11E4"/>
    <w:rsid w:val="004F2561"/>
    <w:rsid w:val="004F3B8B"/>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29AB"/>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12C8E"/>
    <w:rsid w:val="00614325"/>
    <w:rsid w:val="006159C5"/>
    <w:rsid w:val="0062163D"/>
    <w:rsid w:val="006224BD"/>
    <w:rsid w:val="0062383A"/>
    <w:rsid w:val="00624DAA"/>
    <w:rsid w:val="00627220"/>
    <w:rsid w:val="00630814"/>
    <w:rsid w:val="0063081B"/>
    <w:rsid w:val="00632802"/>
    <w:rsid w:val="006345E1"/>
    <w:rsid w:val="00635A7B"/>
    <w:rsid w:val="00640D42"/>
    <w:rsid w:val="00643E58"/>
    <w:rsid w:val="00644EA1"/>
    <w:rsid w:val="00650B7B"/>
    <w:rsid w:val="00655B13"/>
    <w:rsid w:val="0065710C"/>
    <w:rsid w:val="00657D40"/>
    <w:rsid w:val="0066030B"/>
    <w:rsid w:val="00660676"/>
    <w:rsid w:val="00660ABF"/>
    <w:rsid w:val="00666980"/>
    <w:rsid w:val="00672C5F"/>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D6C83"/>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3C"/>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B77"/>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2B02"/>
    <w:rsid w:val="008331B9"/>
    <w:rsid w:val="00834051"/>
    <w:rsid w:val="00837549"/>
    <w:rsid w:val="0084063B"/>
    <w:rsid w:val="0084063E"/>
    <w:rsid w:val="00842772"/>
    <w:rsid w:val="00843D78"/>
    <w:rsid w:val="00843F9F"/>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B78DD"/>
    <w:rsid w:val="008C31C5"/>
    <w:rsid w:val="008C49EB"/>
    <w:rsid w:val="008C4C3E"/>
    <w:rsid w:val="008C4FB6"/>
    <w:rsid w:val="008C5CD6"/>
    <w:rsid w:val="008C6E21"/>
    <w:rsid w:val="008C78DF"/>
    <w:rsid w:val="008D1420"/>
    <w:rsid w:val="008D20C5"/>
    <w:rsid w:val="008D43F7"/>
    <w:rsid w:val="008E05BD"/>
    <w:rsid w:val="008E0F71"/>
    <w:rsid w:val="008E1832"/>
    <w:rsid w:val="008E1B7A"/>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03DC"/>
    <w:rsid w:val="0093145E"/>
    <w:rsid w:val="00931AC0"/>
    <w:rsid w:val="00931C5A"/>
    <w:rsid w:val="0093255E"/>
    <w:rsid w:val="00932606"/>
    <w:rsid w:val="00932C22"/>
    <w:rsid w:val="0094166C"/>
    <w:rsid w:val="009433A6"/>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76B04"/>
    <w:rsid w:val="00980AE8"/>
    <w:rsid w:val="009829F5"/>
    <w:rsid w:val="00982C8E"/>
    <w:rsid w:val="00985222"/>
    <w:rsid w:val="00985569"/>
    <w:rsid w:val="009910C4"/>
    <w:rsid w:val="0099454A"/>
    <w:rsid w:val="009953C0"/>
    <w:rsid w:val="00996745"/>
    <w:rsid w:val="009A1FA0"/>
    <w:rsid w:val="009A6241"/>
    <w:rsid w:val="009A6C01"/>
    <w:rsid w:val="009A6F73"/>
    <w:rsid w:val="009B08FB"/>
    <w:rsid w:val="009B2129"/>
    <w:rsid w:val="009B2C81"/>
    <w:rsid w:val="009B3A76"/>
    <w:rsid w:val="009B694C"/>
    <w:rsid w:val="009C1EEE"/>
    <w:rsid w:val="009C2F36"/>
    <w:rsid w:val="009C3803"/>
    <w:rsid w:val="009C39B5"/>
    <w:rsid w:val="009C3E4E"/>
    <w:rsid w:val="009C431C"/>
    <w:rsid w:val="009C5796"/>
    <w:rsid w:val="009C58CD"/>
    <w:rsid w:val="009C6BF6"/>
    <w:rsid w:val="009C6D4E"/>
    <w:rsid w:val="009C765C"/>
    <w:rsid w:val="009D06AE"/>
    <w:rsid w:val="009D1327"/>
    <w:rsid w:val="009D2B2D"/>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9F74C4"/>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76F47"/>
    <w:rsid w:val="00A82984"/>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983"/>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2B4"/>
    <w:rsid w:val="00BB0CA7"/>
    <w:rsid w:val="00BB0D6A"/>
    <w:rsid w:val="00BC1CBD"/>
    <w:rsid w:val="00BC2B30"/>
    <w:rsid w:val="00BC35CA"/>
    <w:rsid w:val="00BC7C9C"/>
    <w:rsid w:val="00BD2E58"/>
    <w:rsid w:val="00BD5D05"/>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5B0C"/>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2B34"/>
    <w:rsid w:val="00D43556"/>
    <w:rsid w:val="00D469F0"/>
    <w:rsid w:val="00D475F9"/>
    <w:rsid w:val="00D5246A"/>
    <w:rsid w:val="00D538EC"/>
    <w:rsid w:val="00D56623"/>
    <w:rsid w:val="00D57449"/>
    <w:rsid w:val="00D62718"/>
    <w:rsid w:val="00D62D63"/>
    <w:rsid w:val="00D64DE0"/>
    <w:rsid w:val="00D670E3"/>
    <w:rsid w:val="00D71871"/>
    <w:rsid w:val="00D7493B"/>
    <w:rsid w:val="00D75580"/>
    <w:rsid w:val="00D7589F"/>
    <w:rsid w:val="00D76080"/>
    <w:rsid w:val="00D7692B"/>
    <w:rsid w:val="00D80562"/>
    <w:rsid w:val="00D809C5"/>
    <w:rsid w:val="00D80D06"/>
    <w:rsid w:val="00D8365D"/>
    <w:rsid w:val="00D849F7"/>
    <w:rsid w:val="00D86453"/>
    <w:rsid w:val="00D8654B"/>
    <w:rsid w:val="00D8781B"/>
    <w:rsid w:val="00D87F03"/>
    <w:rsid w:val="00D920CC"/>
    <w:rsid w:val="00D94374"/>
    <w:rsid w:val="00D9609E"/>
    <w:rsid w:val="00DA3416"/>
    <w:rsid w:val="00DA4132"/>
    <w:rsid w:val="00DA5718"/>
    <w:rsid w:val="00DA5A0D"/>
    <w:rsid w:val="00DA63E0"/>
    <w:rsid w:val="00DA6E92"/>
    <w:rsid w:val="00DB1BDF"/>
    <w:rsid w:val="00DB5734"/>
    <w:rsid w:val="00DB5784"/>
    <w:rsid w:val="00DB6C71"/>
    <w:rsid w:val="00DC0AB5"/>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1663"/>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A2E"/>
    <w:rsid w:val="00E96F0D"/>
    <w:rsid w:val="00E97126"/>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03C"/>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504"/>
    <w:rsid w:val="00F056EE"/>
    <w:rsid w:val="00F062A6"/>
    <w:rsid w:val="00F10741"/>
    <w:rsid w:val="00F1125E"/>
    <w:rsid w:val="00F115EB"/>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27F"/>
    <w:rsid w:val="00F70357"/>
    <w:rsid w:val="00F725AA"/>
    <w:rsid w:val="00F76BCB"/>
    <w:rsid w:val="00F8044D"/>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53366069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293169752">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49BCDF01714AFFBF08DC66D3E71A98"/>
        <w:category>
          <w:name w:val="General"/>
          <w:gallery w:val="placeholder"/>
        </w:category>
        <w:types>
          <w:type w:val="bbPlcHdr"/>
        </w:types>
        <w:behaviors>
          <w:behavior w:val="content"/>
        </w:behaviors>
        <w:guid w:val="{7B356EA7-10C3-4566-941B-CF7EB71BA3B1}"/>
      </w:docPartPr>
      <w:docPartBody>
        <w:p w:rsidR="004C04A6" w:rsidRDefault="004C04A6">
          <w:pPr>
            <w:pStyle w:val="6549BCDF01714AFFBF08DC66D3E71A98"/>
          </w:pPr>
          <w:r>
            <w:rPr>
              <w:shd w:val="clear" w:color="auto" w:fill="F7EA9F"/>
            </w:rPr>
            <w:t>[Title]</w:t>
          </w:r>
        </w:p>
      </w:docPartBody>
    </w:docPart>
    <w:docPart>
      <w:docPartPr>
        <w:name w:val="3692D3B85D1249CA9A12BC19A1DC4F49"/>
        <w:category>
          <w:name w:val="General"/>
          <w:gallery w:val="placeholder"/>
        </w:category>
        <w:types>
          <w:type w:val="bbPlcHdr"/>
        </w:types>
        <w:behaviors>
          <w:behavior w:val="content"/>
        </w:behaviors>
        <w:guid w:val="{65DEFDD7-34EF-4A00-BE9A-96C5E6E401EA}"/>
      </w:docPartPr>
      <w:docPartBody>
        <w:p w:rsidR="004C04A6" w:rsidRDefault="004C04A6">
          <w:pPr>
            <w:pStyle w:val="3692D3B85D1249CA9A12BC19A1DC4F49"/>
          </w:pPr>
          <w:r w:rsidRPr="00A4408D">
            <w:rPr>
              <w:shd w:val="clear" w:color="auto" w:fill="F79646" w:themeFill="accent6"/>
            </w:rPr>
            <w:t>[Enter keyword]</w:t>
          </w:r>
        </w:p>
      </w:docPartBody>
    </w:docPart>
    <w:docPart>
      <w:docPartPr>
        <w:name w:val="23509E635C1645BA851D8DB19B4A5529"/>
        <w:category>
          <w:name w:val="General"/>
          <w:gallery w:val="placeholder"/>
        </w:category>
        <w:types>
          <w:type w:val="bbPlcHdr"/>
        </w:types>
        <w:behaviors>
          <w:behavior w:val="content"/>
        </w:behaviors>
        <w:guid w:val="{5A817D8E-F950-49A3-9FE3-32E2FF5F69D2}"/>
      </w:docPartPr>
      <w:docPartBody>
        <w:p w:rsidR="004C04A6" w:rsidRDefault="004C04A6">
          <w:pPr>
            <w:pStyle w:val="23509E635C1645BA851D8DB19B4A5529"/>
          </w:pPr>
          <w:r w:rsidRPr="00A4408D">
            <w:rPr>
              <w:shd w:val="clear" w:color="auto" w:fill="F79646" w:themeFill="accent6"/>
            </w:rPr>
            <w:t>[Enter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A6"/>
    <w:rsid w:val="004C04A6"/>
    <w:rsid w:val="00584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49BCDF01714AFFBF08DC66D3E71A98">
    <w:name w:val="6549BCDF01714AFFBF08DC66D3E71A98"/>
  </w:style>
  <w:style w:type="paragraph" w:customStyle="1" w:styleId="3692D3B85D1249CA9A12BC19A1DC4F49">
    <w:name w:val="3692D3B85D1249CA9A12BC19A1DC4F49"/>
  </w:style>
  <w:style w:type="paragraph" w:customStyle="1" w:styleId="23509E635C1645BA851D8DB19B4A5529">
    <w:name w:val="23509E635C1645BA851D8DB19B4A5529"/>
  </w:style>
  <w:style w:type="paragraph" w:customStyle="1" w:styleId="5B34AAE2BC2F4ADE95928EE96A318E8D">
    <w:name w:val="5B34AAE2BC2F4ADE95928EE96A318E8D"/>
  </w:style>
  <w:style w:type="paragraph" w:customStyle="1" w:styleId="98507C1ED421445DA6D37E2D805730FA">
    <w:name w:val="98507C1ED421445DA6D37E2D805730FA"/>
  </w:style>
  <w:style w:type="character" w:styleId="PlaceholderText">
    <w:name w:val="Placeholder Text"/>
    <w:basedOn w:val="DefaultParagraphFont"/>
    <w:uiPriority w:val="99"/>
    <w:rPr>
      <w:color w:val="FF0000"/>
    </w:rPr>
  </w:style>
  <w:style w:type="paragraph" w:customStyle="1" w:styleId="CBA9F7DA27A54CEFBE5A5885EF6268D4">
    <w:name w:val="CBA9F7DA27A54CEFBE5A5885EF6268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49BCDF01714AFFBF08DC66D3E71A98">
    <w:name w:val="6549BCDF01714AFFBF08DC66D3E71A98"/>
  </w:style>
  <w:style w:type="paragraph" w:customStyle="1" w:styleId="3692D3B85D1249CA9A12BC19A1DC4F49">
    <w:name w:val="3692D3B85D1249CA9A12BC19A1DC4F49"/>
  </w:style>
  <w:style w:type="paragraph" w:customStyle="1" w:styleId="23509E635C1645BA851D8DB19B4A5529">
    <w:name w:val="23509E635C1645BA851D8DB19B4A5529"/>
  </w:style>
  <w:style w:type="paragraph" w:customStyle="1" w:styleId="5B34AAE2BC2F4ADE95928EE96A318E8D">
    <w:name w:val="5B34AAE2BC2F4ADE95928EE96A318E8D"/>
  </w:style>
  <w:style w:type="paragraph" w:customStyle="1" w:styleId="98507C1ED421445DA6D37E2D805730FA">
    <w:name w:val="98507C1ED421445DA6D37E2D805730FA"/>
  </w:style>
  <w:style w:type="character" w:styleId="PlaceholderText">
    <w:name w:val="Placeholder Text"/>
    <w:basedOn w:val="DefaultParagraphFont"/>
    <w:uiPriority w:val="99"/>
    <w:rPr>
      <w:color w:val="FF0000"/>
    </w:rPr>
  </w:style>
  <w:style w:type="paragraph" w:customStyle="1" w:styleId="CBA9F7DA27A54CEFBE5A5885EF6268D4">
    <w:name w:val="CBA9F7DA27A54CEFBE5A5885EF626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QKLG professional development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424C4139-56A3-4609-8692-B78CA1A1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Kindergarten: Transition case study</vt:lpstr>
    </vt:vector>
  </TitlesOfParts>
  <Manager>Transition case study</Manager>
  <Company>Queensland Curriculum and Assessment Authority</Company>
  <LinksUpToDate>false</LinksUpToDate>
  <CharactersWithSpaces>3580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Transition case study</dc:title>
  <dc:creator>Queensland Curriculum and Assessment Authority</dc:creator>
  <cp:lastModifiedBy>JGED</cp:lastModifiedBy>
  <cp:revision>10</cp:revision>
  <cp:lastPrinted>2014-03-06T02:16:00Z</cp:lastPrinted>
  <dcterms:created xsi:type="dcterms:W3CDTF">2014-06-10T00:18:00Z</dcterms:created>
  <dcterms:modified xsi:type="dcterms:W3CDTF">2014-08-28T05:20:00Z</dcterms:modified>
  <cp:category>r1054</cp:category>
  <cp:contentStatus>Rebranded August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