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1"/>
        <w:gridCol w:w="5404"/>
        <w:gridCol w:w="474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9303DC">
            <w:bookmarkStart w:id="0" w:name="_Toc234219367"/>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144EEE" w:rsidP="009303DC">
            <w:pPr>
              <w:jc w:val="right"/>
              <w:rPr>
                <w:rFonts w:cs="Arial"/>
                <w:noProof/>
                <w:color w:val="6F7378" w:themeColor="background2" w:themeShade="80"/>
                <w:kern w:val="28"/>
                <w:sz w:val="28"/>
                <w:szCs w:val="32"/>
              </w:rPr>
            </w:pPr>
            <w:r w:rsidRPr="008E1B7A">
              <w:rPr>
                <w:noProof/>
              </w:rPr>
              <w:drawing>
                <wp:inline distT="0" distB="0" distL="0" distR="0" wp14:anchorId="75A8F18C" wp14:editId="6D478E81">
                  <wp:extent cx="30099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280168"/>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rPr>
                <w:lang w:eastAsia="zh-CN"/>
              </w:rPr>
              <w:alias w:val="Document title"/>
              <w:tag w:val="Document title"/>
              <w:id w:val="1744602064"/>
              <w:placeholder>
                <w:docPart w:val="D7B053BF1A9B440DAE20591359F5239B"/>
              </w:placeholder>
              <w:dataBinding w:prefixMappings="xmlns:ns0='http://schemas.microsoft.com/office/2006/coverPageProps' " w:xpath="/ns0:CoverPageProperties[1]/ns0:Abstract[1]" w:storeItemID="{55AF091B-3C7A-41E3-B477-F2FDAA23CFDA}"/>
              <w:text/>
            </w:sdtPr>
            <w:sdtEndPr/>
            <w:sdtContent>
              <w:p w:rsidR="00301F60" w:rsidRPr="008E1B7A" w:rsidRDefault="00DF09DA" w:rsidP="006B393E">
                <w:pPr>
                  <w:pStyle w:val="Title"/>
                  <w:framePr w:wrap="auto" w:vAnchor="margin" w:hAnchor="text" w:xAlign="left" w:yAlign="inline"/>
                  <w:spacing w:before="400" w:after="240"/>
                  <w:suppressOverlap w:val="0"/>
                </w:pPr>
                <w:r w:rsidRPr="00DF09DA">
                  <w:rPr>
                    <w:lang w:eastAsia="zh-CN"/>
                  </w:rPr>
                  <w:t>Cultural and linguistic diversity: Part 2 — Building positive relationships</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DF09DA" w:rsidRPr="006078CB" w:rsidRDefault="00DF09DA" w:rsidP="00DF09DA">
      <w:pPr>
        <w:pStyle w:val="BodyText"/>
        <w:rPr>
          <w:lang w:eastAsia="zh-CN"/>
        </w:rPr>
      </w:pPr>
      <w:r w:rsidRPr="006078CB">
        <w:t xml:space="preserve">This resource is part </w:t>
      </w:r>
      <w:r>
        <w:t>2</w:t>
      </w:r>
      <w:r w:rsidRPr="006078CB">
        <w:t xml:space="preserve"> in a series of three</w:t>
      </w:r>
      <w:r>
        <w:t xml:space="preserve"> which </w:t>
      </w:r>
      <w:r w:rsidRPr="006078CB">
        <w:t>provid</w:t>
      </w:r>
      <w:r>
        <w:t>e</w:t>
      </w:r>
      <w:r w:rsidRPr="006078CB">
        <w:t xml:space="preserve"> information about strategies to support cultural and linguistic diversity in kindergarten. It was developed in collaboration with </w:t>
      </w:r>
      <w:r w:rsidRPr="006078CB">
        <w:rPr>
          <w:lang w:eastAsia="zh-CN"/>
        </w:rPr>
        <w:t xml:space="preserve">a community kindergarten using the </w:t>
      </w:r>
      <w:r w:rsidRPr="006078CB">
        <w:rPr>
          <w:i/>
          <w:lang w:eastAsia="zh-CN"/>
        </w:rPr>
        <w:t>Queensland kindergarten learning guideline</w:t>
      </w:r>
      <w:r w:rsidRPr="006078CB">
        <w:rPr>
          <w:lang w:eastAsia="zh-CN"/>
        </w:rPr>
        <w:t xml:space="preserve"> (</w:t>
      </w:r>
      <w:r w:rsidRPr="006078CB">
        <w:rPr>
          <w:i/>
          <w:lang w:eastAsia="zh-CN"/>
        </w:rPr>
        <w:t>QKLG</w:t>
      </w:r>
      <w:r w:rsidRPr="006078CB">
        <w:rPr>
          <w:lang w:eastAsia="zh-CN"/>
        </w:rPr>
        <w:t xml:space="preserve">). </w:t>
      </w:r>
    </w:p>
    <w:p w:rsidR="00DF09DA" w:rsidRPr="006078CB" w:rsidRDefault="00DF09DA" w:rsidP="00DF09DA">
      <w:pPr>
        <w:pStyle w:val="BodyText"/>
        <w:rPr>
          <w:lang w:eastAsia="zh-CN"/>
        </w:rPr>
      </w:pPr>
      <w:r>
        <w:rPr>
          <w:lang w:eastAsia="zh-CN"/>
        </w:rPr>
        <w:t xml:space="preserve">It is recommended that you allocate approximately 30 minutes per resource to read, reflect and respond to questions. </w:t>
      </w:r>
      <w:r w:rsidRPr="006078CB">
        <w:rPr>
          <w:lang w:eastAsia="zh-CN"/>
        </w:rPr>
        <w:t xml:space="preserve">The </w:t>
      </w:r>
      <w:r w:rsidRPr="006078CB">
        <w:t>resources</w:t>
      </w:r>
      <w:r w:rsidRPr="006078CB">
        <w:rPr>
          <w:lang w:eastAsia="zh-CN"/>
        </w:rPr>
        <w:t xml:space="preserve"> focus on:</w:t>
      </w:r>
    </w:p>
    <w:p w:rsidR="00DF09DA" w:rsidRPr="006078CB" w:rsidRDefault="00DF09DA" w:rsidP="00DF09DA">
      <w:pPr>
        <w:pStyle w:val="ListBullet0"/>
        <w:spacing w:after="80"/>
        <w:rPr>
          <w:lang w:eastAsia="zh-CN"/>
        </w:rPr>
      </w:pPr>
      <w:r w:rsidRPr="006078CB">
        <w:rPr>
          <w:lang w:eastAsia="zh-CN"/>
        </w:rPr>
        <w:t>Part 1: Transition to kindergarten</w:t>
      </w:r>
      <w:r>
        <w:rPr>
          <w:lang w:eastAsia="zh-CN"/>
        </w:rPr>
        <w:t xml:space="preserve"> </w:t>
      </w:r>
    </w:p>
    <w:p w:rsidR="00DF09DA" w:rsidRPr="006078CB" w:rsidRDefault="00DF09DA" w:rsidP="00DF09DA">
      <w:pPr>
        <w:pStyle w:val="ListBullet0"/>
        <w:spacing w:after="80"/>
        <w:rPr>
          <w:lang w:eastAsia="zh-CN"/>
        </w:rPr>
      </w:pPr>
      <w:r w:rsidRPr="006078CB">
        <w:rPr>
          <w:lang w:eastAsia="zh-CN"/>
        </w:rPr>
        <w:t xml:space="preserve">Part 2: Building </w:t>
      </w:r>
      <w:r>
        <w:rPr>
          <w:lang w:eastAsia="zh-CN"/>
        </w:rPr>
        <w:t xml:space="preserve">positive </w:t>
      </w:r>
      <w:r w:rsidRPr="006078CB">
        <w:rPr>
          <w:lang w:eastAsia="zh-CN"/>
        </w:rPr>
        <w:t>relationships</w:t>
      </w:r>
    </w:p>
    <w:p w:rsidR="00DF09DA" w:rsidRPr="006078CB" w:rsidRDefault="00DF09DA" w:rsidP="00DF09DA">
      <w:pPr>
        <w:pStyle w:val="ListBullet0"/>
        <w:spacing w:after="80"/>
        <w:rPr>
          <w:lang w:eastAsia="zh-CN"/>
        </w:rPr>
      </w:pPr>
      <w:r w:rsidRPr="006078CB">
        <w:rPr>
          <w:lang w:eastAsia="zh-CN"/>
        </w:rPr>
        <w:t>Part 3: Respecting diversity.</w:t>
      </w:r>
      <w:r w:rsidRPr="003065AF">
        <w:rPr>
          <w:lang w:eastAsia="zh-CN"/>
        </w:rPr>
        <w:t xml:space="preserve"> </w:t>
      </w:r>
    </w:p>
    <w:p w:rsidR="00DF09DA" w:rsidRDefault="00DF09DA" w:rsidP="006B393E">
      <w:pPr>
        <w:pStyle w:val="Heading2"/>
        <w:spacing w:before="240"/>
      </w:pPr>
      <w:r>
        <w:t xml:space="preserve">Building </w:t>
      </w:r>
      <w:r w:rsidRPr="006F01C9">
        <w:t>positive</w:t>
      </w:r>
      <w:r>
        <w:t xml:space="preserve"> relationships</w:t>
      </w:r>
    </w:p>
    <w:p w:rsidR="00DF09DA" w:rsidRDefault="00DF09DA" w:rsidP="00DF09DA">
      <w:pPr>
        <w:pStyle w:val="BodyText"/>
        <w:rPr>
          <w:lang w:eastAsia="zh-CN"/>
        </w:rPr>
      </w:pPr>
      <w:r>
        <w:rPr>
          <w:lang w:eastAsia="zh-CN"/>
        </w:rPr>
        <w:t>In all cultures there are protocols to follow which are specific to the community. The scenario below is an example of one kindergarten teacher’s experiences in supporting a family by promoting positive relationships with all partners involved in the kindergarten service.</w:t>
      </w:r>
    </w:p>
    <w:p w:rsidR="00DF09DA" w:rsidRPr="005F6734" w:rsidRDefault="00DF09DA" w:rsidP="004302BB">
      <w:pPr>
        <w:pStyle w:val="BodyText"/>
        <w:spacing w:after="240"/>
        <w:rPr>
          <w:lang w:eastAsia="zh-CN"/>
        </w:rPr>
      </w:pPr>
      <w:r>
        <w:rPr>
          <w:lang w:eastAsia="zh-CN"/>
        </w:rPr>
        <w:t xml:space="preserve">For more information on building positive relationships see the </w:t>
      </w:r>
      <w:r w:rsidRPr="00E00712">
        <w:rPr>
          <w:i/>
          <w:lang w:eastAsia="zh-CN"/>
        </w:rPr>
        <w:t>QKLG</w:t>
      </w:r>
      <w:r>
        <w:rPr>
          <w:lang w:eastAsia="zh-CN"/>
        </w:rPr>
        <w:t>, page 44.</w:t>
      </w:r>
    </w:p>
    <w:tbl>
      <w:tblPr>
        <w:tblW w:w="4900" w:type="pct"/>
        <w:tblInd w:w="108" w:type="dxa"/>
        <w:shd w:val="solid" w:color="C0C0C0" w:fill="FFFFFF"/>
        <w:tblLayout w:type="fixed"/>
        <w:tblLook w:val="04A0" w:firstRow="1" w:lastRow="0" w:firstColumn="1" w:lastColumn="0" w:noHBand="0" w:noVBand="1"/>
      </w:tblPr>
      <w:tblGrid>
        <w:gridCol w:w="7146"/>
        <w:gridCol w:w="1955"/>
      </w:tblGrid>
      <w:tr w:rsidR="00DF09DA" w:rsidTr="00DF09DA">
        <w:tc>
          <w:tcPr>
            <w:tcW w:w="3926" w:type="pct"/>
            <w:shd w:val="solid" w:color="C0C0C0" w:fill="FFFFFF"/>
          </w:tcPr>
          <w:p w:rsidR="00DF09DA" w:rsidRPr="00DF09DA" w:rsidRDefault="00DF09DA" w:rsidP="004302BB">
            <w:pPr>
              <w:pStyle w:val="BodyText"/>
              <w:spacing w:before="120"/>
              <w:rPr>
                <w:b/>
                <w:sz w:val="19"/>
                <w:szCs w:val="19"/>
              </w:rPr>
            </w:pPr>
            <w:r w:rsidRPr="00DF09DA">
              <w:rPr>
                <w:sz w:val="19"/>
                <w:szCs w:val="19"/>
              </w:rPr>
              <w:t xml:space="preserve">Gun-Hae started kindergarten mid-year. His English was limited: he could say </w:t>
            </w:r>
            <w:r w:rsidR="000F6992">
              <w:rPr>
                <w:sz w:val="19"/>
                <w:szCs w:val="19"/>
              </w:rPr>
              <w:t>‘</w:t>
            </w:r>
            <w:r w:rsidRPr="00DF09DA">
              <w:rPr>
                <w:sz w:val="19"/>
                <w:szCs w:val="19"/>
              </w:rPr>
              <w:t>hello</w:t>
            </w:r>
            <w:r w:rsidR="000F6992">
              <w:rPr>
                <w:sz w:val="19"/>
                <w:szCs w:val="19"/>
              </w:rPr>
              <w:t>’</w:t>
            </w:r>
            <w:r w:rsidRPr="00DF09DA">
              <w:rPr>
                <w:sz w:val="19"/>
                <w:szCs w:val="19"/>
              </w:rPr>
              <w:t xml:space="preserve">, </w:t>
            </w:r>
            <w:r w:rsidR="000F6992">
              <w:rPr>
                <w:sz w:val="19"/>
                <w:szCs w:val="19"/>
              </w:rPr>
              <w:t>‘</w:t>
            </w:r>
            <w:r w:rsidRPr="00DF09DA">
              <w:rPr>
                <w:sz w:val="19"/>
                <w:szCs w:val="19"/>
              </w:rPr>
              <w:t>no</w:t>
            </w:r>
            <w:r w:rsidR="000F6992">
              <w:rPr>
                <w:sz w:val="19"/>
                <w:szCs w:val="19"/>
              </w:rPr>
              <w:t>’</w:t>
            </w:r>
            <w:r w:rsidRPr="00DF09DA">
              <w:rPr>
                <w:sz w:val="19"/>
                <w:szCs w:val="19"/>
              </w:rPr>
              <w:t xml:space="preserve"> and </w:t>
            </w:r>
            <w:r w:rsidR="000F6992">
              <w:rPr>
                <w:sz w:val="19"/>
                <w:szCs w:val="19"/>
              </w:rPr>
              <w:t>‘</w:t>
            </w:r>
            <w:r w:rsidRPr="00DF09DA">
              <w:rPr>
                <w:sz w:val="19"/>
                <w:szCs w:val="19"/>
              </w:rPr>
              <w:t>yes</w:t>
            </w:r>
            <w:r w:rsidR="000F6992">
              <w:rPr>
                <w:sz w:val="19"/>
                <w:szCs w:val="19"/>
              </w:rPr>
              <w:t>’</w:t>
            </w:r>
            <w:r w:rsidRPr="00DF09DA">
              <w:rPr>
                <w:sz w:val="19"/>
                <w:szCs w:val="19"/>
              </w:rPr>
              <w:t xml:space="preserve">. He spoke to the teacher and other children in Korean, and assumed he was understood. The teacher or the assistant stayed with him much of the time, guiding him through the day’s routine. </w:t>
            </w:r>
            <w:r w:rsidRPr="00DF09DA">
              <w:rPr>
                <w:sz w:val="19"/>
                <w:szCs w:val="19"/>
              </w:rPr>
              <w:br/>
              <w:t>The children were keen to help him and show him what to do and how things worked. He had never seen easel painting or playdough and the other children loved being with him as experienced these for the first time.</w:t>
            </w:r>
          </w:p>
          <w:p w:rsidR="00DF09DA" w:rsidRPr="00DF09DA" w:rsidRDefault="00DF09DA" w:rsidP="004302BB">
            <w:pPr>
              <w:pStyle w:val="BodyText"/>
              <w:rPr>
                <w:b/>
                <w:sz w:val="19"/>
                <w:szCs w:val="19"/>
              </w:rPr>
            </w:pPr>
            <w:r w:rsidRPr="00DF09DA">
              <w:rPr>
                <w:sz w:val="19"/>
                <w:szCs w:val="19"/>
              </w:rPr>
              <w:t xml:space="preserve">Gestures and vocal tone were key tools used to communicate with </w:t>
            </w:r>
            <w:r w:rsidRPr="00DF09DA">
              <w:rPr>
                <w:sz w:val="19"/>
                <w:szCs w:val="19"/>
              </w:rPr>
              <w:br/>
              <w:t xml:space="preserve">Gun-Hae. It was important to change our communication style to match those he was more familiar with in his family and cultural context. Gun-Hae was used to clear, direct instructions. Requests such as, </w:t>
            </w:r>
            <w:r w:rsidR="000F6992">
              <w:rPr>
                <w:sz w:val="19"/>
                <w:szCs w:val="19"/>
              </w:rPr>
              <w:t>‘</w:t>
            </w:r>
            <w:r w:rsidRPr="00DF09DA">
              <w:rPr>
                <w:sz w:val="19"/>
                <w:szCs w:val="19"/>
              </w:rPr>
              <w:t>Children, can you sit down now, please?</w:t>
            </w:r>
            <w:r w:rsidR="000F6992">
              <w:rPr>
                <w:sz w:val="19"/>
                <w:szCs w:val="19"/>
              </w:rPr>
              <w:t>’</w:t>
            </w:r>
            <w:r w:rsidRPr="00DF09DA">
              <w:rPr>
                <w:sz w:val="19"/>
                <w:szCs w:val="19"/>
              </w:rPr>
              <w:t xml:space="preserve"> were not easily understood. Gun-Hae was more comfortable with a short direction such as, </w:t>
            </w:r>
            <w:r w:rsidR="000F6992">
              <w:rPr>
                <w:sz w:val="19"/>
                <w:szCs w:val="19"/>
              </w:rPr>
              <w:t>‘</w:t>
            </w:r>
            <w:r w:rsidRPr="00DF09DA">
              <w:rPr>
                <w:sz w:val="19"/>
                <w:szCs w:val="19"/>
              </w:rPr>
              <w:t>Sit down</w:t>
            </w:r>
            <w:r w:rsidR="000F6992">
              <w:rPr>
                <w:sz w:val="19"/>
                <w:szCs w:val="19"/>
              </w:rPr>
              <w:t>’</w:t>
            </w:r>
            <w:r w:rsidRPr="00DF09DA">
              <w:rPr>
                <w:sz w:val="19"/>
                <w:szCs w:val="19"/>
              </w:rPr>
              <w:t>, accompanied by a clear gesture. In Western cultures, this</w:t>
            </w:r>
            <w:r w:rsidR="000F6992">
              <w:rPr>
                <w:sz w:val="19"/>
                <w:szCs w:val="19"/>
              </w:rPr>
              <w:t xml:space="preserve"> directness may seem impolite, </w:t>
            </w:r>
            <w:r w:rsidRPr="00DF09DA">
              <w:rPr>
                <w:sz w:val="19"/>
                <w:szCs w:val="19"/>
              </w:rPr>
              <w:t>but it is normal in Korean and Chinese cultures.</w:t>
            </w:r>
          </w:p>
          <w:p w:rsidR="00DF09DA" w:rsidRPr="002A31D9" w:rsidRDefault="00DF09DA" w:rsidP="004302BB">
            <w:pPr>
              <w:pStyle w:val="BodyText"/>
              <w:rPr>
                <w:b/>
              </w:rPr>
            </w:pPr>
            <w:r w:rsidRPr="00DF09DA">
              <w:rPr>
                <w:sz w:val="19"/>
                <w:szCs w:val="19"/>
              </w:rPr>
              <w:t xml:space="preserve">In addition, the teacher also used a set of flash cards (with Korean and English words) to communicate simple phrases and instructions such as </w:t>
            </w:r>
            <w:r w:rsidR="000F6992">
              <w:rPr>
                <w:sz w:val="19"/>
                <w:szCs w:val="19"/>
              </w:rPr>
              <w:t>‘</w:t>
            </w:r>
            <w:r w:rsidRPr="00DF09DA">
              <w:rPr>
                <w:sz w:val="19"/>
                <w:szCs w:val="19"/>
              </w:rPr>
              <w:t>good morning</w:t>
            </w:r>
            <w:r w:rsidR="000F6992">
              <w:rPr>
                <w:sz w:val="19"/>
                <w:szCs w:val="19"/>
              </w:rPr>
              <w:t>’</w:t>
            </w:r>
            <w:r w:rsidRPr="00DF09DA">
              <w:rPr>
                <w:sz w:val="19"/>
                <w:szCs w:val="19"/>
              </w:rPr>
              <w:t xml:space="preserve">, </w:t>
            </w:r>
            <w:r w:rsidR="000F6992">
              <w:rPr>
                <w:sz w:val="19"/>
                <w:szCs w:val="19"/>
              </w:rPr>
              <w:t>‘</w:t>
            </w:r>
            <w:r w:rsidRPr="00DF09DA">
              <w:rPr>
                <w:sz w:val="19"/>
                <w:szCs w:val="19"/>
              </w:rPr>
              <w:t>morning tea</w:t>
            </w:r>
            <w:r w:rsidR="000F6992">
              <w:rPr>
                <w:sz w:val="19"/>
                <w:szCs w:val="19"/>
              </w:rPr>
              <w:t>’</w:t>
            </w:r>
            <w:r w:rsidRPr="00DF09DA">
              <w:rPr>
                <w:sz w:val="19"/>
                <w:szCs w:val="19"/>
              </w:rPr>
              <w:t xml:space="preserve">, </w:t>
            </w:r>
            <w:r w:rsidR="000F6992">
              <w:rPr>
                <w:sz w:val="19"/>
                <w:szCs w:val="19"/>
              </w:rPr>
              <w:t>‘</w:t>
            </w:r>
            <w:r w:rsidRPr="00DF09DA">
              <w:rPr>
                <w:sz w:val="19"/>
                <w:szCs w:val="19"/>
              </w:rPr>
              <w:t>wash hands</w:t>
            </w:r>
            <w:r w:rsidR="000F6992">
              <w:rPr>
                <w:sz w:val="19"/>
                <w:szCs w:val="19"/>
              </w:rPr>
              <w:t>’</w:t>
            </w:r>
            <w:r w:rsidRPr="00DF09DA">
              <w:rPr>
                <w:sz w:val="19"/>
                <w:szCs w:val="19"/>
              </w:rPr>
              <w:t>,</w:t>
            </w:r>
            <w:r w:rsidR="000F6992">
              <w:rPr>
                <w:sz w:val="19"/>
                <w:szCs w:val="19"/>
              </w:rPr>
              <w:t>’</w:t>
            </w:r>
            <w:r w:rsidRPr="00DF09DA">
              <w:rPr>
                <w:sz w:val="19"/>
                <w:szCs w:val="19"/>
              </w:rPr>
              <w:t xml:space="preserve"> toilet</w:t>
            </w:r>
            <w:r w:rsidR="000F6992">
              <w:rPr>
                <w:sz w:val="19"/>
                <w:szCs w:val="19"/>
              </w:rPr>
              <w:t>’</w:t>
            </w:r>
            <w:r w:rsidRPr="00DF09DA">
              <w:rPr>
                <w:sz w:val="19"/>
                <w:szCs w:val="19"/>
              </w:rPr>
              <w:t xml:space="preserve">, </w:t>
            </w:r>
            <w:r w:rsidR="000F6992">
              <w:rPr>
                <w:sz w:val="19"/>
                <w:szCs w:val="19"/>
              </w:rPr>
              <w:t>‘</w:t>
            </w:r>
            <w:r w:rsidRPr="00DF09DA">
              <w:rPr>
                <w:sz w:val="19"/>
                <w:szCs w:val="19"/>
              </w:rPr>
              <w:t>dancing</w:t>
            </w:r>
            <w:r w:rsidR="000F6992">
              <w:rPr>
                <w:sz w:val="19"/>
                <w:szCs w:val="19"/>
              </w:rPr>
              <w:t>’</w:t>
            </w:r>
            <w:r w:rsidRPr="00DF09DA">
              <w:rPr>
                <w:sz w:val="19"/>
                <w:szCs w:val="19"/>
              </w:rPr>
              <w:t xml:space="preserve"> and </w:t>
            </w:r>
            <w:r w:rsidR="000F6992">
              <w:rPr>
                <w:sz w:val="19"/>
                <w:szCs w:val="19"/>
              </w:rPr>
              <w:t>‘</w:t>
            </w:r>
            <w:r w:rsidRPr="00DF09DA">
              <w:rPr>
                <w:sz w:val="19"/>
                <w:szCs w:val="19"/>
              </w:rPr>
              <w:t>playing</w:t>
            </w:r>
            <w:r w:rsidR="000F6992">
              <w:rPr>
                <w:sz w:val="19"/>
                <w:szCs w:val="19"/>
              </w:rPr>
              <w:t>’</w:t>
            </w:r>
            <w:r w:rsidRPr="00DF09DA">
              <w:rPr>
                <w:sz w:val="19"/>
                <w:szCs w:val="19"/>
              </w:rPr>
              <w:t xml:space="preserve"> to help promote </w:t>
            </w:r>
            <w:r w:rsidR="004302BB">
              <w:rPr>
                <w:sz w:val="19"/>
                <w:szCs w:val="19"/>
              </w:rPr>
              <w:br/>
            </w:r>
            <w:r w:rsidRPr="00DF09DA">
              <w:rPr>
                <w:sz w:val="19"/>
                <w:szCs w:val="19"/>
              </w:rPr>
              <w:t xml:space="preserve">two-way communication. Gun-Hae was also paired up with other children who spoke Korean and English and his partners would spontaneously translate </w:t>
            </w:r>
            <w:r w:rsidR="004302BB">
              <w:rPr>
                <w:sz w:val="19"/>
                <w:szCs w:val="19"/>
              </w:rPr>
              <w:br/>
            </w:r>
            <w:r w:rsidRPr="00DF09DA">
              <w:rPr>
                <w:sz w:val="19"/>
                <w:szCs w:val="19"/>
              </w:rPr>
              <w:t>for him and teach him English vocabulary.</w:t>
            </w:r>
          </w:p>
        </w:tc>
        <w:tc>
          <w:tcPr>
            <w:tcW w:w="1074" w:type="pct"/>
            <w:shd w:val="solid" w:color="C0C0C0" w:fill="FFFFFF"/>
          </w:tcPr>
          <w:p w:rsidR="00DF09DA" w:rsidRPr="002A31D9" w:rsidRDefault="00DF09DA" w:rsidP="006B393E">
            <w:pPr>
              <w:rPr>
                <w:b/>
                <w:bCs/>
                <w:color w:val="800080"/>
              </w:rPr>
            </w:pPr>
            <w:r>
              <w:rPr>
                <w:b/>
                <w:noProof/>
                <w:color w:val="800080"/>
              </w:rPr>
              <w:drawing>
                <wp:inline distT="0" distB="0" distL="0" distR="0" wp14:anchorId="0629BABA" wp14:editId="09ED3084">
                  <wp:extent cx="1190625" cy="1190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noProof/>
                <w:color w:val="800080"/>
              </w:rPr>
              <w:drawing>
                <wp:inline distT="0" distB="0" distL="0" distR="0" wp14:anchorId="6B6ADB3E" wp14:editId="7D69C890">
                  <wp:extent cx="119062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noProof/>
                <w:color w:val="800080"/>
              </w:rPr>
              <w:drawing>
                <wp:inline distT="0" distB="0" distL="0" distR="0" wp14:anchorId="5E4043DB" wp14:editId="62781906">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bl>
    <w:p w:rsidR="006B393E" w:rsidRDefault="006B393E" w:rsidP="006B393E">
      <w:pPr>
        <w:pStyle w:val="Heading2"/>
      </w:pPr>
      <w:r w:rsidRPr="001867F7">
        <w:lastRenderedPageBreak/>
        <w:t>Learn new ways to communicate</w:t>
      </w:r>
    </w:p>
    <w:p w:rsidR="006B393E" w:rsidRDefault="006B393E" w:rsidP="006B393E">
      <w:pPr>
        <w:pStyle w:val="BodyText"/>
      </w:pPr>
      <w:r>
        <w:t xml:space="preserve">It is important to find out about the interaction styles that the child is familiar with. Adjusting your communication to incorporate aspects of the child’s culture of origin can help them feel successful and that they belong. For example, in Korean and Chinese cultures short, direct instructions are more familiar than longer, </w:t>
      </w:r>
      <w:r w:rsidR="000F6992">
        <w:t>‘</w:t>
      </w:r>
      <w:r>
        <w:t>polite forms</w:t>
      </w:r>
      <w:r w:rsidR="000F6992">
        <w:t>’</w:t>
      </w:r>
      <w:r>
        <w:t xml:space="preserve"> of requests that children from Western cultures may respond to.</w:t>
      </w:r>
    </w:p>
    <w:p w:rsidR="006B393E" w:rsidRPr="001747EC" w:rsidRDefault="006B393E" w:rsidP="006B393E">
      <w:pPr>
        <w:pStyle w:val="BodyText"/>
      </w:pPr>
      <w:r w:rsidRPr="001747EC">
        <w:t>Intentional teaching ideas</w:t>
      </w:r>
      <w:r>
        <w:t>:</w:t>
      </w:r>
    </w:p>
    <w:p w:rsidR="006B393E" w:rsidRPr="0038056D" w:rsidRDefault="006B393E" w:rsidP="006B393E">
      <w:pPr>
        <w:pStyle w:val="ListBullet0"/>
        <w:spacing w:after="80"/>
        <w:rPr>
          <w:lang w:eastAsia="zh-CN"/>
        </w:rPr>
      </w:pPr>
      <w:r w:rsidRPr="0038056D">
        <w:rPr>
          <w:lang w:eastAsia="zh-CN"/>
        </w:rPr>
        <w:t xml:space="preserve">Practice </w:t>
      </w:r>
      <w:r>
        <w:t>correct</w:t>
      </w:r>
      <w:r w:rsidRPr="0038056D">
        <w:rPr>
          <w:lang w:eastAsia="zh-CN"/>
        </w:rPr>
        <w:t xml:space="preserve"> pronunciation of children’s names.</w:t>
      </w:r>
    </w:p>
    <w:p w:rsidR="006B393E" w:rsidRPr="00EE5A85" w:rsidRDefault="006B393E" w:rsidP="006B393E">
      <w:pPr>
        <w:pStyle w:val="ListBullet0"/>
        <w:spacing w:after="80"/>
        <w:rPr>
          <w:lang w:val="en-US"/>
        </w:rPr>
      </w:pPr>
      <w:r w:rsidRPr="003D5CE3">
        <w:rPr>
          <w:lang w:val="en-US"/>
        </w:rPr>
        <w:t xml:space="preserve">Learn a </w:t>
      </w:r>
      <w:r w:rsidRPr="00F41DF8">
        <w:t>few</w:t>
      </w:r>
      <w:r w:rsidRPr="003D5CE3">
        <w:rPr>
          <w:lang w:val="en-US"/>
        </w:rPr>
        <w:t xml:space="preserve"> words in the children’s first language</w:t>
      </w:r>
      <w:r>
        <w:rPr>
          <w:lang w:val="en-US"/>
        </w:rPr>
        <w:t xml:space="preserve"> and a</w:t>
      </w:r>
      <w:r w:rsidRPr="003D5CE3">
        <w:rPr>
          <w:lang w:val="en-US"/>
        </w:rPr>
        <w:t>llow the child to bring a favorite object from home; it can often be reassuring</w:t>
      </w:r>
      <w:r>
        <w:rPr>
          <w:lang w:val="en-US"/>
        </w:rPr>
        <w:t>.</w:t>
      </w:r>
    </w:p>
    <w:p w:rsidR="006B393E" w:rsidRPr="003D5CE3" w:rsidRDefault="006B393E" w:rsidP="006B393E">
      <w:pPr>
        <w:pStyle w:val="ListBullet0"/>
        <w:spacing w:after="80"/>
      </w:pPr>
      <w:r w:rsidRPr="0038056D">
        <w:t>Ensure</w:t>
      </w:r>
      <w:r w:rsidRPr="003D5CE3">
        <w:t xml:space="preserve"> the routine remains the same until all children are settled</w:t>
      </w:r>
      <w:r>
        <w:t>.</w:t>
      </w:r>
    </w:p>
    <w:p w:rsidR="006B393E" w:rsidRPr="009620A7" w:rsidRDefault="006B393E" w:rsidP="006B393E">
      <w:pPr>
        <w:pStyle w:val="ListBullet0"/>
        <w:spacing w:after="80"/>
        <w:rPr>
          <w:lang w:val="en-US"/>
        </w:rPr>
      </w:pPr>
      <w:r w:rsidRPr="00F41DF8">
        <w:t>Provide</w:t>
      </w:r>
      <w:r>
        <w:rPr>
          <w:lang w:val="en-US"/>
        </w:rPr>
        <w:t xml:space="preserve"> positive feedback about children’s attempts to communicate</w:t>
      </w:r>
      <w:r w:rsidRPr="009620A7">
        <w:rPr>
          <w:lang w:val="en-US"/>
        </w:rPr>
        <w:t xml:space="preserve">, e.g. </w:t>
      </w:r>
      <w:r w:rsidR="000F6992">
        <w:rPr>
          <w:lang w:val="en-US"/>
        </w:rPr>
        <w:t>‘</w:t>
      </w:r>
      <w:r w:rsidRPr="009620A7">
        <w:rPr>
          <w:iCs/>
          <w:lang w:val="en-US"/>
        </w:rPr>
        <w:t>Yes, that does say your name</w:t>
      </w:r>
      <w:r w:rsidR="000F6992">
        <w:rPr>
          <w:iCs/>
          <w:lang w:val="en-US"/>
        </w:rPr>
        <w:t>’.</w:t>
      </w:r>
    </w:p>
    <w:p w:rsidR="006B393E" w:rsidRPr="00EE5A85" w:rsidRDefault="006B393E" w:rsidP="006B393E">
      <w:pPr>
        <w:pStyle w:val="ListBullet0"/>
        <w:spacing w:after="80"/>
      </w:pPr>
      <w:r>
        <w:t>E</w:t>
      </w:r>
      <w:r w:rsidRPr="003D5CE3">
        <w:t>nsure the child/children are kept close to teachers to help identify gestures, to reassure an</w:t>
      </w:r>
      <w:r>
        <w:t>d to build acceptance and trust.</w:t>
      </w:r>
    </w:p>
    <w:p w:rsidR="006B393E" w:rsidRPr="003D5CE3" w:rsidRDefault="006B393E" w:rsidP="006B393E">
      <w:pPr>
        <w:pStyle w:val="ListBullet0"/>
        <w:spacing w:after="80"/>
        <w:rPr>
          <w:lang w:val="en-US"/>
        </w:rPr>
      </w:pPr>
      <w:r w:rsidRPr="0038056D">
        <w:rPr>
          <w:lang w:eastAsia="zh-CN"/>
        </w:rPr>
        <w:t>Observe</w:t>
      </w:r>
      <w:r w:rsidRPr="003D5CE3">
        <w:rPr>
          <w:lang w:val="en-US"/>
        </w:rPr>
        <w:t xml:space="preserve"> chil</w:t>
      </w:r>
      <w:r>
        <w:rPr>
          <w:lang w:val="en-US"/>
        </w:rPr>
        <w:t>dren’s physical movements, e.g.</w:t>
      </w:r>
      <w:r w:rsidRPr="003D5CE3">
        <w:rPr>
          <w:lang w:val="en-US"/>
        </w:rPr>
        <w:t xml:space="preserve"> standing close to something</w:t>
      </w:r>
      <w:r>
        <w:rPr>
          <w:lang w:val="en-US"/>
        </w:rPr>
        <w:t xml:space="preserve"> they want.</w:t>
      </w:r>
    </w:p>
    <w:p w:rsidR="006B393E" w:rsidRPr="008754FF" w:rsidRDefault="006B393E" w:rsidP="006B393E">
      <w:pPr>
        <w:pStyle w:val="ListBullet0"/>
        <w:spacing w:after="80"/>
        <w:rPr>
          <w:lang w:val="en-US"/>
        </w:rPr>
      </w:pPr>
      <w:r w:rsidRPr="008754FF">
        <w:rPr>
          <w:lang w:val="en-US"/>
        </w:rPr>
        <w:t>Use movement, music, and visual representation</w:t>
      </w:r>
      <w:r>
        <w:rPr>
          <w:lang w:val="en-US"/>
        </w:rPr>
        <w:t>, and p</w:t>
      </w:r>
      <w:r w:rsidRPr="008754FF">
        <w:rPr>
          <w:lang w:val="en-US"/>
        </w:rPr>
        <w:t>rovide hands-on</w:t>
      </w:r>
      <w:r>
        <w:rPr>
          <w:lang w:val="en-US"/>
        </w:rPr>
        <w:t>,</w:t>
      </w:r>
      <w:r w:rsidRPr="008754FF">
        <w:rPr>
          <w:lang w:val="en-US"/>
        </w:rPr>
        <w:t xml:space="preserve"> manipulative </w:t>
      </w:r>
      <w:r w:rsidRPr="00F41DF8">
        <w:t>experiences</w:t>
      </w:r>
      <w:r>
        <w:rPr>
          <w:lang w:val="en-US"/>
        </w:rPr>
        <w:t xml:space="preserve"> to explore ways to convey meaning.</w:t>
      </w:r>
    </w:p>
    <w:p w:rsidR="006B393E" w:rsidRPr="003D5CE3" w:rsidRDefault="006B393E" w:rsidP="006B393E">
      <w:pPr>
        <w:pStyle w:val="ListBullet0"/>
        <w:spacing w:after="80"/>
        <w:rPr>
          <w:lang w:val="en-US"/>
        </w:rPr>
      </w:pPr>
      <w:r w:rsidRPr="003D5CE3">
        <w:rPr>
          <w:lang w:val="en-US"/>
        </w:rPr>
        <w:t xml:space="preserve">Have </w:t>
      </w:r>
      <w:r w:rsidRPr="00F41DF8">
        <w:t>objects</w:t>
      </w:r>
      <w:r w:rsidRPr="003D5CE3">
        <w:rPr>
          <w:lang w:val="en-US"/>
        </w:rPr>
        <w:t xml:space="preserve"> available fo</w:t>
      </w:r>
      <w:r>
        <w:rPr>
          <w:lang w:val="en-US"/>
        </w:rPr>
        <w:t xml:space="preserve">r children to hold and explore, </w:t>
      </w:r>
      <w:r w:rsidRPr="003D5CE3">
        <w:rPr>
          <w:lang w:val="en-US"/>
        </w:rPr>
        <w:t>e.g. silkworms</w:t>
      </w:r>
      <w:r>
        <w:rPr>
          <w:lang w:val="en-US"/>
        </w:rPr>
        <w:t xml:space="preserve"> w</w:t>
      </w:r>
      <w:r w:rsidRPr="003D5CE3">
        <w:rPr>
          <w:lang w:val="en-US"/>
        </w:rPr>
        <w:t xml:space="preserve">hen </w:t>
      </w:r>
      <w:r w:rsidRPr="0038056D">
        <w:rPr>
          <w:lang w:eastAsia="zh-CN"/>
        </w:rPr>
        <w:t>engaged</w:t>
      </w:r>
      <w:r>
        <w:rPr>
          <w:lang w:val="en-US"/>
        </w:rPr>
        <w:t xml:space="preserve"> in an inquiry about silkworms.</w:t>
      </w:r>
    </w:p>
    <w:p w:rsidR="006B393E" w:rsidRPr="003D5CE3" w:rsidRDefault="006B393E" w:rsidP="006B393E">
      <w:pPr>
        <w:pStyle w:val="ListBullet0"/>
        <w:spacing w:after="80"/>
        <w:rPr>
          <w:lang w:val="en-US"/>
        </w:rPr>
      </w:pPr>
      <w:r>
        <w:rPr>
          <w:lang w:val="en-US"/>
        </w:rPr>
        <w:t>Teach skills for communicating or making ideas clearer, e.g. h</w:t>
      </w:r>
      <w:r w:rsidRPr="003D5CE3">
        <w:rPr>
          <w:lang w:val="en-US"/>
        </w:rPr>
        <w:t>ave children point to picture</w:t>
      </w:r>
      <w:r>
        <w:rPr>
          <w:lang w:val="en-US"/>
        </w:rPr>
        <w:t xml:space="preserve"> </w:t>
      </w:r>
      <w:r w:rsidRPr="00F41DF8">
        <w:t>symbols</w:t>
      </w:r>
      <w:r>
        <w:rPr>
          <w:lang w:val="en-US"/>
        </w:rPr>
        <w:t xml:space="preserve"> to express their needs.</w:t>
      </w:r>
    </w:p>
    <w:p w:rsidR="006B393E" w:rsidRPr="003D5CE3" w:rsidRDefault="006B393E" w:rsidP="006B393E">
      <w:pPr>
        <w:pStyle w:val="ListBullet0"/>
        <w:spacing w:after="80"/>
        <w:rPr>
          <w:lang w:val="en-US"/>
        </w:rPr>
      </w:pPr>
      <w:r w:rsidRPr="003D5CE3">
        <w:rPr>
          <w:lang w:val="en-US"/>
        </w:rPr>
        <w:t xml:space="preserve">Invite </w:t>
      </w:r>
      <w:r w:rsidRPr="0038056D">
        <w:t>children</w:t>
      </w:r>
      <w:r w:rsidRPr="003D5CE3">
        <w:rPr>
          <w:lang w:val="en-US"/>
        </w:rPr>
        <w:t xml:space="preserve"> to participate by pointing to familiar objects in shared reading texts.</w:t>
      </w:r>
      <w:r>
        <w:rPr>
          <w:lang w:val="en-US"/>
        </w:rPr>
        <w:t xml:space="preserve"> Respond with English names for these objects.</w:t>
      </w:r>
    </w:p>
    <w:p w:rsidR="006B393E" w:rsidRPr="003D5CE3" w:rsidRDefault="006B393E" w:rsidP="006B393E">
      <w:pPr>
        <w:pStyle w:val="ListBullet0"/>
        <w:spacing w:after="80"/>
        <w:rPr>
          <w:lang w:val="en-US"/>
        </w:rPr>
      </w:pPr>
      <w:r>
        <w:rPr>
          <w:lang w:val="en-US"/>
        </w:rPr>
        <w:t xml:space="preserve">Model </w:t>
      </w:r>
      <w:r>
        <w:rPr>
          <w:lang w:eastAsia="zh-CN"/>
        </w:rPr>
        <w:t>appropriate language patterns</w:t>
      </w:r>
      <w:r>
        <w:rPr>
          <w:lang w:val="en-US"/>
        </w:rPr>
        <w:t>, e.g.</w:t>
      </w:r>
      <w:r w:rsidRPr="003D5CE3">
        <w:rPr>
          <w:lang w:val="en-US"/>
        </w:rPr>
        <w:t xml:space="preserve"> d</w:t>
      </w:r>
      <w:r>
        <w:rPr>
          <w:lang w:val="en-US"/>
        </w:rPr>
        <w:t xml:space="preserve">emonstrate a counting strategy or </w:t>
      </w:r>
      <w:r w:rsidRPr="003D5CE3">
        <w:rPr>
          <w:lang w:val="en-US"/>
        </w:rPr>
        <w:t>point</w:t>
      </w:r>
      <w:r>
        <w:rPr>
          <w:lang w:val="en-US"/>
        </w:rPr>
        <w:t xml:space="preserve"> to words in text </w:t>
      </w:r>
      <w:r w:rsidRPr="00F41DF8">
        <w:t>while</w:t>
      </w:r>
      <w:r>
        <w:rPr>
          <w:lang w:val="en-US"/>
        </w:rPr>
        <w:t xml:space="preserve"> reading.</w:t>
      </w:r>
    </w:p>
    <w:p w:rsidR="006B393E" w:rsidRPr="009620A7" w:rsidRDefault="006B393E" w:rsidP="006B393E">
      <w:pPr>
        <w:pStyle w:val="ListBullet0"/>
        <w:spacing w:after="80"/>
        <w:rPr>
          <w:lang w:val="en-US"/>
        </w:rPr>
      </w:pPr>
      <w:r w:rsidRPr="009620A7">
        <w:rPr>
          <w:lang w:val="en-US"/>
        </w:rPr>
        <w:t xml:space="preserve">Think aloud, e.g. </w:t>
      </w:r>
      <w:r w:rsidR="000F6992">
        <w:rPr>
          <w:lang w:val="en-US"/>
        </w:rPr>
        <w:t>‘</w:t>
      </w:r>
      <w:r w:rsidRPr="009620A7">
        <w:rPr>
          <w:iCs/>
          <w:lang w:val="en-US"/>
        </w:rPr>
        <w:t xml:space="preserve">I’m </w:t>
      </w:r>
      <w:r w:rsidR="000F6992">
        <w:rPr>
          <w:iCs/>
          <w:lang w:val="en-US"/>
        </w:rPr>
        <w:t>going to start the reading here’,</w:t>
      </w:r>
      <w:r w:rsidRPr="009620A7">
        <w:rPr>
          <w:iCs/>
          <w:lang w:val="en-US"/>
        </w:rPr>
        <w:t xml:space="preserve"> </w:t>
      </w:r>
      <w:r w:rsidRPr="009620A7">
        <w:rPr>
          <w:lang w:val="en-US"/>
        </w:rPr>
        <w:t xml:space="preserve">while using a pointer to show where the reading </w:t>
      </w:r>
      <w:r w:rsidRPr="00F41DF8">
        <w:t>starts</w:t>
      </w:r>
      <w:r w:rsidRPr="009620A7">
        <w:rPr>
          <w:lang w:val="en-US"/>
        </w:rPr>
        <w:t>.</w:t>
      </w:r>
    </w:p>
    <w:p w:rsidR="006B393E" w:rsidRPr="009620A7" w:rsidRDefault="006B393E" w:rsidP="006B393E">
      <w:pPr>
        <w:pStyle w:val="ListBullet0"/>
        <w:spacing w:after="80"/>
        <w:rPr>
          <w:lang w:val="en-US"/>
        </w:rPr>
      </w:pPr>
      <w:r>
        <w:rPr>
          <w:lang w:val="en-US"/>
        </w:rPr>
        <w:t xml:space="preserve">Use </w:t>
      </w:r>
      <w:r w:rsidRPr="0038056D">
        <w:rPr>
          <w:lang w:eastAsia="zh-CN"/>
        </w:rPr>
        <w:t>gestures</w:t>
      </w:r>
      <w:r>
        <w:rPr>
          <w:lang w:val="en-US"/>
        </w:rPr>
        <w:t>, e.g.</w:t>
      </w:r>
      <w:r w:rsidRPr="003D5CE3">
        <w:rPr>
          <w:lang w:val="en-US"/>
        </w:rPr>
        <w:t xml:space="preserve"> </w:t>
      </w:r>
      <w:r>
        <w:rPr>
          <w:lang w:val="en-US"/>
        </w:rPr>
        <w:t>clearly point</w:t>
      </w:r>
      <w:r w:rsidRPr="003D5CE3">
        <w:rPr>
          <w:lang w:val="en-US"/>
        </w:rPr>
        <w:t xml:space="preserve"> to the</w:t>
      </w:r>
      <w:r>
        <w:rPr>
          <w:lang w:val="en-US"/>
        </w:rPr>
        <w:t xml:space="preserve"> block on the bottom while saying,</w:t>
      </w:r>
      <w:r w:rsidRPr="00ED6318">
        <w:rPr>
          <w:i/>
          <w:iCs/>
          <w:lang w:val="en-US"/>
        </w:rPr>
        <w:t xml:space="preserve"> </w:t>
      </w:r>
      <w:r w:rsidR="000F6992">
        <w:rPr>
          <w:iCs/>
          <w:lang w:val="en-US"/>
        </w:rPr>
        <w:t>‘</w:t>
      </w:r>
      <w:r w:rsidRPr="009620A7">
        <w:rPr>
          <w:iCs/>
          <w:lang w:val="en-US"/>
        </w:rPr>
        <w:t>You put the block on the bottom</w:t>
      </w:r>
      <w:r w:rsidR="000F6992">
        <w:rPr>
          <w:iCs/>
          <w:lang w:val="en-US"/>
        </w:rPr>
        <w:t>’</w:t>
      </w:r>
      <w:r w:rsidRPr="009620A7">
        <w:rPr>
          <w:iCs/>
          <w:lang w:val="en-US"/>
        </w:rPr>
        <w:t>.</w:t>
      </w:r>
    </w:p>
    <w:p w:rsidR="006B393E" w:rsidRPr="009620A7" w:rsidRDefault="006B393E" w:rsidP="006B393E">
      <w:pPr>
        <w:pStyle w:val="ListBullet0"/>
        <w:spacing w:after="80"/>
        <w:rPr>
          <w:lang w:val="en-US"/>
        </w:rPr>
      </w:pPr>
      <w:r w:rsidRPr="009620A7">
        <w:rPr>
          <w:lang w:val="en-US"/>
        </w:rPr>
        <w:t xml:space="preserve">Identify the child’s actions, e.g. </w:t>
      </w:r>
      <w:r w:rsidR="000F6992">
        <w:rPr>
          <w:lang w:val="en-US"/>
        </w:rPr>
        <w:t>‘</w:t>
      </w:r>
      <w:r w:rsidRPr="009620A7">
        <w:rPr>
          <w:lang w:val="en-US"/>
        </w:rPr>
        <w:t>You painted a picture, you jumped, and you were counting the animals</w:t>
      </w:r>
      <w:r w:rsidR="000F6992">
        <w:rPr>
          <w:lang w:val="en-US"/>
        </w:rPr>
        <w:t>’.</w:t>
      </w:r>
    </w:p>
    <w:p w:rsidR="006B393E" w:rsidRPr="00440710" w:rsidRDefault="006B393E" w:rsidP="006B393E">
      <w:pPr>
        <w:pStyle w:val="ListBullet0"/>
        <w:spacing w:after="80"/>
        <w:rPr>
          <w:lang w:val="en-US"/>
        </w:rPr>
      </w:pPr>
      <w:r w:rsidRPr="009620A7">
        <w:rPr>
          <w:lang w:val="en-US"/>
        </w:rPr>
        <w:t xml:space="preserve">Introduce new </w:t>
      </w:r>
      <w:r w:rsidRPr="009620A7">
        <w:rPr>
          <w:lang w:eastAsia="zh-CN"/>
        </w:rPr>
        <w:t>vocabulary</w:t>
      </w:r>
      <w:r w:rsidRPr="009620A7">
        <w:rPr>
          <w:lang w:val="en-US"/>
        </w:rPr>
        <w:t xml:space="preserve"> and extend the communication, e.g. if the child says, </w:t>
      </w:r>
      <w:r w:rsidR="000F6992">
        <w:rPr>
          <w:lang w:val="en-US"/>
        </w:rPr>
        <w:t>‘</w:t>
      </w:r>
      <w:r w:rsidRPr="009620A7">
        <w:rPr>
          <w:iCs/>
          <w:lang w:val="en-US"/>
        </w:rPr>
        <w:t>I making cake</w:t>
      </w:r>
      <w:r w:rsidR="000F6992">
        <w:rPr>
          <w:iCs/>
          <w:lang w:val="en-US"/>
        </w:rPr>
        <w:t>’</w:t>
      </w:r>
      <w:r w:rsidRPr="009620A7">
        <w:rPr>
          <w:lang w:val="en-US"/>
        </w:rPr>
        <w:t xml:space="preserve">, </w:t>
      </w:r>
      <w:r w:rsidRPr="00F41DF8">
        <w:t>reply</w:t>
      </w:r>
      <w:r w:rsidRPr="009620A7">
        <w:rPr>
          <w:lang w:val="en-US"/>
        </w:rPr>
        <w:t xml:space="preserve">, </w:t>
      </w:r>
      <w:r w:rsidR="000F6992">
        <w:rPr>
          <w:lang w:val="en-US"/>
        </w:rPr>
        <w:t>‘</w:t>
      </w:r>
      <w:r w:rsidRPr="009620A7">
        <w:rPr>
          <w:iCs/>
          <w:lang w:val="en-US"/>
        </w:rPr>
        <w:t>You are making cake. Is it chocolate cake?</w:t>
      </w:r>
      <w:r w:rsidR="000F6992">
        <w:rPr>
          <w:iCs/>
          <w:lang w:val="en-US"/>
        </w:rPr>
        <w:t>’</w:t>
      </w:r>
    </w:p>
    <w:p w:rsidR="006B393E" w:rsidRPr="009620A7" w:rsidRDefault="006B393E" w:rsidP="006B393E">
      <w:pPr>
        <w:pStyle w:val="BodyText"/>
        <w:rPr>
          <w:lang w:val="en-US"/>
        </w:rPr>
      </w:pPr>
      <w:r>
        <w:rPr>
          <w:lang w:eastAsia="zh-CN"/>
        </w:rPr>
        <w:t xml:space="preserve">For more information on communication see the </w:t>
      </w:r>
      <w:r w:rsidRPr="00E00712">
        <w:rPr>
          <w:i/>
          <w:lang w:eastAsia="zh-CN"/>
        </w:rPr>
        <w:t>QKLG</w:t>
      </w:r>
      <w:r>
        <w:rPr>
          <w:lang w:eastAsia="zh-CN"/>
        </w:rPr>
        <w:t xml:space="preserve">, pages 59–62. </w:t>
      </w:r>
    </w:p>
    <w:p w:rsidR="006B393E" w:rsidRPr="000B2001" w:rsidRDefault="006B393E" w:rsidP="006B393E">
      <w:pPr>
        <w:pStyle w:val="Heading2"/>
        <w:spacing w:before="0"/>
      </w:pPr>
      <w:r>
        <w:rPr>
          <w:noProof/>
        </w:rPr>
        <w:drawing>
          <wp:anchor distT="0" distB="0" distL="114300" distR="114300" simplePos="0" relativeHeight="251659264" behindDoc="1" locked="0" layoutInCell="1" allowOverlap="1" wp14:anchorId="695385C4" wp14:editId="443F9FB2">
            <wp:simplePos x="0" y="0"/>
            <wp:positionH relativeFrom="column">
              <wp:posOffset>4723130</wp:posOffset>
            </wp:positionH>
            <wp:positionV relativeFrom="paragraph">
              <wp:posOffset>255905</wp:posOffset>
            </wp:positionV>
            <wp:extent cx="1115695" cy="1115695"/>
            <wp:effectExtent l="0" t="0" r="8255" b="8255"/>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DE544B" wp14:editId="075498EA">
            <wp:simplePos x="0" y="0"/>
            <wp:positionH relativeFrom="column">
              <wp:posOffset>3483610</wp:posOffset>
            </wp:positionH>
            <wp:positionV relativeFrom="paragraph">
              <wp:posOffset>255905</wp:posOffset>
            </wp:positionV>
            <wp:extent cx="1115695" cy="1115695"/>
            <wp:effectExtent l="0" t="0" r="8255" b="8255"/>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01">
        <w:t>Draw on resources</w:t>
      </w:r>
    </w:p>
    <w:p w:rsidR="006B393E" w:rsidRPr="001747EC" w:rsidRDefault="006B393E" w:rsidP="006B393E">
      <w:pPr>
        <w:pStyle w:val="ListBullet0"/>
        <w:spacing w:after="80"/>
      </w:pPr>
      <w:r w:rsidRPr="0038056D">
        <w:rPr>
          <w:lang w:eastAsia="zh-CN"/>
        </w:rPr>
        <w:t>Include</w:t>
      </w:r>
      <w:r w:rsidRPr="001747EC">
        <w:t xml:space="preserve"> flash cards in both languages, e.g. colours translated or simple phrases and instructions such as </w:t>
      </w:r>
      <w:bookmarkStart w:id="5" w:name="_GoBack"/>
      <w:r w:rsidR="000F6992">
        <w:t>‘</w:t>
      </w:r>
      <w:bookmarkEnd w:id="5"/>
      <w:r w:rsidRPr="001747EC">
        <w:t>good morning</w:t>
      </w:r>
      <w:r w:rsidR="000F6992">
        <w:t>’</w:t>
      </w:r>
      <w:r w:rsidRPr="001747EC">
        <w:t xml:space="preserve">, </w:t>
      </w:r>
      <w:r w:rsidR="000F6992">
        <w:t>‘</w:t>
      </w:r>
      <w:r w:rsidRPr="001747EC">
        <w:t>morning tea</w:t>
      </w:r>
      <w:r w:rsidR="000F6992">
        <w:t>’</w:t>
      </w:r>
      <w:r w:rsidRPr="001747EC">
        <w:t xml:space="preserve">, </w:t>
      </w:r>
      <w:r w:rsidR="000F6992">
        <w:t>‘</w:t>
      </w:r>
      <w:r w:rsidRPr="001747EC">
        <w:t>wash hands</w:t>
      </w:r>
      <w:r w:rsidR="000F6992">
        <w:t>’</w:t>
      </w:r>
      <w:r w:rsidRPr="001747EC">
        <w:t xml:space="preserve">, </w:t>
      </w:r>
      <w:r w:rsidR="000F6992">
        <w:t>‘</w:t>
      </w:r>
      <w:r w:rsidRPr="001747EC">
        <w:t>toilet</w:t>
      </w:r>
      <w:r w:rsidR="000F6992">
        <w:t>’</w:t>
      </w:r>
      <w:r w:rsidRPr="001747EC">
        <w:t xml:space="preserve">, </w:t>
      </w:r>
      <w:r w:rsidR="000F6992">
        <w:t>‘</w:t>
      </w:r>
      <w:r w:rsidRPr="001747EC">
        <w:t>dancing</w:t>
      </w:r>
      <w:r w:rsidR="000F6992">
        <w:t>’</w:t>
      </w:r>
      <w:r w:rsidRPr="001747EC">
        <w:t xml:space="preserve"> and </w:t>
      </w:r>
      <w:r w:rsidR="000F6992">
        <w:t>‘</w:t>
      </w:r>
      <w:r w:rsidRPr="001747EC">
        <w:t>playing</w:t>
      </w:r>
      <w:r w:rsidR="000F6992">
        <w:t>’</w:t>
      </w:r>
      <w:r w:rsidRPr="001747EC">
        <w:t xml:space="preserve"> to help communicate.</w:t>
      </w:r>
    </w:p>
    <w:p w:rsidR="006B393E" w:rsidRPr="00FD3665" w:rsidRDefault="006B393E" w:rsidP="006B393E">
      <w:pPr>
        <w:pStyle w:val="ListBullet0"/>
        <w:pageBreakBefore/>
        <w:spacing w:after="80"/>
        <w:rPr>
          <w:rFonts w:cs="Arial"/>
        </w:rPr>
      </w:pPr>
      <w:r>
        <w:lastRenderedPageBreak/>
        <w:t>Add to</w:t>
      </w:r>
      <w:r w:rsidRPr="00EC27DA">
        <w:t xml:space="preserve"> home area </w:t>
      </w:r>
      <w:r>
        <w:t>to include familiar objects from children’s diverse</w:t>
      </w:r>
      <w:r w:rsidRPr="00EC27DA">
        <w:t xml:space="preserve"> cultur</w:t>
      </w:r>
      <w:r>
        <w:t>es — invite parents/carers and children to contribute suitable items.</w:t>
      </w:r>
      <w:r w:rsidRPr="00F84789">
        <w:t xml:space="preserve"> </w:t>
      </w:r>
    </w:p>
    <w:p w:rsidR="006B393E" w:rsidRDefault="006B393E" w:rsidP="006B393E">
      <w:pPr>
        <w:pStyle w:val="ListBullet0"/>
        <w:spacing w:after="80"/>
      </w:pPr>
      <w:r>
        <w:t xml:space="preserve">In collaboration with children and families display posters, pictures, music and artefacts from children’s cultures in the room. Pictures can be made with own photos, sourced from the internet (selecting images with appropriate copyright permissions). </w:t>
      </w:r>
    </w:p>
    <w:p w:rsidR="006B393E" w:rsidRPr="005F6734" w:rsidRDefault="006B393E" w:rsidP="006B393E">
      <w:pPr>
        <w:pStyle w:val="ListBullet0"/>
        <w:spacing w:after="80"/>
      </w:pPr>
      <w:r>
        <w:rPr>
          <w:noProof/>
        </w:rPr>
        <w:drawing>
          <wp:anchor distT="0" distB="0" distL="114300" distR="114300" simplePos="0" relativeHeight="251661312" behindDoc="1" locked="0" layoutInCell="1" allowOverlap="1" wp14:anchorId="3658DDFB" wp14:editId="0A48B72F">
            <wp:simplePos x="0" y="0"/>
            <wp:positionH relativeFrom="column">
              <wp:posOffset>4610735</wp:posOffset>
            </wp:positionH>
            <wp:positionV relativeFrom="paragraph">
              <wp:posOffset>117475</wp:posOffset>
            </wp:positionV>
            <wp:extent cx="1187450" cy="1187450"/>
            <wp:effectExtent l="19050" t="1905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t>Use Picture Exchange Communication System (PECS), a form of augmentative and alternative communication.</w:t>
      </w:r>
    </w:p>
    <w:p w:rsidR="006B393E" w:rsidRDefault="006B393E" w:rsidP="006B393E">
      <w:pPr>
        <w:pStyle w:val="ListBullet0"/>
        <w:spacing w:after="80"/>
      </w:pPr>
      <w:r w:rsidRPr="00E2337C">
        <w:t>Label bins, containers and shelves. Wherever possible, the label should</w:t>
      </w:r>
      <w:r>
        <w:t xml:space="preserve"> i</w:t>
      </w:r>
      <w:r w:rsidRPr="00B555D8">
        <w:t xml:space="preserve">nclude the word, a visual representation, and a </w:t>
      </w:r>
      <w:r>
        <w:t>translation in a child’s first language.</w:t>
      </w:r>
    </w:p>
    <w:p w:rsidR="006B393E" w:rsidRDefault="006B393E" w:rsidP="006B393E">
      <w:pPr>
        <w:pStyle w:val="ListBullet0"/>
        <w:spacing w:after="360"/>
      </w:pPr>
      <w:r w:rsidRPr="00DB06F0">
        <w:t xml:space="preserve">Develop visual cues for routines, e.g. washing hands for morning tea time, </w:t>
      </w:r>
      <w:r w:rsidRPr="0038056D">
        <w:rPr>
          <w:lang w:eastAsia="zh-CN"/>
        </w:rPr>
        <w:t>collecting</w:t>
      </w:r>
      <w:r w:rsidRPr="00DB06F0">
        <w:t xml:space="preserve"> lunch box, sitting at a table.</w:t>
      </w:r>
      <w:r>
        <w:t xml:space="preserve">  </w:t>
      </w:r>
    </w:p>
    <w:tbl>
      <w:tblPr>
        <w:tblStyle w:val="QCAAtablestyle1"/>
        <w:tblW w:w="4900" w:type="pct"/>
        <w:tblLook w:val="0620" w:firstRow="1" w:lastRow="0" w:firstColumn="0" w:lastColumn="0" w:noHBand="1" w:noVBand="1"/>
      </w:tblPr>
      <w:tblGrid>
        <w:gridCol w:w="9101"/>
      </w:tblGrid>
      <w:tr w:rsidR="006B393E" w:rsidTr="006B393E">
        <w:trPr>
          <w:cnfStyle w:val="100000000000" w:firstRow="1" w:lastRow="0" w:firstColumn="0" w:lastColumn="0" w:oddVBand="0" w:evenVBand="0" w:oddHBand="0" w:evenHBand="0" w:firstRowFirstColumn="0" w:firstRowLastColumn="0" w:lastRowFirstColumn="0" w:lastRowLastColumn="0"/>
        </w:trPr>
        <w:tc>
          <w:tcPr>
            <w:tcW w:w="9101" w:type="dxa"/>
            <w:vAlign w:val="center"/>
            <w:hideMark/>
          </w:tcPr>
          <w:p w:rsidR="006B393E" w:rsidRPr="002A31D9" w:rsidRDefault="006B393E" w:rsidP="006B393E">
            <w:pPr>
              <w:pStyle w:val="TableHeading"/>
              <w:spacing w:before="20" w:after="20"/>
            </w:pPr>
            <w:r w:rsidRPr="002A31D9">
              <w:t>Consider these questions as you reflect on ways to explore diversity with children and build respect for differences:</w:t>
            </w:r>
          </w:p>
        </w:tc>
      </w:tr>
      <w:tr w:rsidR="006B393E" w:rsidRPr="008F0342" w:rsidTr="006B393E">
        <w:trPr>
          <w:trHeight w:val="2835"/>
        </w:trPr>
        <w:tc>
          <w:tcPr>
            <w:tcW w:w="9101" w:type="dxa"/>
          </w:tcPr>
          <w:p w:rsidR="006B393E" w:rsidRDefault="006B393E" w:rsidP="006B393E">
            <w:pPr>
              <w:pStyle w:val="ListNumber0"/>
              <w:spacing w:before="20" w:after="20"/>
            </w:pPr>
            <w:r w:rsidRPr="00480826">
              <w:t>How can you communicate with someone who has limited English?</w:t>
            </w:r>
          </w:p>
          <w:bookmarkStart w:id="6" w:name="Text1"/>
          <w:p w:rsidR="006B393E" w:rsidRPr="00480826" w:rsidRDefault="006B393E" w:rsidP="006B393E">
            <w:pPr>
              <w:pStyle w:val="BodyText"/>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B393E" w:rsidRPr="008F0342" w:rsidTr="006B393E">
        <w:trPr>
          <w:trHeight w:val="2835"/>
        </w:trPr>
        <w:tc>
          <w:tcPr>
            <w:tcW w:w="9101" w:type="dxa"/>
          </w:tcPr>
          <w:p w:rsidR="006B393E" w:rsidRDefault="006B393E" w:rsidP="006B393E">
            <w:pPr>
              <w:pStyle w:val="ListNumber0"/>
              <w:spacing w:before="20" w:after="20"/>
            </w:pPr>
            <w:r>
              <w:t>What resources (community members, children, materials, information) are available to help you to communicate and learn about diverse cultural groups in your community?</w:t>
            </w:r>
          </w:p>
          <w:p w:rsidR="006B393E" w:rsidRPr="00480826" w:rsidRDefault="006B393E" w:rsidP="006B393E">
            <w:pPr>
              <w:pStyle w:val="BodyText"/>
              <w:spacing w:before="20"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393E" w:rsidRPr="006B393E" w:rsidRDefault="006B393E" w:rsidP="006B393E">
      <w:pPr>
        <w:pStyle w:val="BodyText"/>
        <w:spacing w:before="240"/>
        <w:jc w:val="center"/>
        <w:rPr>
          <w:b/>
          <w:lang w:eastAsia="zh-CN"/>
        </w:rPr>
      </w:pPr>
      <w:r w:rsidRPr="006B393E">
        <w:rPr>
          <w:b/>
          <w:lang w:eastAsia="zh-CN"/>
        </w:rPr>
        <w:t>Whoever you are, wherever you are, our blood is the same.</w:t>
      </w:r>
      <w:r>
        <w:rPr>
          <w:b/>
          <w:lang w:eastAsia="zh-CN"/>
        </w:rPr>
        <w:br/>
      </w:r>
      <w:r w:rsidRPr="006B393E">
        <w:rPr>
          <w:b/>
        </w:rPr>
        <w:t>Whoever you are, wherever you are.</w:t>
      </w:r>
    </w:p>
    <w:p w:rsidR="006B393E" w:rsidRDefault="006B393E" w:rsidP="006B393E">
      <w:pPr>
        <w:pStyle w:val="BodyText"/>
        <w:jc w:val="center"/>
      </w:pPr>
      <w:r w:rsidRPr="008E4891">
        <w:t>Whoever you are, Mem Fox 1997, Voyager, San Diego.</w:t>
      </w:r>
    </w:p>
    <w:p w:rsidR="005D62D9" w:rsidRDefault="005D62D9">
      <w:pPr>
        <w:rPr>
          <w:b/>
          <w:color w:val="000000" w:themeColor="text1"/>
          <w:sz w:val="36"/>
        </w:rPr>
      </w:pPr>
      <w:r>
        <w:br w:type="page"/>
      </w:r>
    </w:p>
    <w:p w:rsidR="006B393E" w:rsidRDefault="006B393E" w:rsidP="006B393E">
      <w:pPr>
        <w:pStyle w:val="Heading2"/>
      </w:pPr>
      <w:r>
        <w:t>More information</w:t>
      </w:r>
    </w:p>
    <w:p w:rsidR="006B393E" w:rsidRPr="00C534BA" w:rsidRDefault="006B393E" w:rsidP="006B393E">
      <w:pPr>
        <w:pStyle w:val="BodyText"/>
      </w:pPr>
      <w:r w:rsidRPr="004C7C94">
        <w:rPr>
          <w:rFonts w:cs="Arial"/>
        </w:rPr>
        <w:t xml:space="preserve">The </w:t>
      </w:r>
      <w:r w:rsidRPr="004C7C94">
        <w:rPr>
          <w:rFonts w:cs="Arial"/>
          <w:i/>
        </w:rPr>
        <w:t>QKLG</w:t>
      </w:r>
      <w:r w:rsidRPr="004C7C94">
        <w:rPr>
          <w:rFonts w:cs="Arial"/>
        </w:rPr>
        <w:t xml:space="preserve"> is available at</w:t>
      </w:r>
      <w:r>
        <w:rPr>
          <w:rFonts w:cs="Arial"/>
        </w:rPr>
        <w:t>:</w:t>
      </w:r>
      <w:r w:rsidRPr="004C7C94">
        <w:rPr>
          <w:rFonts w:cs="Arial"/>
        </w:rPr>
        <w:t xml:space="preserve"> </w:t>
      </w:r>
      <w:hyperlink r:id="rId23" w:history="1">
        <w:r w:rsidR="005611B2" w:rsidRPr="000138E6">
          <w:rPr>
            <w:rStyle w:val="Hyperlink"/>
          </w:rPr>
          <w:t>www.qcaa.qld.edu.au/10192.html</w:t>
        </w:r>
      </w:hyperlink>
    </w:p>
    <w:p w:rsidR="006B393E" w:rsidRDefault="006B393E" w:rsidP="006B393E">
      <w:pPr>
        <w:pStyle w:val="BodyText"/>
      </w:pPr>
      <w:r>
        <w:t>Additional information and resources are available to support:</w:t>
      </w:r>
    </w:p>
    <w:p w:rsidR="006B393E" w:rsidRPr="00805BC7" w:rsidRDefault="006B393E" w:rsidP="005611B2">
      <w:pPr>
        <w:pStyle w:val="ListBullet0"/>
        <w:spacing w:after="80"/>
        <w:rPr>
          <w:rFonts w:cs="Arial"/>
        </w:rPr>
      </w:pPr>
      <w:r>
        <w:t xml:space="preserve">cultural and linguistic diversity: </w:t>
      </w:r>
      <w:hyperlink r:id="rId24" w:history="1">
        <w:r w:rsidR="005611B2" w:rsidRPr="000138E6">
          <w:rPr>
            <w:rStyle w:val="Hyperlink"/>
            <w:rFonts w:cs="Arial"/>
          </w:rPr>
          <w:t>www.qcaa.qld.edu.au/12974.html</w:t>
        </w:r>
      </w:hyperlink>
      <w:r>
        <w:rPr>
          <w:rFonts w:cs="Arial"/>
        </w:rPr>
        <w:t xml:space="preserve"> </w:t>
      </w:r>
    </w:p>
    <w:p w:rsidR="006B393E" w:rsidRPr="009B7792" w:rsidRDefault="006B393E" w:rsidP="005611B2">
      <w:pPr>
        <w:pStyle w:val="ListBullet0"/>
        <w:spacing w:after="80"/>
      </w:pPr>
      <w:r w:rsidRPr="009B7792">
        <w:t xml:space="preserve">awareness </w:t>
      </w:r>
      <w:r>
        <w:t xml:space="preserve">of </w:t>
      </w:r>
      <w:r w:rsidRPr="009B7792">
        <w:t xml:space="preserve">and </w:t>
      </w:r>
      <w:r>
        <w:t>respect</w:t>
      </w:r>
      <w:r w:rsidRPr="009B7792">
        <w:t xml:space="preserve"> </w:t>
      </w:r>
      <w:r>
        <w:t>for</w:t>
      </w:r>
      <w:r w:rsidRPr="009B7792">
        <w:t xml:space="preserve"> Australia’s first peoples</w:t>
      </w:r>
      <w:r>
        <w:t>, including:</w:t>
      </w:r>
    </w:p>
    <w:p w:rsidR="006B393E" w:rsidRDefault="006B393E" w:rsidP="005611B2">
      <w:pPr>
        <w:pStyle w:val="ListBullet2"/>
      </w:pPr>
      <w:r w:rsidRPr="009B7792">
        <w:rPr>
          <w:i/>
        </w:rPr>
        <w:lastRenderedPageBreak/>
        <w:t>Building relationships with local communities</w:t>
      </w:r>
      <w:r w:rsidRPr="009B7792">
        <w:t xml:space="preserve">, </w:t>
      </w:r>
      <w:r>
        <w:t xml:space="preserve">which </w:t>
      </w:r>
      <w:r w:rsidRPr="009B7792">
        <w:t xml:space="preserve">presents a flowchart of how </w:t>
      </w:r>
      <w:r w:rsidR="005611B2">
        <w:br/>
      </w:r>
      <w:r w:rsidRPr="009B7792">
        <w:t>to engage with local community and access inform</w:t>
      </w:r>
      <w:r>
        <w:t xml:space="preserve">ation on consultation protocols: </w:t>
      </w:r>
      <w:hyperlink r:id="rId25" w:history="1">
        <w:r w:rsidR="005611B2" w:rsidRPr="000138E6">
          <w:rPr>
            <w:rStyle w:val="Hyperlink"/>
          </w:rPr>
          <w:t>www.qcaa.qld.edu.au/3035.html</w:t>
        </w:r>
      </w:hyperlink>
      <w:r>
        <w:t xml:space="preserve"> </w:t>
      </w:r>
    </w:p>
    <w:p w:rsidR="00541590" w:rsidRDefault="000F6992" w:rsidP="00DC703C">
      <w:pPr>
        <w:pStyle w:val="ListBullet2"/>
      </w:pPr>
      <w:r>
        <w:t>T</w:t>
      </w:r>
      <w:r w:rsidR="006B393E" w:rsidRPr="009B7792">
        <w:t xml:space="preserve">he Aboriginal, Torres Strait </w:t>
      </w:r>
      <w:r w:rsidR="006B393E">
        <w:t xml:space="preserve">Islander </w:t>
      </w:r>
      <w:r w:rsidR="006B393E" w:rsidRPr="009B7792">
        <w:t xml:space="preserve">and </w:t>
      </w:r>
      <w:r w:rsidR="006B393E">
        <w:t xml:space="preserve">other </w:t>
      </w:r>
      <w:r w:rsidR="006B393E" w:rsidRPr="009B7792">
        <w:t xml:space="preserve">Australian flags are available for free </w:t>
      </w:r>
      <w:r w:rsidR="005611B2">
        <w:br/>
      </w:r>
      <w:r w:rsidR="006B393E" w:rsidRPr="009B7792">
        <w:t xml:space="preserve">from </w:t>
      </w:r>
      <w:r w:rsidR="006B393E">
        <w:t>your</w:t>
      </w:r>
      <w:r w:rsidR="006B393E" w:rsidRPr="009B7792">
        <w:t xml:space="preserve"> local member’s office.</w:t>
      </w:r>
      <w:r w:rsidR="006B393E">
        <w:t xml:space="preserve"> These can be displayed and may present a starting </w:t>
      </w:r>
      <w:r w:rsidR="005611B2">
        <w:br/>
      </w:r>
      <w:r w:rsidR="006B393E">
        <w:t>point for discussions with children about our cultural heritage.</w:t>
      </w:r>
    </w:p>
    <w:sectPr w:rsidR="00541590" w:rsidSect="00DC0AB5">
      <w:footerReference w:type="default" r:id="rId26"/>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3E" w:rsidRDefault="006B393E">
      <w:r>
        <w:separator/>
      </w:r>
    </w:p>
    <w:p w:rsidR="006B393E" w:rsidRDefault="006B393E"/>
  </w:endnote>
  <w:endnote w:type="continuationSeparator" w:id="0">
    <w:p w:rsidR="006B393E" w:rsidRDefault="006B393E">
      <w:r>
        <w:continuationSeparator/>
      </w:r>
    </w:p>
    <w:p w:rsidR="006B393E" w:rsidRDefault="006B3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6B393E" w:rsidRPr="007165FF" w:rsidTr="0093255E">
      <w:tc>
        <w:tcPr>
          <w:tcW w:w="2089" w:type="pct"/>
          <w:noWrap/>
          <w:tcMar>
            <w:left w:w="0" w:type="dxa"/>
            <w:right w:w="0" w:type="dxa"/>
          </w:tcMar>
        </w:tcPr>
        <w:sdt>
          <w:sdtPr>
            <w:alias w:val="Title"/>
            <w:tag w:val=""/>
            <w:id w:val="648637358"/>
            <w:placeholder>
              <w:docPart w:val="D7B053BF1A9B440DAE20591359F5239B"/>
            </w:placeholder>
            <w:dataBinding w:prefixMappings="xmlns:ns0='http://purl.org/dc/elements/1.1/' xmlns:ns1='http://schemas.openxmlformats.org/package/2006/metadata/core-properties' " w:xpath="/ns1:coreProperties[1]/ns0:title[1]" w:storeItemID="{6C3C8BC8-F283-45AE-878A-BAB7291924A1}"/>
            <w:text/>
          </w:sdtPr>
          <w:sdtEndPr/>
          <w:sdtContent>
            <w:p w:rsidR="006B393E" w:rsidRDefault="000F6992" w:rsidP="0093255E">
              <w:pPr>
                <w:pStyle w:val="Footer"/>
              </w:pPr>
              <w:r>
                <w:t>Kindergarten: Cultural and linguistic diversity, Building positive relationships</w:t>
              </w:r>
            </w:p>
          </w:sdtContent>
        </w:sdt>
        <w:p w:rsidR="006B393E" w:rsidRPr="00FD561F" w:rsidRDefault="00B95CFB" w:rsidP="0093255E">
          <w:pPr>
            <w:pStyle w:val="footersubtitle"/>
            <w:tabs>
              <w:tab w:val="left" w:pos="1250"/>
            </w:tabs>
          </w:pPr>
          <w:sdt>
            <w:sdtPr>
              <w:alias w:val="Subtitle"/>
              <w:tag w:val="Subtitle"/>
              <w:id w:val="1138460092"/>
              <w:placeholder>
                <w:docPart w:val="10C5A26FFA9E4AF8B473E61118825B2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B393E" w:rsidRPr="000F044B">
                <w:rPr>
                  <w:rStyle w:val="PlaceholderText"/>
                  <w:color w:val="6F7378" w:themeColor="background2" w:themeShade="80"/>
                  <w:shd w:val="clear" w:color="auto" w:fill="F7EA9F"/>
                </w:rPr>
                <w:t>[Sub</w:t>
              </w:r>
              <w:r w:rsidR="006B393E">
                <w:rPr>
                  <w:rStyle w:val="PlaceholderText"/>
                  <w:color w:val="6F7378" w:themeColor="background2" w:themeShade="80"/>
                  <w:shd w:val="clear" w:color="auto" w:fill="F7EA9F"/>
                </w:rPr>
                <w:t>title</w:t>
              </w:r>
              <w:r w:rsidR="006B393E" w:rsidRPr="000F044B">
                <w:rPr>
                  <w:rStyle w:val="PlaceholderText"/>
                  <w:color w:val="6F7378" w:themeColor="background2" w:themeShade="80"/>
                  <w:shd w:val="clear" w:color="auto" w:fill="F7EA9F"/>
                </w:rPr>
                <w:t>]</w:t>
              </w:r>
            </w:sdtContent>
          </w:sdt>
          <w:r w:rsidR="006B393E">
            <w:tab/>
          </w:r>
        </w:p>
      </w:tc>
      <w:tc>
        <w:tcPr>
          <w:tcW w:w="2911" w:type="pct"/>
        </w:tcPr>
        <w:p w:rsidR="006B393E" w:rsidRDefault="006B393E" w:rsidP="0093255E">
          <w:pPr>
            <w:pStyle w:val="Footer"/>
            <w:ind w:left="284"/>
            <w:jc w:val="right"/>
            <w:rPr>
              <w:rFonts w:eastAsia="SimSun"/>
            </w:rPr>
          </w:pPr>
          <w:r w:rsidRPr="0055152A">
            <w:rPr>
              <w:rFonts w:eastAsia="SimSun"/>
            </w:rPr>
            <w:t>Queensland Curriculum &amp; Assessment Authority</w:t>
          </w:r>
        </w:p>
        <w:p w:rsidR="006B393E" w:rsidRPr="000F044B" w:rsidRDefault="00B95CFB" w:rsidP="0093255E">
          <w:pPr>
            <w:pStyle w:val="footersubtitle"/>
            <w:jc w:val="right"/>
            <w:rPr>
              <w:rStyle w:val="Footerbold"/>
              <w:b w:val="0"/>
              <w:color w:val="6F7378" w:themeColor="background2" w:themeShade="80"/>
            </w:rPr>
          </w:pPr>
          <w:sdt>
            <w:sdtPr>
              <w:alias w:val="Publication Date"/>
              <w:tag w:val=""/>
              <w:id w:val="-657851979"/>
              <w:placeholder>
                <w:docPart w:val="78E96E19BD054FFBBBCCD3DF03BE9EF3"/>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6B393E">
                <w:t>July 2014</w:t>
              </w:r>
            </w:sdtContent>
          </w:sdt>
          <w:r w:rsidR="006B393E" w:rsidRPr="000F044B">
            <w:t xml:space="preserve"> </w:t>
          </w:r>
        </w:p>
      </w:tc>
    </w:tr>
    <w:tr w:rsidR="006B393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B393E" w:rsidRPr="00914504" w:rsidRDefault="006B393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w:t>
              </w:r>
              <w:r w:rsidRPr="00914504">
                <w:rPr>
                  <w:b w:val="0"/>
                  <w:color w:val="000000" w:themeColor="text1"/>
                  <w:sz w:val="24"/>
                  <w:szCs w:val="24"/>
                </w:rPr>
                <w:fldChar w:fldCharType="end"/>
              </w:r>
            </w:p>
          </w:sdtContent>
        </w:sdt>
      </w:tc>
    </w:tr>
  </w:tbl>
  <w:p w:rsidR="006B393E" w:rsidRPr="0085726A" w:rsidRDefault="006B393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E" w:rsidRDefault="006B393E">
    <w:pPr>
      <w:pStyle w:val="Footer"/>
    </w:pPr>
    <w:r>
      <w:rPr>
        <w:noProof/>
      </w:rPr>
      <mc:AlternateContent>
        <mc:Choice Requires="wps">
          <w:drawing>
            <wp:anchor distT="0" distB="0" distL="114300" distR="114300" simplePos="0" relativeHeight="251660288" behindDoc="0" locked="0" layoutInCell="1" allowOverlap="1" wp14:anchorId="224344B9" wp14:editId="09B0343E">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B393E" w:rsidRDefault="00B95CFB"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B393E">
                                <w:t>r0988</w:t>
                              </w:r>
                            </w:sdtContent>
                          </w:sdt>
                          <w:r w:rsidR="006B393E"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B393E">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6B393E" w:rsidRDefault="00B95CFB"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B393E">
                          <w:t>r0988</w:t>
                        </w:r>
                      </w:sdtContent>
                    </w:sdt>
                    <w:r w:rsidR="006B393E"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B393E">
                          <w:t>Rebranded July 2014</w:t>
                        </w:r>
                      </w:sdtContent>
                    </w:sdt>
                  </w:p>
                </w:txbxContent>
              </v:textbox>
              <w10:wrap anchorx="page" anchory="page"/>
            </v:shape>
          </w:pict>
        </mc:Fallback>
      </mc:AlternateContent>
    </w:r>
    <w:r>
      <w:rPr>
        <w:noProof/>
      </w:rPr>
      <w:drawing>
        <wp:anchor distT="0" distB="0" distL="114300" distR="114300" simplePos="0" relativeHeight="251658240" behindDoc="1" locked="0" layoutInCell="1" allowOverlap="1" wp14:anchorId="7436AD9B" wp14:editId="70AEFA68">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6B393E" w:rsidRPr="007165FF" w:rsidTr="00F8044D">
      <w:tc>
        <w:tcPr>
          <w:tcW w:w="2500" w:type="pct"/>
          <w:noWrap/>
          <w:tcMar>
            <w:left w:w="0" w:type="dxa"/>
            <w:right w:w="0" w:type="dxa"/>
          </w:tcMar>
        </w:tcPr>
        <w:p w:rsidR="006B393E" w:rsidRDefault="006B393E"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6B393E" w:rsidRPr="00FD561F" w:rsidRDefault="006B393E" w:rsidP="009F74C4">
              <w:pPr>
                <w:pStyle w:val="footersubtitle"/>
              </w:pPr>
              <w:r>
                <w:t>Cultural and linguistic diversity: Part 2 — Building positive relationships</w:t>
              </w:r>
            </w:p>
          </w:sdtContent>
        </w:sdt>
      </w:tc>
      <w:tc>
        <w:tcPr>
          <w:tcW w:w="2500" w:type="pct"/>
        </w:tcPr>
        <w:p w:rsidR="006B393E" w:rsidRDefault="006B393E" w:rsidP="000F044B">
          <w:pPr>
            <w:pStyle w:val="Footer"/>
            <w:ind w:left="284"/>
            <w:jc w:val="right"/>
            <w:rPr>
              <w:rFonts w:eastAsia="SimSun"/>
            </w:rPr>
          </w:pPr>
          <w:r w:rsidRPr="0055152A">
            <w:rPr>
              <w:rFonts w:eastAsia="SimSun"/>
            </w:rPr>
            <w:t>Queensland Curriculum &amp; Assessment Authority</w:t>
          </w:r>
        </w:p>
        <w:p w:rsidR="006B393E" w:rsidRPr="000F044B" w:rsidRDefault="00B95CFB"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6B393E">
                <w:t>July 2014</w:t>
              </w:r>
            </w:sdtContent>
          </w:sdt>
          <w:r w:rsidR="006B393E" w:rsidRPr="000F044B">
            <w:t xml:space="preserve"> </w:t>
          </w:r>
        </w:p>
      </w:tc>
    </w:tr>
    <w:tr w:rsidR="006B393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6B393E" w:rsidRPr="00914504" w:rsidRDefault="006B393E"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95CFB">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95CFB">
                <w:rPr>
                  <w:b w:val="0"/>
                  <w:noProof/>
                  <w:color w:val="000000" w:themeColor="text1"/>
                </w:rPr>
                <w:t>4</w:t>
              </w:r>
              <w:r w:rsidRPr="00914504">
                <w:rPr>
                  <w:b w:val="0"/>
                  <w:color w:val="000000" w:themeColor="text1"/>
                  <w:sz w:val="24"/>
                  <w:szCs w:val="24"/>
                </w:rPr>
                <w:fldChar w:fldCharType="end"/>
              </w:r>
            </w:p>
          </w:sdtContent>
        </w:sdt>
      </w:tc>
    </w:tr>
  </w:tbl>
  <w:p w:rsidR="006B393E" w:rsidRDefault="006B393E" w:rsidP="0085726A">
    <w:pPr>
      <w:pStyle w:val="Smallspace"/>
    </w:pPr>
  </w:p>
  <w:p w:rsidR="006B393E" w:rsidRDefault="006B393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3E" w:rsidRPr="00E95E3F" w:rsidRDefault="006B393E" w:rsidP="00B3438C">
      <w:pPr>
        <w:pStyle w:val="footnoteseparator"/>
      </w:pPr>
    </w:p>
  </w:footnote>
  <w:footnote w:type="continuationSeparator" w:id="0">
    <w:p w:rsidR="006B393E" w:rsidRDefault="006B393E">
      <w:r>
        <w:continuationSeparator/>
      </w:r>
    </w:p>
    <w:p w:rsidR="006B393E" w:rsidRDefault="006B39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7843BBD"/>
    <w:multiLevelType w:val="multilevel"/>
    <w:tmpl w:val="754EBE90"/>
    <w:lvl w:ilvl="0">
      <w:start w:val="1"/>
      <w:numFmt w:val="bullet"/>
      <w:pStyle w:val="Bulletslevel1"/>
      <w:lvlText w:val=""/>
      <w:lvlJc w:val="left"/>
      <w:pPr>
        <w:ind w:left="360" w:hanging="360"/>
      </w:pPr>
      <w:rPr>
        <w:rFonts w:ascii="Symbol" w:hAnsi="Symbol" w:hint="default"/>
        <w:color w:val="00928F"/>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16F7BCC"/>
    <w:multiLevelType w:val="hybridMultilevel"/>
    <w:tmpl w:val="2B408E4E"/>
    <w:lvl w:ilvl="0" w:tplc="B30EBC7C">
      <w:numFmt w:val="bullet"/>
      <w:pStyle w:val="Bulletslevel2"/>
      <w:lvlText w:val="–"/>
      <w:lvlJc w:val="left"/>
      <w:pPr>
        <w:ind w:left="1004" w:hanging="360"/>
      </w:pPr>
      <w:rPr>
        <w:rFonts w:ascii="Arial" w:eastAsia="Times New Roman"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2"/>
  </w:num>
  <w:num w:numId="2">
    <w:abstractNumId w:val="23"/>
  </w:num>
  <w:num w:numId="3">
    <w:abstractNumId w:val="24"/>
  </w:num>
  <w:num w:numId="4">
    <w:abstractNumId w:val="19"/>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1"/>
  </w:num>
  <w:num w:numId="18">
    <w:abstractNumId w:val="17"/>
  </w:num>
  <w:num w:numId="19">
    <w:abstractNumId w:val="20"/>
  </w:num>
  <w:num w:numId="20">
    <w:abstractNumId w:val="16"/>
  </w:num>
  <w:num w:numId="21">
    <w:abstractNumId w:val="4"/>
  </w:num>
  <w:num w:numId="22">
    <w:abstractNumId w:val="10"/>
  </w:num>
  <w:num w:numId="23">
    <w:abstractNumId w:val="5"/>
  </w:num>
  <w:num w:numId="24">
    <w:abstractNumId w:val="25"/>
  </w:num>
  <w:num w:numId="25">
    <w:abstractNumId w:val="12"/>
  </w:num>
  <w:num w:numId="26">
    <w:abstractNumId w:val="23"/>
  </w:num>
  <w:num w:numId="27">
    <w:abstractNumId w:val="24"/>
  </w:num>
  <w:num w:numId="28">
    <w:abstractNumId w:val="19"/>
  </w:num>
  <w:num w:numId="29">
    <w:abstractNumId w:val="18"/>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992"/>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77DF"/>
    <w:rsid w:val="00157FAC"/>
    <w:rsid w:val="0016009A"/>
    <w:rsid w:val="001604AE"/>
    <w:rsid w:val="001605FD"/>
    <w:rsid w:val="00160CBE"/>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02BB"/>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11B2"/>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2D9"/>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393E"/>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5CFB"/>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9D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044D"/>
    <w:rsid w:val="00F81803"/>
    <w:rsid w:val="00F81D8E"/>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Bulletslevel1">
    <w:name w:val="Bullets level 1"/>
    <w:basedOn w:val="Normal"/>
    <w:qFormat/>
    <w:rsid w:val="00DF09DA"/>
    <w:pPr>
      <w:numPr>
        <w:numId w:val="32"/>
      </w:numPr>
      <w:spacing w:before="120" w:line="260" w:lineRule="atLeast"/>
    </w:pPr>
  </w:style>
  <w:style w:type="paragraph" w:customStyle="1" w:styleId="Bulletslevel2">
    <w:name w:val="Bullets level 2"/>
    <w:basedOn w:val="Bulletslevel1"/>
    <w:qFormat/>
    <w:rsid w:val="006B393E"/>
    <w:pPr>
      <w:numPr>
        <w:numId w:val="33"/>
      </w:numPr>
      <w:tabs>
        <w:tab w:val="left" w:pos="567"/>
      </w:tabs>
      <w:ind w:left="851"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Bulletslevel1">
    <w:name w:val="Bullets level 1"/>
    <w:basedOn w:val="Normal"/>
    <w:qFormat/>
    <w:rsid w:val="00DF09DA"/>
    <w:pPr>
      <w:numPr>
        <w:numId w:val="32"/>
      </w:numPr>
      <w:spacing w:before="120" w:line="260" w:lineRule="atLeast"/>
    </w:pPr>
  </w:style>
  <w:style w:type="paragraph" w:customStyle="1" w:styleId="Bulletslevel2">
    <w:name w:val="Bullets level 2"/>
    <w:basedOn w:val="Bulletslevel1"/>
    <w:qFormat/>
    <w:rsid w:val="006B393E"/>
    <w:pPr>
      <w:numPr>
        <w:numId w:val="33"/>
      </w:numPr>
      <w:tabs>
        <w:tab w:val="left" w:pos="567"/>
      </w:tabs>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www.qcaa.qld.edu.au/3035.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caa.qld.edu.au/12974.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qcaa.qld.edu.au/10192.html"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8.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053BF1A9B440DAE20591359F5239B"/>
        <w:category>
          <w:name w:val="General"/>
          <w:gallery w:val="placeholder"/>
        </w:category>
        <w:types>
          <w:type w:val="bbPlcHdr"/>
        </w:types>
        <w:behaviors>
          <w:behavior w:val="content"/>
        </w:behaviors>
        <w:guid w:val="{086B60BF-C197-4132-B56D-7A41363E8F73}"/>
      </w:docPartPr>
      <w:docPartBody>
        <w:p w:rsidR="00E60952" w:rsidRDefault="00E60952">
          <w:pPr>
            <w:pStyle w:val="D7B053BF1A9B440DAE20591359F5239B"/>
          </w:pPr>
          <w:r>
            <w:rPr>
              <w:shd w:val="clear" w:color="auto" w:fill="F7EA9F"/>
            </w:rPr>
            <w:t>[Title]</w:t>
          </w:r>
        </w:p>
      </w:docPartBody>
    </w:docPart>
    <w:docPart>
      <w:docPartPr>
        <w:name w:val="10C5A26FFA9E4AF8B473E61118825B20"/>
        <w:category>
          <w:name w:val="General"/>
          <w:gallery w:val="placeholder"/>
        </w:category>
        <w:types>
          <w:type w:val="bbPlcHdr"/>
        </w:types>
        <w:behaviors>
          <w:behavior w:val="content"/>
        </w:behaviors>
        <w:guid w:val="{C277B18B-25BA-4621-BAF2-7B533818DD19}"/>
      </w:docPartPr>
      <w:docPartBody>
        <w:p w:rsidR="00E60952" w:rsidRDefault="00E60952">
          <w:pPr>
            <w:pStyle w:val="10C5A26FFA9E4AF8B473E61118825B20"/>
          </w:pPr>
          <w:r w:rsidRPr="00A4408D">
            <w:rPr>
              <w:shd w:val="clear" w:color="auto" w:fill="F79646" w:themeFill="accent6"/>
            </w:rPr>
            <w:t>[Enter keyword]</w:t>
          </w:r>
        </w:p>
      </w:docPartBody>
    </w:docPart>
    <w:docPart>
      <w:docPartPr>
        <w:name w:val="78E96E19BD054FFBBBCCD3DF03BE9EF3"/>
        <w:category>
          <w:name w:val="General"/>
          <w:gallery w:val="placeholder"/>
        </w:category>
        <w:types>
          <w:type w:val="bbPlcHdr"/>
        </w:types>
        <w:behaviors>
          <w:behavior w:val="content"/>
        </w:behaviors>
        <w:guid w:val="{FBF10316-B4A8-4A86-9572-1A9187D697DF}"/>
      </w:docPartPr>
      <w:docPartBody>
        <w:p w:rsidR="00E60952" w:rsidRDefault="00E60952">
          <w:pPr>
            <w:pStyle w:val="78E96E19BD054FFBBBCCD3DF03BE9EF3"/>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52"/>
    <w:rsid w:val="00E60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053BF1A9B440DAE20591359F5239B">
    <w:name w:val="D7B053BF1A9B440DAE20591359F5239B"/>
  </w:style>
  <w:style w:type="paragraph" w:customStyle="1" w:styleId="10C5A26FFA9E4AF8B473E61118825B20">
    <w:name w:val="10C5A26FFA9E4AF8B473E61118825B20"/>
  </w:style>
  <w:style w:type="paragraph" w:customStyle="1" w:styleId="78E96E19BD054FFBBBCCD3DF03BE9EF3">
    <w:name w:val="78E96E19BD054FFBBBCCD3DF03BE9EF3"/>
  </w:style>
  <w:style w:type="paragraph" w:customStyle="1" w:styleId="69641FD3920249AA94C75986FF6FA09F">
    <w:name w:val="69641FD3920249AA94C75986FF6FA09F"/>
  </w:style>
  <w:style w:type="paragraph" w:customStyle="1" w:styleId="D7CB7AF8A3304B51A071198B961371D3">
    <w:name w:val="D7CB7AF8A3304B51A071198B961371D3"/>
  </w:style>
  <w:style w:type="character" w:styleId="PlaceholderText">
    <w:name w:val="Placeholder Text"/>
    <w:basedOn w:val="DefaultParagraphFont"/>
    <w:uiPriority w:val="99"/>
    <w:rPr>
      <w:color w:val="FF0000"/>
    </w:rPr>
  </w:style>
  <w:style w:type="paragraph" w:customStyle="1" w:styleId="D56E17589C2A4A05963FEFACD6313FD4">
    <w:name w:val="D56E17589C2A4A05963FEFACD6313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053BF1A9B440DAE20591359F5239B">
    <w:name w:val="D7B053BF1A9B440DAE20591359F5239B"/>
  </w:style>
  <w:style w:type="paragraph" w:customStyle="1" w:styleId="10C5A26FFA9E4AF8B473E61118825B20">
    <w:name w:val="10C5A26FFA9E4AF8B473E61118825B20"/>
  </w:style>
  <w:style w:type="paragraph" w:customStyle="1" w:styleId="78E96E19BD054FFBBBCCD3DF03BE9EF3">
    <w:name w:val="78E96E19BD054FFBBBCCD3DF03BE9EF3"/>
  </w:style>
  <w:style w:type="paragraph" w:customStyle="1" w:styleId="69641FD3920249AA94C75986FF6FA09F">
    <w:name w:val="69641FD3920249AA94C75986FF6FA09F"/>
  </w:style>
  <w:style w:type="paragraph" w:customStyle="1" w:styleId="D7CB7AF8A3304B51A071198B961371D3">
    <w:name w:val="D7CB7AF8A3304B51A071198B961371D3"/>
  </w:style>
  <w:style w:type="character" w:styleId="PlaceholderText">
    <w:name w:val="Placeholder Text"/>
    <w:basedOn w:val="DefaultParagraphFont"/>
    <w:uiPriority w:val="99"/>
    <w:rPr>
      <w:color w:val="FF0000"/>
    </w:rPr>
  </w:style>
  <w:style w:type="paragraph" w:customStyle="1" w:styleId="D56E17589C2A4A05963FEFACD6313FD4">
    <w:name w:val="D56E17589C2A4A05963FEFACD6313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Cultural and linguistic diversity: Part 2 — Building positive relationships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purl.org/dc/terms/"/>
    <ds:schemaRef ds:uri="78c0712b-c315-463b-80c2-228949093bd8"/>
    <ds:schemaRef ds:uri="http://purl.org/dc/elements/1.1/"/>
    <ds:schemaRef ds:uri="http://purl.org/dc/dcmitype/"/>
    <ds:schemaRef ds:uri="http://schemas.microsoft.com/office/infopath/2007/PartnerControls"/>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295BACB0-13ED-4D58-97AB-67EBFB3C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34</TotalTime>
  <Pages>4</Pages>
  <Words>1046</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Kindergarten: Cultural and lingusitic diversity, Building positive relationships</vt:lpstr>
    </vt:vector>
  </TitlesOfParts>
  <Company>Queensland Curriculum and Assessment Authority</Company>
  <LinksUpToDate>false</LinksUpToDate>
  <CharactersWithSpaces>7164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Cultural and linguistic diversity, Building positive relationships</dc:title>
  <dc:creator>Queensland Curriculum and Assessment Authority</dc:creator>
  <cp:lastModifiedBy>JGED</cp:lastModifiedBy>
  <cp:revision>8</cp:revision>
  <cp:lastPrinted>2014-03-06T02:16:00Z</cp:lastPrinted>
  <dcterms:created xsi:type="dcterms:W3CDTF">2014-04-16T06:48:00Z</dcterms:created>
  <dcterms:modified xsi:type="dcterms:W3CDTF">2014-05-22T00:45:00Z</dcterms:modified>
  <cp:category>r0988</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