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D4" w:rsidRPr="0002529E" w:rsidRDefault="00E633D4" w:rsidP="0002529E">
      <w:pPr>
        <w:spacing w:before="360" w:after="1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Unit p</w:t>
      </w:r>
      <w:r w:rsidRPr="0002529E">
        <w:rPr>
          <w:b/>
          <w:sz w:val="32"/>
          <w:szCs w:val="32"/>
        </w:rPr>
        <w:t xml:space="preserve">lanning </w:t>
      </w:r>
      <w:r>
        <w:rPr>
          <w:b/>
          <w:sz w:val="32"/>
          <w:szCs w:val="32"/>
        </w:rPr>
        <w:t>c</w:t>
      </w:r>
      <w:r w:rsidRPr="0002529E">
        <w:rPr>
          <w:b/>
          <w:sz w:val="32"/>
          <w:szCs w:val="32"/>
        </w:rPr>
        <w:t>hecklist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2"/>
        <w:gridCol w:w="4869"/>
      </w:tblGrid>
      <w:tr w:rsidR="00E633D4" w:rsidRPr="006C56B4">
        <w:trPr>
          <w:trHeight w:val="585"/>
        </w:trPr>
        <w:tc>
          <w:tcPr>
            <w:tcW w:w="2475" w:type="pct"/>
            <w:tcBorders>
              <w:bottom w:val="nil"/>
            </w:tcBorders>
          </w:tcPr>
          <w:p w:rsidR="00E633D4" w:rsidRPr="00645A9D" w:rsidRDefault="00E633D4" w:rsidP="00645A9D">
            <w:pPr>
              <w:pStyle w:val="tabletext"/>
            </w:pPr>
            <w:r w:rsidRPr="00645A9D">
              <w:t>School:</w:t>
            </w:r>
          </w:p>
        </w:tc>
        <w:tc>
          <w:tcPr>
            <w:tcW w:w="2525" w:type="pct"/>
            <w:tcBorders>
              <w:bottom w:val="nil"/>
            </w:tcBorders>
          </w:tcPr>
          <w:p w:rsidR="00E633D4" w:rsidRPr="00645A9D" w:rsidRDefault="00E633D4" w:rsidP="00645A9D">
            <w:pPr>
              <w:pStyle w:val="tabletext"/>
            </w:pPr>
            <w:r w:rsidRPr="00645A9D">
              <w:t>Year Level:</w:t>
            </w:r>
          </w:p>
        </w:tc>
      </w:tr>
      <w:tr w:rsidR="00E633D4" w:rsidRPr="006C56B4">
        <w:trPr>
          <w:trHeight w:val="585"/>
        </w:trPr>
        <w:tc>
          <w:tcPr>
            <w:tcW w:w="2475" w:type="pct"/>
            <w:tcBorders>
              <w:bottom w:val="nil"/>
            </w:tcBorders>
          </w:tcPr>
          <w:p w:rsidR="00E633D4" w:rsidRPr="00645A9D" w:rsidRDefault="00E633D4" w:rsidP="00645A9D">
            <w:pPr>
              <w:pStyle w:val="tabletext"/>
            </w:pPr>
            <w:r w:rsidRPr="00645A9D">
              <w:t>Unit:</w:t>
            </w:r>
          </w:p>
        </w:tc>
        <w:tc>
          <w:tcPr>
            <w:tcW w:w="2525" w:type="pct"/>
            <w:tcBorders>
              <w:bottom w:val="nil"/>
            </w:tcBorders>
          </w:tcPr>
          <w:p w:rsidR="00E633D4" w:rsidRPr="00645A9D" w:rsidRDefault="00E633D4" w:rsidP="00645A9D">
            <w:pPr>
              <w:pStyle w:val="tabletext"/>
            </w:pPr>
            <w:r w:rsidRPr="00645A9D">
              <w:t>KLA(s):</w:t>
            </w:r>
          </w:p>
        </w:tc>
      </w:tr>
    </w:tbl>
    <w:p w:rsidR="00E633D4" w:rsidRPr="00645A9D" w:rsidRDefault="00E633D4" w:rsidP="00EB4A3B">
      <w:pPr>
        <w:rPr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8514"/>
        <w:gridCol w:w="1117"/>
      </w:tblGrid>
      <w:tr w:rsidR="00E633D4" w:rsidRPr="009007E5">
        <w:tc>
          <w:tcPr>
            <w:tcW w:w="4420" w:type="pct"/>
            <w:shd w:val="clear" w:color="auto" w:fill="E6E6E6"/>
            <w:vAlign w:val="center"/>
          </w:tcPr>
          <w:p w:rsidR="00E633D4" w:rsidRPr="00645A9D" w:rsidRDefault="00E633D4" w:rsidP="00645A9D">
            <w:pPr>
              <w:pStyle w:val="tablesubhead"/>
            </w:pPr>
            <w:r w:rsidRPr="00645A9D">
              <w:t>Identify curriculum</w:t>
            </w:r>
          </w:p>
        </w:tc>
        <w:tc>
          <w:tcPr>
            <w:tcW w:w="580" w:type="pct"/>
            <w:shd w:val="clear" w:color="auto" w:fill="E6E6E6"/>
            <w:vAlign w:val="center"/>
          </w:tcPr>
          <w:p w:rsidR="00E633D4" w:rsidRPr="00122696" w:rsidRDefault="00E633D4" w:rsidP="003178F2">
            <w:pPr>
              <w:jc w:val="center"/>
              <w:rPr>
                <w:b/>
                <w:sz w:val="16"/>
                <w:szCs w:val="16"/>
                <w:lang w:val="en-AU"/>
              </w:rPr>
            </w:pPr>
            <w:r w:rsidRPr="00122696">
              <w:rPr>
                <w:b/>
                <w:sz w:val="16"/>
                <w:szCs w:val="16"/>
                <w:lang w:val="en-AU"/>
              </w:rPr>
              <w:t>Tick</w:t>
            </w:r>
            <w:r>
              <w:rPr>
                <w:b/>
                <w:sz w:val="16"/>
                <w:szCs w:val="16"/>
                <w:lang w:val="en-AU"/>
              </w:rPr>
              <w:t xml:space="preserve"> if completed</w:t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31250D" w:rsidRDefault="00E633D4" w:rsidP="00645A9D">
            <w:pPr>
              <w:pStyle w:val="tabletext"/>
              <w:rPr>
                <w:lang w:val="en-AU"/>
              </w:rPr>
            </w:pPr>
            <w:r w:rsidRPr="0031250D">
              <w:rPr>
                <w:lang w:val="en-AU"/>
              </w:rPr>
              <w:t>Ways of working are identified that are appropriate for the unit. These Ways of working are accessible but challenging for students.</w:t>
            </w:r>
          </w:p>
        </w:tc>
        <w:bookmarkStart w:id="1" w:name="Check1"/>
        <w:tc>
          <w:tcPr>
            <w:tcW w:w="580" w:type="pct"/>
            <w:vAlign w:val="center"/>
          </w:tcPr>
          <w:p w:rsidR="00E633D4" w:rsidRPr="00645A9D" w:rsidRDefault="00E633D4" w:rsidP="00645A9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31250D" w:rsidRDefault="00E633D4" w:rsidP="00645A9D">
            <w:pPr>
              <w:pStyle w:val="tabletext"/>
              <w:rPr>
                <w:lang w:val="en-AU"/>
              </w:rPr>
            </w:pPr>
            <w:r w:rsidRPr="0031250D">
              <w:rPr>
                <w:lang w:val="en-AU"/>
              </w:rPr>
              <w:t>Knowledge and understanding are identified that are appropriate for the unit. This Knowledge and understanding is accessible but challenging for students.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645A9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31250D" w:rsidRDefault="00E633D4" w:rsidP="00645A9D">
            <w:pPr>
              <w:pStyle w:val="tabletext"/>
              <w:rPr>
                <w:lang w:val="en-AU"/>
              </w:rPr>
            </w:pPr>
            <w:r w:rsidRPr="0031250D">
              <w:rPr>
                <w:lang w:val="en-AU"/>
              </w:rPr>
              <w:t>The Ways of working and Knowledge and understanding are recorded accurately, without editing.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 xml:space="preserve">There is a range and balance of </w:t>
            </w:r>
            <w:r w:rsidRPr="00CB2CF7">
              <w:rPr>
                <w:i/>
                <w:lang w:val="en-AU"/>
              </w:rPr>
              <w:t>Essential Learnings</w:t>
            </w:r>
            <w:r w:rsidRPr="00CB2CF7">
              <w:rPr>
                <w:lang w:val="en-AU"/>
              </w:rPr>
              <w:t xml:space="preserve">. No relevant or related </w:t>
            </w:r>
            <w:r w:rsidRPr="00CB2CF7">
              <w:rPr>
                <w:i/>
                <w:lang w:val="en-AU"/>
              </w:rPr>
              <w:t>Essential Learnings</w:t>
            </w:r>
            <w:r w:rsidRPr="00CB2CF7">
              <w:rPr>
                <w:lang w:val="en-AU"/>
              </w:rPr>
              <w:t xml:space="preserve"> </w:t>
            </w:r>
            <w:r>
              <w:rPr>
                <w:lang w:val="en-AU"/>
              </w:rPr>
              <w:t>is</w:t>
            </w:r>
            <w:r w:rsidRPr="00CB2CF7">
              <w:rPr>
                <w:lang w:val="en-AU"/>
              </w:rPr>
              <w:t xml:space="preserve"> missing or excessively repeated from previous units. Students’ prior learning has been considered.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 xml:space="preserve">School </w:t>
            </w:r>
            <w:r>
              <w:rPr>
                <w:lang w:val="en-AU"/>
              </w:rPr>
              <w:t>p</w:t>
            </w:r>
            <w:r w:rsidRPr="00CB2CF7">
              <w:rPr>
                <w:lang w:val="en-AU"/>
              </w:rPr>
              <w:t xml:space="preserve">riorities are identified that are particularly valued by this school community or by school sector </w:t>
            </w:r>
            <w:r>
              <w:rPr>
                <w:lang w:val="en-AU"/>
              </w:rPr>
              <w:br/>
              <w:t>(</w:t>
            </w:r>
            <w:r w:rsidRPr="00CB2CF7">
              <w:rPr>
                <w:lang w:val="en-AU"/>
              </w:rPr>
              <w:t>e.g. literacy, numeracy, values education</w:t>
            </w:r>
            <w:r>
              <w:rPr>
                <w:lang w:val="en-AU"/>
              </w:rPr>
              <w:t>)</w:t>
            </w:r>
            <w:r w:rsidRPr="00CB2CF7">
              <w:rPr>
                <w:lang w:val="en-AU"/>
              </w:rPr>
              <w:t>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>The context for learning gives brief background information about the unit, sets the scene, provides the focus for learning, and explains why this unit is important for students.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31250D" w:rsidRDefault="00E633D4" w:rsidP="00645A9D">
            <w:pPr>
              <w:pStyle w:val="tabletext"/>
              <w:rPr>
                <w:lang w:val="en-AU"/>
              </w:rPr>
            </w:pPr>
            <w:r w:rsidRPr="0031250D">
              <w:rPr>
                <w:lang w:val="en-AU"/>
              </w:rPr>
              <w:t xml:space="preserve">The context for learning captures the intent of the KLA/s, as described in the Learning and assessment focus. 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31250D" w:rsidRDefault="00E633D4" w:rsidP="00645A9D">
            <w:pPr>
              <w:pStyle w:val="tabletext"/>
              <w:rPr>
                <w:lang w:val="en-AU"/>
              </w:rPr>
            </w:pPr>
            <w:r w:rsidRPr="0031250D">
              <w:rPr>
                <w:lang w:val="en-AU"/>
              </w:rPr>
              <w:t>The context for learning is likely to be relevant, important and interesting to students. Students’ prior learning has been considered.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435025">
        <w:tc>
          <w:tcPr>
            <w:tcW w:w="4420" w:type="pct"/>
            <w:shd w:val="clear" w:color="auto" w:fill="E6E6E6"/>
            <w:vAlign w:val="center"/>
          </w:tcPr>
          <w:p w:rsidR="00E633D4" w:rsidRPr="00435025" w:rsidRDefault="00E633D4" w:rsidP="00645A9D">
            <w:pPr>
              <w:pStyle w:val="tablesubhead"/>
            </w:pPr>
            <w:r w:rsidRPr="00AE75DC">
              <w:t>Sequence learning</w:t>
            </w:r>
          </w:p>
        </w:tc>
        <w:tc>
          <w:tcPr>
            <w:tcW w:w="580" w:type="pct"/>
            <w:shd w:val="clear" w:color="auto" w:fill="E6E6E6"/>
            <w:vAlign w:val="center"/>
          </w:tcPr>
          <w:p w:rsidR="00E633D4" w:rsidRPr="00645A9D" w:rsidRDefault="00E633D4" w:rsidP="00645A9D">
            <w:pPr>
              <w:pStyle w:val="tablesubhead"/>
            </w:pP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31250D" w:rsidRDefault="00E633D4" w:rsidP="00645A9D">
            <w:pPr>
              <w:pStyle w:val="tabletext"/>
              <w:rPr>
                <w:lang w:val="en-AU"/>
              </w:rPr>
            </w:pPr>
            <w:r w:rsidRPr="0031250D">
              <w:rPr>
                <w:lang w:val="en-AU"/>
              </w:rPr>
              <w:t>The unit includes a range of learning experiences that directly relate to the identified Ways of working and Knowledge and understanding.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645A9D" w:rsidRDefault="00E633D4" w:rsidP="00645A9D">
            <w:pPr>
              <w:pStyle w:val="tabletext"/>
              <w:rPr>
                <w:spacing w:val="-2"/>
                <w:lang w:val="en-AU"/>
              </w:rPr>
            </w:pPr>
            <w:r w:rsidRPr="00645A9D">
              <w:rPr>
                <w:spacing w:val="-2"/>
                <w:lang w:val="en-AU"/>
              </w:rPr>
              <w:t>The learning experiences are selected and sequenced using a framework (e.g. 5Es, inquiry approaches, TELSTAR).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>The learning experiences cater for the varied needs, abilities, interests and experiences of students.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>Teaching strategies are selected to ensure that the Essential Learnings are explicitly taught rather than being merely “touched upon”.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>The teaching strategies are selected to actively engage students in learning.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 xml:space="preserve">Adjustments to cater for the varied needs and abilities of different learners are included </w:t>
            </w:r>
            <w:r>
              <w:rPr>
                <w:lang w:val="en-AU"/>
              </w:rPr>
              <w:t>(</w:t>
            </w:r>
            <w:r w:rsidRPr="00CB2CF7">
              <w:rPr>
                <w:lang w:val="en-AU"/>
              </w:rPr>
              <w:t>e.g. students with disabilities, students with learning difficulties, students with English as a second language, Aboriginal and Torres Strait Islander students, gifted and talented students</w:t>
            </w:r>
            <w:r>
              <w:rPr>
                <w:lang w:val="en-AU"/>
              </w:rPr>
              <w:t>)</w:t>
            </w:r>
            <w:r w:rsidRPr="00CB2CF7">
              <w:rPr>
                <w:lang w:val="en-AU"/>
              </w:rPr>
              <w:t>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>The required resources are made explicit.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435025">
        <w:tc>
          <w:tcPr>
            <w:tcW w:w="4420" w:type="pct"/>
            <w:shd w:val="clear" w:color="auto" w:fill="E6E6E6"/>
            <w:vAlign w:val="center"/>
          </w:tcPr>
          <w:p w:rsidR="00E633D4" w:rsidRPr="00435025" w:rsidRDefault="00E633D4" w:rsidP="00645A9D">
            <w:pPr>
              <w:pStyle w:val="tablesubhead"/>
            </w:pPr>
            <w:r w:rsidRPr="00AE75DC">
              <w:t>Develop assessment</w:t>
            </w:r>
          </w:p>
        </w:tc>
        <w:tc>
          <w:tcPr>
            <w:tcW w:w="580" w:type="pct"/>
            <w:shd w:val="clear" w:color="auto" w:fill="E6E6E6"/>
            <w:vAlign w:val="center"/>
          </w:tcPr>
          <w:p w:rsidR="00E633D4" w:rsidRPr="00435025" w:rsidRDefault="00E633D4" w:rsidP="00645A9D">
            <w:pPr>
              <w:pStyle w:val="tablesubhead"/>
            </w:pP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 xml:space="preserve">The types of assessment </w:t>
            </w:r>
            <w:r>
              <w:rPr>
                <w:lang w:val="en-AU"/>
              </w:rPr>
              <w:t>include</w:t>
            </w:r>
            <w:r w:rsidRPr="00CB2CF7">
              <w:rPr>
                <w:lang w:val="en-AU"/>
              </w:rPr>
              <w:t xml:space="preserve"> assessment instruments (e.g. projects, essays, tests) and assessment strategies (e.g. focussed observation, peer assessment) </w:t>
            </w:r>
            <w:r>
              <w:rPr>
                <w:lang w:val="en-AU"/>
              </w:rPr>
              <w:t xml:space="preserve">designed to </w:t>
            </w:r>
            <w:r w:rsidRPr="00CB2CF7">
              <w:rPr>
                <w:lang w:val="en-AU"/>
              </w:rPr>
              <w:t xml:space="preserve">assess the identified </w:t>
            </w:r>
            <w:r w:rsidRPr="00643DE5">
              <w:rPr>
                <w:i/>
                <w:lang w:val="en-AU"/>
              </w:rPr>
              <w:t>Essential Learnings</w:t>
            </w:r>
            <w:r w:rsidRPr="00CB2CF7">
              <w:rPr>
                <w:lang w:val="en-AU"/>
              </w:rPr>
              <w:t>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 xml:space="preserve">The </w:t>
            </w:r>
            <w:r>
              <w:rPr>
                <w:lang w:val="en-AU"/>
              </w:rPr>
              <w:t xml:space="preserve">context and structure of </w:t>
            </w:r>
            <w:r w:rsidRPr="00CB2CF7">
              <w:rPr>
                <w:lang w:val="en-AU"/>
              </w:rPr>
              <w:t xml:space="preserve">assessments </w:t>
            </w:r>
            <w:r>
              <w:rPr>
                <w:lang w:val="en-AU"/>
              </w:rPr>
              <w:t xml:space="preserve">reflect </w:t>
            </w:r>
            <w:r w:rsidRPr="00CB2CF7">
              <w:rPr>
                <w:lang w:val="en-AU"/>
              </w:rPr>
              <w:t>the varied needs, abilities, interests and experiences of students.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Pr="00CB2CF7">
              <w:rPr>
                <w:lang w:val="en-AU"/>
              </w:rPr>
              <w:t>ssessments provide a variety of ways to assess demonstrations of student learning</w:t>
            </w:r>
            <w:r>
              <w:rPr>
                <w:lang w:val="en-AU"/>
              </w:rPr>
              <w:t xml:space="preserve"> i.e. </w:t>
            </w:r>
            <w:r w:rsidRPr="00CB2CF7">
              <w:rPr>
                <w:lang w:val="en-AU"/>
              </w:rPr>
              <w:t>one type is not used exclusively</w:t>
            </w:r>
            <w:r>
              <w:rPr>
                <w:lang w:val="en-AU"/>
              </w:rPr>
              <w:t xml:space="preserve"> (e.g. test)</w:t>
            </w:r>
            <w:r w:rsidRPr="00CB2CF7">
              <w:rPr>
                <w:lang w:val="en-AU"/>
              </w:rPr>
              <w:t>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 xml:space="preserve">What will be assessed describes evidence that will be observed in student work. This includes descriptions of how the task-specific </w:t>
            </w:r>
            <w:r w:rsidRPr="00643DE5">
              <w:rPr>
                <w:lang w:val="en-AU"/>
              </w:rPr>
              <w:t>assessable elements</w:t>
            </w:r>
            <w:r w:rsidRPr="00CB2CF7">
              <w:rPr>
                <w:lang w:val="en-AU"/>
              </w:rPr>
              <w:t xml:space="preserve"> will be demonstrated in student work.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Strategies are identified to facilitate a shared understanding of the </w:t>
            </w:r>
            <w:r w:rsidRPr="00643DE5">
              <w:rPr>
                <w:i/>
                <w:lang w:val="en-AU"/>
              </w:rPr>
              <w:t>Essential Learnings</w:t>
            </w:r>
            <w:r>
              <w:rPr>
                <w:lang w:val="en-AU"/>
              </w:rPr>
              <w:t xml:space="preserve"> (e.g. social moderation, cross-marking, common assessment).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The</w:t>
            </w:r>
            <w:r w:rsidRPr="00CB2CF7">
              <w:rPr>
                <w:lang w:val="en-AU"/>
              </w:rPr>
              <w:t xml:space="preserve"> timing and duration of assessment</w:t>
            </w:r>
            <w:r>
              <w:rPr>
                <w:lang w:val="en-AU"/>
              </w:rPr>
              <w:t xml:space="preserve"> are identified and reflect</w:t>
            </w:r>
            <w:r w:rsidRPr="00CB2CF7">
              <w:rPr>
                <w:lang w:val="en-AU"/>
              </w:rPr>
              <w:t xml:space="preserve"> that meaningful assessment can occur before, during and after learning.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 xml:space="preserve">Overall, </w:t>
            </w:r>
            <w:r>
              <w:rPr>
                <w:lang w:val="en-AU"/>
              </w:rPr>
              <w:t>the assessment will provide</w:t>
            </w:r>
            <w:r w:rsidRPr="00CB2CF7">
              <w:rPr>
                <w:lang w:val="en-AU"/>
              </w:rPr>
              <w:t xml:space="preserve"> sufficient evidence of student learning to inform consistent and appropriate judgments.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page" w:horzAnchor="margin" w:tblpY="1441"/>
        <w:tblW w:w="4851" w:type="pct"/>
        <w:tblLayout w:type="fixed"/>
        <w:tblLook w:val="01E0" w:firstRow="1" w:lastRow="1" w:firstColumn="1" w:lastColumn="1" w:noHBand="0" w:noVBand="0"/>
      </w:tblPr>
      <w:tblGrid>
        <w:gridCol w:w="8260"/>
        <w:gridCol w:w="1084"/>
      </w:tblGrid>
      <w:tr w:rsidR="00E633D4" w:rsidRPr="00AE75DC">
        <w:tc>
          <w:tcPr>
            <w:tcW w:w="4420" w:type="pct"/>
            <w:shd w:val="clear" w:color="auto" w:fill="E6E6E6"/>
            <w:vAlign w:val="center"/>
          </w:tcPr>
          <w:p w:rsidR="00E633D4" w:rsidRPr="00AE75DC" w:rsidRDefault="00E633D4" w:rsidP="00645A9D">
            <w:pPr>
              <w:pStyle w:val="tablesubhead"/>
            </w:pPr>
            <w:r w:rsidRPr="00AE75DC">
              <w:lastRenderedPageBreak/>
              <w:t>Make judgments</w:t>
            </w:r>
          </w:p>
        </w:tc>
        <w:tc>
          <w:tcPr>
            <w:tcW w:w="580" w:type="pct"/>
            <w:shd w:val="clear" w:color="auto" w:fill="E6E6E6"/>
            <w:vAlign w:val="center"/>
          </w:tcPr>
          <w:p w:rsidR="00E633D4" w:rsidRPr="00AE75DC" w:rsidRDefault="00E633D4" w:rsidP="00645A9D">
            <w:pPr>
              <w:pStyle w:val="tablesubhead"/>
            </w:pP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31250D" w:rsidRDefault="00E633D4" w:rsidP="00645A9D">
            <w:pPr>
              <w:pStyle w:val="tabletext"/>
              <w:rPr>
                <w:lang w:val="en-AU"/>
              </w:rPr>
            </w:pPr>
            <w:r w:rsidRPr="0031250D">
              <w:rPr>
                <w:lang w:val="en-AU"/>
              </w:rPr>
              <w:t>The purpose for assessment is identified (e.g. diagnostic, assessment for learning, formative, summative).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31250D" w:rsidRDefault="00E633D4" w:rsidP="00645A9D">
            <w:pPr>
              <w:pStyle w:val="tabletext"/>
              <w:rPr>
                <w:lang w:val="en-AU"/>
              </w:rPr>
            </w:pPr>
            <w:r w:rsidRPr="0031250D">
              <w:rPr>
                <w:lang w:val="en-AU"/>
              </w:rPr>
              <w:t>Task-specific assessable elements have been identified for assessment that align with the Assessable elements of the relevant key learning area/s.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31250D" w:rsidRDefault="00E633D4" w:rsidP="00645A9D">
            <w:pPr>
              <w:pStyle w:val="tabletext"/>
              <w:rPr>
                <w:lang w:val="en-AU"/>
              </w:rPr>
            </w:pPr>
            <w:r w:rsidRPr="0031250D">
              <w:rPr>
                <w:lang w:val="en-AU"/>
              </w:rPr>
              <w:t>The assessment conditions are varied enough to produce meaningful information about student learning in a variety of contexts.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shd w:val="clear" w:color="auto" w:fill="FFFFFF"/>
            <w:vAlign w:val="center"/>
          </w:tcPr>
          <w:p w:rsidR="00E633D4" w:rsidRPr="0031250D" w:rsidRDefault="00E633D4" w:rsidP="00645A9D">
            <w:pPr>
              <w:pStyle w:val="tabletext"/>
              <w:rPr>
                <w:lang w:val="en-AU"/>
              </w:rPr>
            </w:pPr>
            <w:r w:rsidRPr="0031250D">
              <w:rPr>
                <w:lang w:val="en-AU"/>
              </w:rPr>
              <w:t>When applicable, task</w:t>
            </w:r>
            <w:r>
              <w:rPr>
                <w:lang w:val="en-AU"/>
              </w:rPr>
              <w:t>-</w:t>
            </w:r>
            <w:r w:rsidRPr="0031250D">
              <w:rPr>
                <w:lang w:val="en-AU"/>
              </w:rPr>
              <w:t>specific descriptors of quality are identified. These include statements of desirable features in student work or the conditions (e.g. length, scope, access to resources) under which assessment will occur.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5000" w:type="pct"/>
            <w:gridSpan w:val="2"/>
            <w:shd w:val="clear" w:color="auto" w:fill="E6E6E6"/>
            <w:vAlign w:val="center"/>
          </w:tcPr>
          <w:p w:rsidR="00E633D4" w:rsidRPr="00AE75DC" w:rsidRDefault="00E633D4" w:rsidP="00645A9D">
            <w:pPr>
              <w:pStyle w:val="tablesubhead"/>
            </w:pPr>
            <w:r w:rsidRPr="00AE75DC">
              <w:t>Use feedback</w:t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>Strategies are explicitly identified to show how and when to provide feedback to students. Th</w:t>
            </w:r>
            <w:r>
              <w:rPr>
                <w:lang w:val="en-AU"/>
              </w:rPr>
              <w:t>ese</w:t>
            </w:r>
            <w:r w:rsidRPr="00CB2CF7">
              <w:rPr>
                <w:lang w:val="en-AU"/>
              </w:rPr>
              <w:t xml:space="preserve"> include formal teacher feedback (e.g. report cards, grades), informal teacher feedback (</w:t>
            </w:r>
            <w:r>
              <w:rPr>
                <w:lang w:val="en-AU"/>
              </w:rPr>
              <w:t xml:space="preserve">e.g. </w:t>
            </w:r>
            <w:r w:rsidRPr="00CB2CF7">
              <w:rPr>
                <w:lang w:val="en-AU"/>
              </w:rPr>
              <w:t>annotated work, one-on-one conferencing), and feedback from others (e.g. peer evaluation, self reflection).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>The student feedback strategies will enable all students to reflect on the strengths and weaknesses of their work.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>The selected feedback processes are frequent, continuous and educative.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 xml:space="preserve">At the end of the unit, teachers identify what worked well. This is an opportunity to self-reflect and </w:t>
            </w:r>
            <w:r>
              <w:rPr>
                <w:lang w:val="en-AU"/>
              </w:rPr>
              <w:t xml:space="preserve">to </w:t>
            </w:r>
            <w:r w:rsidRPr="00CB2CF7">
              <w:rPr>
                <w:lang w:val="en-AU"/>
              </w:rPr>
              <w:t>improve student learning.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CB2CF7" w:rsidRDefault="00E633D4" w:rsidP="00645A9D">
            <w:pPr>
              <w:pStyle w:val="tabletext"/>
              <w:rPr>
                <w:lang w:val="en-AU"/>
              </w:rPr>
            </w:pPr>
            <w:r w:rsidRPr="00CB2CF7">
              <w:rPr>
                <w:lang w:val="en-AU"/>
              </w:rPr>
              <w:t>There are processes for planning flexibly in response to student assessment evidence.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shd w:val="clear" w:color="auto" w:fill="E6E6E6"/>
            <w:vAlign w:val="center"/>
          </w:tcPr>
          <w:p w:rsidR="00E633D4" w:rsidRPr="00AE75DC" w:rsidRDefault="00E633D4" w:rsidP="00645A9D">
            <w:pPr>
              <w:pStyle w:val="tablesubhead"/>
            </w:pPr>
            <w:r>
              <w:t>Overall considerations</w:t>
            </w:r>
          </w:p>
        </w:tc>
        <w:tc>
          <w:tcPr>
            <w:tcW w:w="580" w:type="pct"/>
            <w:shd w:val="clear" w:color="auto" w:fill="E6E6E6"/>
            <w:vAlign w:val="center"/>
          </w:tcPr>
          <w:p w:rsidR="00E633D4" w:rsidRPr="00AE75DC" w:rsidRDefault="00E633D4" w:rsidP="00645A9D">
            <w:pPr>
              <w:pStyle w:val="tablesubhead"/>
            </w:pP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AE75DC" w:rsidRDefault="00E633D4" w:rsidP="00645A9D">
            <w:pPr>
              <w:pStyle w:val="tabletext"/>
              <w:rPr>
                <w:lang w:val="en-AU"/>
              </w:rPr>
            </w:pPr>
            <w:r w:rsidRPr="00AE75DC">
              <w:rPr>
                <w:lang w:val="en-AU"/>
              </w:rPr>
              <w:t>The unit meets the needs of students, teachers and the school community.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AE75DC" w:rsidRDefault="00E633D4" w:rsidP="00645A9D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Alignment has been achieved — i.e. there is </w:t>
            </w:r>
            <w:r w:rsidRPr="00AE75DC">
              <w:rPr>
                <w:lang w:val="en-AU"/>
              </w:rPr>
              <w:t>a clear and explicit link between what is intended (</w:t>
            </w:r>
            <w:r w:rsidRPr="00643DE5">
              <w:rPr>
                <w:i/>
                <w:lang w:val="en-AU"/>
              </w:rPr>
              <w:t>Essential Learnings</w:t>
            </w:r>
            <w:r w:rsidRPr="00AE75DC">
              <w:rPr>
                <w:lang w:val="en-AU"/>
              </w:rPr>
              <w:t>), what will be taught (learning exper</w:t>
            </w:r>
            <w:r>
              <w:rPr>
                <w:lang w:val="en-AU"/>
              </w:rPr>
              <w:t xml:space="preserve">iences and teaching strategies), </w:t>
            </w:r>
            <w:r w:rsidRPr="00AE75DC">
              <w:rPr>
                <w:lang w:val="en-AU"/>
              </w:rPr>
              <w:t>what will be assesse</w:t>
            </w:r>
            <w:r w:rsidRPr="0031250D">
              <w:rPr>
                <w:lang w:val="en-AU"/>
              </w:rPr>
              <w:t xml:space="preserve">d (Assessable elements) and </w:t>
            </w:r>
            <w:r>
              <w:rPr>
                <w:lang w:val="en-AU"/>
              </w:rPr>
              <w:t xml:space="preserve">how it will be assessed (using the </w:t>
            </w:r>
            <w:r w:rsidRPr="009212F9">
              <w:rPr>
                <w:i/>
                <w:lang w:val="en-AU"/>
              </w:rPr>
              <w:t>Standards</w:t>
            </w:r>
            <w:r>
              <w:rPr>
                <w:lang w:val="en-AU"/>
              </w:rPr>
              <w:t>).</w:t>
            </w:r>
            <w:r w:rsidRPr="00AE75DC">
              <w:rPr>
                <w:lang w:val="en-AU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</w:tcPr>
          <w:p w:rsidR="00E633D4" w:rsidRPr="00AE75DC" w:rsidRDefault="00E633D4" w:rsidP="00645A9D">
            <w:pPr>
              <w:pStyle w:val="tabletext"/>
              <w:rPr>
                <w:lang w:val="en-AU"/>
              </w:rPr>
            </w:pPr>
            <w:r w:rsidRPr="00AE75DC">
              <w:rPr>
                <w:lang w:val="en-AU"/>
              </w:rPr>
              <w:t>Reporting processes align with planning, teaching and assessing.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4420" w:type="pct"/>
            <w:vAlign w:val="center"/>
          </w:tcPr>
          <w:p w:rsidR="00E633D4" w:rsidRPr="00AE75DC" w:rsidRDefault="00E633D4" w:rsidP="00645A9D">
            <w:pPr>
              <w:pStyle w:val="tabletext"/>
              <w:rPr>
                <w:lang w:val="en-AU"/>
              </w:rPr>
            </w:pPr>
            <w:r w:rsidRPr="00AE75DC">
              <w:rPr>
                <w:lang w:val="en-AU"/>
              </w:rPr>
              <w:t xml:space="preserve">Overall, </w:t>
            </w:r>
            <w:r>
              <w:rPr>
                <w:lang w:val="en-AU"/>
              </w:rPr>
              <w:t xml:space="preserve">the </w:t>
            </w:r>
            <w:r w:rsidRPr="00AE75DC">
              <w:rPr>
                <w:lang w:val="en-AU"/>
              </w:rPr>
              <w:t>unit reflects considerations of equity, inclusiveness and relevance.</w:t>
            </w:r>
          </w:p>
        </w:tc>
        <w:tc>
          <w:tcPr>
            <w:tcW w:w="580" w:type="pct"/>
            <w:vAlign w:val="center"/>
          </w:tcPr>
          <w:p w:rsidR="00E633D4" w:rsidRPr="00645A9D" w:rsidRDefault="00E633D4" w:rsidP="003178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5A9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A9D">
              <w:rPr>
                <w:sz w:val="18"/>
                <w:szCs w:val="18"/>
              </w:rPr>
              <w:instrText xml:space="preserve"> FORMCHECKBOX </w:instrText>
            </w:r>
            <w:r w:rsidR="00991997">
              <w:rPr>
                <w:sz w:val="18"/>
                <w:szCs w:val="18"/>
              </w:rPr>
            </w:r>
            <w:r w:rsidR="00991997">
              <w:rPr>
                <w:sz w:val="18"/>
                <w:szCs w:val="18"/>
              </w:rPr>
              <w:fldChar w:fldCharType="separate"/>
            </w:r>
            <w:r w:rsidRPr="00645A9D">
              <w:rPr>
                <w:sz w:val="18"/>
                <w:szCs w:val="18"/>
              </w:rPr>
              <w:fldChar w:fldCharType="end"/>
            </w:r>
          </w:p>
        </w:tc>
      </w:tr>
      <w:tr w:rsidR="00E633D4" w:rsidRPr="00AE75DC">
        <w:tc>
          <w:tcPr>
            <w:tcW w:w="5000" w:type="pct"/>
            <w:gridSpan w:val="2"/>
            <w:shd w:val="clear" w:color="auto" w:fill="E6E6E6"/>
          </w:tcPr>
          <w:p w:rsidR="00E633D4" w:rsidRPr="00AE75DC" w:rsidRDefault="00E633D4" w:rsidP="00645A9D">
            <w:pPr>
              <w:pStyle w:val="tablesubhead"/>
            </w:pPr>
            <w:r w:rsidRPr="00AE75DC">
              <w:t>Comments or ideas</w:t>
            </w:r>
          </w:p>
        </w:tc>
      </w:tr>
      <w:tr w:rsidR="00E633D4" w:rsidRPr="00AE75DC">
        <w:trPr>
          <w:trHeight w:val="4810"/>
        </w:trPr>
        <w:tc>
          <w:tcPr>
            <w:tcW w:w="5000" w:type="pct"/>
            <w:gridSpan w:val="2"/>
          </w:tcPr>
          <w:p w:rsidR="00E633D4" w:rsidRPr="00AE75DC" w:rsidRDefault="00E633D4" w:rsidP="00645A9D">
            <w:pPr>
              <w:pStyle w:val="tabletext"/>
            </w:pPr>
          </w:p>
        </w:tc>
      </w:tr>
    </w:tbl>
    <w:p w:rsidR="00E633D4" w:rsidRDefault="00E633D4" w:rsidP="00EB4A3B"/>
    <w:p w:rsidR="00E633D4" w:rsidRDefault="00E633D4" w:rsidP="00EB4A3B"/>
    <w:sectPr w:rsidR="00E633D4" w:rsidSect="00B37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851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D4" w:rsidRDefault="00E633D4">
      <w:r>
        <w:separator/>
      </w:r>
    </w:p>
  </w:endnote>
  <w:endnote w:type="continuationSeparator" w:id="0">
    <w:p w:rsidR="00E633D4" w:rsidRDefault="00E6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D4" w:rsidRDefault="00E63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D4" w:rsidRPr="00015911" w:rsidRDefault="00E633D4" w:rsidP="000A66D6">
    <w:pPr>
      <w:pStyle w:val="Titlepagefootertext"/>
      <w:pBdr>
        <w:top w:val="single" w:sz="4" w:space="8" w:color="4C2177"/>
      </w:pBdr>
      <w:spacing w:before="120"/>
      <w:rPr>
        <w:b/>
        <w:color w:val="4C2177"/>
      </w:rPr>
    </w:pPr>
    <w:smartTag w:uri="urn:schemas-microsoft-com:office:smarttags" w:element="State">
      <w:smartTag w:uri="urn:schemas-microsoft-com:office:smarttags" w:element="place">
        <w:r w:rsidRPr="00015911">
          <w:rPr>
            <w:b/>
            <w:color w:val="4C2177"/>
          </w:rPr>
          <w:t>Queensland</w:t>
        </w:r>
      </w:smartTag>
    </w:smartTag>
    <w:r w:rsidRPr="00015911">
      <w:rPr>
        <w:b/>
        <w:color w:val="4C2177"/>
      </w:rPr>
      <w:t xml:space="preserve"> Studies Authority</w:t>
    </w:r>
    <w:r w:rsidRPr="00015911">
      <w:rPr>
        <w:color w:val="4C2177"/>
      </w:rPr>
      <w:t> </w:t>
    </w:r>
    <w:r w:rsidRPr="00015911">
      <w:rPr>
        <w:color w:val="4C2177"/>
      </w:rPr>
      <w:t xml:space="preserve">Ground floor, </w:t>
    </w:r>
    <w:smartTag w:uri="urn:schemas-microsoft-com:office:smarttags" w:element="address">
      <w:smartTag w:uri="urn:schemas-microsoft-com:office:smarttags" w:element="Street">
        <w:r w:rsidRPr="00015911">
          <w:rPr>
            <w:color w:val="4C2177"/>
          </w:rPr>
          <w:t>295 Ann Street</w:t>
        </w:r>
      </w:smartTag>
      <w:r w:rsidRPr="00015911">
        <w:rPr>
          <w:color w:val="4C2177"/>
        </w:rPr>
        <w:t xml:space="preserve">, </w:t>
      </w:r>
      <w:smartTag w:uri="urn:schemas-microsoft-com:office:smarttags" w:element="City">
        <w:r w:rsidRPr="00015911">
          <w:rPr>
            <w:color w:val="4C2177"/>
          </w:rPr>
          <w:t>Brisbane</w:t>
        </w:r>
      </w:smartTag>
    </w:smartTag>
    <w:r w:rsidRPr="00015911">
      <w:rPr>
        <w:color w:val="4C2177"/>
      </w:rPr>
      <w:t>.</w:t>
    </w:r>
    <w:r w:rsidRPr="00015911">
      <w:rPr>
        <w:color w:val="4C2177"/>
      </w:rPr>
      <w:t> </w:t>
    </w:r>
    <w:smartTag w:uri="urn:schemas-microsoft-com:office:smarttags" w:element="address">
      <w:smartTag w:uri="urn:schemas-microsoft-com:office:smarttags" w:element="Street">
        <w:r w:rsidRPr="00015911">
          <w:rPr>
            <w:color w:val="4C2177"/>
          </w:rPr>
          <w:t>PO Box 307</w:t>
        </w:r>
      </w:smartTag>
      <w:r w:rsidRPr="00015911">
        <w:rPr>
          <w:color w:val="4C2177"/>
        </w:rPr>
        <w:t xml:space="preserve">, </w:t>
      </w:r>
      <w:smartTag w:uri="urn:schemas-microsoft-com:office:smarttags" w:element="City">
        <w:r w:rsidRPr="00015911">
          <w:rPr>
            <w:color w:val="4C2177"/>
          </w:rPr>
          <w:t>Spring Hill</w:t>
        </w:r>
      </w:smartTag>
      <w:r w:rsidRPr="00015911">
        <w:rPr>
          <w:color w:val="4C2177"/>
        </w:rPr>
        <w:t> </w:t>
      </w:r>
      <w:smartTag w:uri="urn:schemas-microsoft-com:office:smarttags" w:element="State">
        <w:r w:rsidRPr="00015911">
          <w:rPr>
            <w:color w:val="4C2177"/>
          </w:rPr>
          <w:t>Queensland</w:t>
        </w:r>
      </w:smartTag>
    </w:smartTag>
    <w:r w:rsidRPr="00015911">
      <w:rPr>
        <w:color w:val="4C2177"/>
      </w:rPr>
      <w:t> </w:t>
    </w:r>
    <w:r w:rsidRPr="00015911">
      <w:rPr>
        <w:color w:val="4C2177"/>
      </w:rPr>
      <w:t>4004</w:t>
    </w:r>
    <w:r w:rsidRPr="00015911">
      <w:rPr>
        <w:color w:val="4C2177"/>
      </w:rPr>
      <w:t> </w:t>
    </w:r>
    <w:r w:rsidRPr="00015911">
      <w:rPr>
        <w:color w:val="4C2177"/>
      </w:rPr>
      <w:br/>
    </w:r>
    <w:r w:rsidRPr="00015911">
      <w:rPr>
        <w:color w:val="4C2177"/>
        <w:spacing w:val="-2"/>
      </w:rPr>
      <w:t>Phone: (07) 3864 0299; Fax: (07) 3221 2553; Email: office@qsa.qld.edu.au; Website: www.qsa.qld.edu.au</w:t>
    </w:r>
  </w:p>
  <w:p w:rsidR="00E633D4" w:rsidRPr="000A66D6" w:rsidRDefault="00E633D4" w:rsidP="000A66D6">
    <w:pPr>
      <w:pStyle w:val="Titlepagefootertext"/>
      <w:tabs>
        <w:tab w:val="right" w:pos="9639"/>
      </w:tabs>
      <w:spacing w:before="120"/>
      <w:rPr>
        <w:color w:val="49176D"/>
      </w:rPr>
    </w:pPr>
    <w:r w:rsidRPr="000A66D6">
      <w:rPr>
        <w:color w:val="49176D"/>
      </w:rPr>
      <w:t xml:space="preserve">© The State of </w:t>
    </w:r>
    <w:smartTag w:uri="urn:schemas-microsoft-com:office:smarttags" w:element="place">
      <w:smartTag w:uri="urn:schemas-microsoft-com:office:smarttags" w:element="State">
        <w:r w:rsidRPr="000A66D6">
          <w:rPr>
            <w:color w:val="49176D"/>
          </w:rPr>
          <w:t>Queensland</w:t>
        </w:r>
      </w:smartTag>
    </w:smartTag>
    <w:r w:rsidRPr="000A66D6">
      <w:rPr>
        <w:color w:val="49176D"/>
      </w:rPr>
      <w:t xml:space="preserve"> (Queensland Studies Authority) </w:t>
    </w:r>
    <w:r w:rsidRPr="000A66D6">
      <w:rPr>
        <w:color w:val="49176D"/>
      </w:rPr>
      <w:fldChar w:fldCharType="begin"/>
    </w:r>
    <w:r w:rsidRPr="000A66D6">
      <w:rPr>
        <w:color w:val="49176D"/>
      </w:rPr>
      <w:instrText xml:space="preserve"> DATE  \@ "yyyy"  \* MERGEFORMAT </w:instrText>
    </w:r>
    <w:r w:rsidRPr="000A66D6">
      <w:rPr>
        <w:color w:val="49176D"/>
      </w:rPr>
      <w:fldChar w:fldCharType="separate"/>
    </w:r>
    <w:r w:rsidR="00991997">
      <w:rPr>
        <w:noProof/>
        <w:color w:val="49176D"/>
      </w:rPr>
      <w:t>2017</w:t>
    </w:r>
    <w:r w:rsidRPr="000A66D6">
      <w:rPr>
        <w:color w:val="49176D"/>
      </w:rPr>
      <w:fldChar w:fldCharType="end"/>
    </w:r>
    <w:r w:rsidRPr="000A66D6">
      <w:rPr>
        <w:color w:val="49176D"/>
      </w:rPr>
      <w:br/>
      <w:t xml:space="preserve">Copyright protects this work. Please read the Copyright notice on our website. </w:t>
    </w:r>
    <w:r w:rsidRPr="000A66D6">
      <w:rPr>
        <w:color w:val="49176D"/>
      </w:rPr>
      <w:tab/>
    </w:r>
    <w:r w:rsidRPr="000A66D6">
      <w:rPr>
        <w:b/>
        <w:color w:val="49176D"/>
      </w:rPr>
      <w:t xml:space="preserve">Page </w:t>
    </w:r>
    <w:r w:rsidRPr="000A66D6">
      <w:rPr>
        <w:b/>
        <w:color w:val="49176D"/>
      </w:rPr>
      <w:fldChar w:fldCharType="begin"/>
    </w:r>
    <w:r w:rsidRPr="000A66D6">
      <w:rPr>
        <w:b/>
        <w:color w:val="49176D"/>
      </w:rPr>
      <w:instrText xml:space="preserve"> PAGE </w:instrText>
    </w:r>
    <w:r w:rsidRPr="000A66D6">
      <w:rPr>
        <w:b/>
        <w:color w:val="49176D"/>
      </w:rPr>
      <w:fldChar w:fldCharType="separate"/>
    </w:r>
    <w:r w:rsidR="00991997">
      <w:rPr>
        <w:b/>
        <w:noProof/>
        <w:color w:val="49176D"/>
      </w:rPr>
      <w:t>2</w:t>
    </w:r>
    <w:r w:rsidRPr="000A66D6">
      <w:rPr>
        <w:b/>
        <w:color w:val="49176D"/>
      </w:rPr>
      <w:fldChar w:fldCharType="end"/>
    </w:r>
    <w:r w:rsidRPr="000A66D6">
      <w:rPr>
        <w:b/>
        <w:color w:val="49176D"/>
      </w:rPr>
      <w:t xml:space="preserve"> of </w:t>
    </w:r>
    <w:r w:rsidRPr="000A66D6">
      <w:rPr>
        <w:b/>
        <w:color w:val="49176D"/>
      </w:rPr>
      <w:fldChar w:fldCharType="begin"/>
    </w:r>
    <w:r w:rsidRPr="000A66D6">
      <w:rPr>
        <w:b/>
        <w:color w:val="49176D"/>
      </w:rPr>
      <w:instrText xml:space="preserve"> NUMPAGES </w:instrText>
    </w:r>
    <w:r w:rsidRPr="000A66D6">
      <w:rPr>
        <w:b/>
        <w:color w:val="49176D"/>
      </w:rPr>
      <w:fldChar w:fldCharType="separate"/>
    </w:r>
    <w:r w:rsidR="00991997">
      <w:rPr>
        <w:b/>
        <w:noProof/>
        <w:color w:val="49176D"/>
      </w:rPr>
      <w:t>2</w:t>
    </w:r>
    <w:r w:rsidRPr="000A66D6">
      <w:rPr>
        <w:b/>
        <w:color w:val="49176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D4" w:rsidRDefault="00E63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D4" w:rsidRDefault="00E633D4">
      <w:r>
        <w:separator/>
      </w:r>
    </w:p>
  </w:footnote>
  <w:footnote w:type="continuationSeparator" w:id="0">
    <w:p w:rsidR="00E633D4" w:rsidRDefault="00E6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D4" w:rsidRDefault="00E63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D4" w:rsidRPr="000A66D6" w:rsidRDefault="00991997" w:rsidP="003A3BB3">
    <w:pPr>
      <w:pStyle w:val="Header"/>
      <w:jc w:val="right"/>
      <w:rPr>
        <w:sz w:val="24"/>
        <w:szCs w:val="24"/>
      </w:rPr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36195</wp:posOffset>
          </wp:positionV>
          <wp:extent cx="6124575" cy="200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State">
        <w:r w:rsidR="00E633D4" w:rsidRPr="000A66D6">
          <w:rPr>
            <w:b/>
            <w:bCs/>
            <w:iCs/>
            <w:color w:val="4C2177"/>
            <w:sz w:val="24"/>
            <w:szCs w:val="24"/>
          </w:rPr>
          <w:t>Queensland</w:t>
        </w:r>
      </w:smartTag>
    </w:smartTag>
    <w:r w:rsidR="00E633D4" w:rsidRPr="000A66D6">
      <w:rPr>
        <w:b/>
        <w:bCs/>
        <w:iCs/>
        <w:color w:val="4C2177"/>
        <w:sz w:val="24"/>
        <w:szCs w:val="24"/>
      </w:rPr>
      <w:t xml:space="preserve"> Curriculum, Assessment and Reporting Framework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D4" w:rsidRDefault="00E63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B"/>
    <w:rsid w:val="00015911"/>
    <w:rsid w:val="0002529E"/>
    <w:rsid w:val="0007004D"/>
    <w:rsid w:val="000A66D6"/>
    <w:rsid w:val="000F3511"/>
    <w:rsid w:val="00122696"/>
    <w:rsid w:val="0017136C"/>
    <w:rsid w:val="001D1506"/>
    <w:rsid w:val="001E28FE"/>
    <w:rsid w:val="00206FE1"/>
    <w:rsid w:val="00231164"/>
    <w:rsid w:val="00247789"/>
    <w:rsid w:val="002855F7"/>
    <w:rsid w:val="00296CBC"/>
    <w:rsid w:val="0031250D"/>
    <w:rsid w:val="003178F2"/>
    <w:rsid w:val="00374F6A"/>
    <w:rsid w:val="003A3BB3"/>
    <w:rsid w:val="003C2F68"/>
    <w:rsid w:val="00435025"/>
    <w:rsid w:val="00471EAD"/>
    <w:rsid w:val="004775A5"/>
    <w:rsid w:val="004A7673"/>
    <w:rsid w:val="004C3AE1"/>
    <w:rsid w:val="004C3F42"/>
    <w:rsid w:val="004F0BA1"/>
    <w:rsid w:val="005016FF"/>
    <w:rsid w:val="00540E0D"/>
    <w:rsid w:val="005A69C5"/>
    <w:rsid w:val="005A77D2"/>
    <w:rsid w:val="005C5434"/>
    <w:rsid w:val="005D0DE9"/>
    <w:rsid w:val="00624DE2"/>
    <w:rsid w:val="00643D24"/>
    <w:rsid w:val="00643DE5"/>
    <w:rsid w:val="00645A9D"/>
    <w:rsid w:val="006C53E8"/>
    <w:rsid w:val="006C56B4"/>
    <w:rsid w:val="006D7B24"/>
    <w:rsid w:val="0075342E"/>
    <w:rsid w:val="00793D41"/>
    <w:rsid w:val="007F02CB"/>
    <w:rsid w:val="007F4200"/>
    <w:rsid w:val="00887D6B"/>
    <w:rsid w:val="00895B8B"/>
    <w:rsid w:val="008A06C9"/>
    <w:rsid w:val="009007E5"/>
    <w:rsid w:val="009212F9"/>
    <w:rsid w:val="0093548F"/>
    <w:rsid w:val="00935CE7"/>
    <w:rsid w:val="00941811"/>
    <w:rsid w:val="00991997"/>
    <w:rsid w:val="00A04B20"/>
    <w:rsid w:val="00A86639"/>
    <w:rsid w:val="00A9460C"/>
    <w:rsid w:val="00A95DCA"/>
    <w:rsid w:val="00A96873"/>
    <w:rsid w:val="00AE5725"/>
    <w:rsid w:val="00AE75DC"/>
    <w:rsid w:val="00B33C43"/>
    <w:rsid w:val="00B37251"/>
    <w:rsid w:val="00B42967"/>
    <w:rsid w:val="00C8781A"/>
    <w:rsid w:val="00CB2CF7"/>
    <w:rsid w:val="00D0743F"/>
    <w:rsid w:val="00D17C5E"/>
    <w:rsid w:val="00D830DE"/>
    <w:rsid w:val="00DF2817"/>
    <w:rsid w:val="00E633D4"/>
    <w:rsid w:val="00E75DEA"/>
    <w:rsid w:val="00EB4A3B"/>
    <w:rsid w:val="00EB5C18"/>
    <w:rsid w:val="00EE1F34"/>
    <w:rsid w:val="00F27664"/>
    <w:rsid w:val="00F33BC2"/>
    <w:rsid w:val="00F57EAC"/>
    <w:rsid w:val="00F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docId w15:val="{4BB62B29-4967-4B84-9241-AEB0FF7D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E1F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D5D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EE1F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D5D"/>
    <w:rPr>
      <w:rFonts w:ascii="Arial" w:hAnsi="Arial" w:cs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E75D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5D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D5D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5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D5D"/>
    <w:rPr>
      <w:rFonts w:ascii="Arial" w:hAnsi="Arial" w:cs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5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5D"/>
    <w:rPr>
      <w:rFonts w:cs="Arial"/>
      <w:sz w:val="0"/>
      <w:szCs w:val="0"/>
      <w:lang w:val="en-US" w:eastAsia="en-US"/>
    </w:rPr>
  </w:style>
  <w:style w:type="paragraph" w:customStyle="1" w:styleId="Titlepagefootertext">
    <w:name w:val="Title page footer text"/>
    <w:rsid w:val="000A66D6"/>
    <w:rPr>
      <w:rFonts w:ascii="Arial" w:hAnsi="Arial" w:cs="Arial"/>
      <w:sz w:val="16"/>
      <w:szCs w:val="16"/>
      <w:lang w:eastAsia="en-US"/>
    </w:rPr>
  </w:style>
  <w:style w:type="paragraph" w:customStyle="1" w:styleId="tabletext">
    <w:name w:val="table text"/>
    <w:rsid w:val="00645A9D"/>
    <w:pPr>
      <w:spacing w:before="40" w:after="40"/>
    </w:pPr>
    <w:rPr>
      <w:rFonts w:ascii="Arial" w:hAnsi="Arial" w:cs="Arial"/>
      <w:sz w:val="18"/>
      <w:szCs w:val="18"/>
      <w:lang w:val="en-US" w:eastAsia="en-US"/>
    </w:rPr>
  </w:style>
  <w:style w:type="paragraph" w:customStyle="1" w:styleId="tablesubhead">
    <w:name w:val="table subhead"/>
    <w:basedOn w:val="Normal"/>
    <w:rsid w:val="00645A9D"/>
    <w:pPr>
      <w:spacing w:before="40" w:after="40"/>
    </w:pPr>
    <w:rPr>
      <w:b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5093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Learning Unit planning checklist</vt:lpstr>
    </vt:vector>
  </TitlesOfParts>
  <Company> 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Learning Unit planning checklist</dc:title>
  <dc:subject>Planning with the Essential Learnings</dc:subject>
  <dc:creator>Queensland Studies Authority</dc:creator>
  <cp:keywords/>
  <dc:description/>
  <cp:lastModifiedBy>Queensland Curriculum and Assessment Authority</cp:lastModifiedBy>
  <cp:revision>2</cp:revision>
  <cp:lastPrinted>2009-01-08T04:37:00Z</cp:lastPrinted>
  <dcterms:created xsi:type="dcterms:W3CDTF">2017-06-05T02:58:00Z</dcterms:created>
  <dcterms:modified xsi:type="dcterms:W3CDTF">2017-06-05T02:58:00Z</dcterms:modified>
</cp:coreProperties>
</file>