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  <w:gridCol w:w="5387"/>
        <w:gridCol w:w="5387"/>
      </w:tblGrid>
      <w:tr w:rsidR="00F31CA0" w:rsidRPr="004D0D36" w:rsidTr="00F31CA0">
        <w:trPr>
          <w:gridAfter w:val="3"/>
          <w:wAfter w:w="16160" w:type="dxa"/>
        </w:trPr>
        <w:tc>
          <w:tcPr>
            <w:tcW w:w="5386" w:type="dxa"/>
            <w:shd w:val="clear" w:color="auto" w:fill="FFDB96"/>
          </w:tcPr>
          <w:p w:rsidR="00F31CA0" w:rsidRPr="00BB0045" w:rsidRDefault="00F31CA0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BB0045">
              <w:rPr>
                <w:rFonts w:cs="Arial"/>
                <w:b/>
                <w:color w:val="49176D"/>
                <w:sz w:val="40"/>
                <w:szCs w:val="40"/>
              </w:rPr>
              <w:t>TECHNOLOGY</w:t>
            </w:r>
          </w:p>
        </w:tc>
      </w:tr>
      <w:tr w:rsidR="00426752" w:rsidRPr="004D0D36" w:rsidTr="00F31CA0">
        <w:tc>
          <w:tcPr>
            <w:tcW w:w="5386" w:type="dxa"/>
            <w:shd w:val="clear" w:color="auto" w:fill="EBE8F1"/>
          </w:tcPr>
          <w:p w:rsidR="00426752" w:rsidRPr="001E5B30" w:rsidRDefault="00426752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386" w:type="dxa"/>
            <w:shd w:val="clear" w:color="auto" w:fill="EBE8F1"/>
          </w:tcPr>
          <w:p w:rsidR="00426752" w:rsidRPr="001E5B30" w:rsidRDefault="00426752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426752" w:rsidRPr="001E5B30" w:rsidRDefault="00426752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426752" w:rsidRPr="001E5B30" w:rsidRDefault="00426752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426752" w:rsidRPr="004D0D36" w:rsidTr="00F31CA0">
        <w:trPr>
          <w:trHeight w:val="9575"/>
        </w:trPr>
        <w:tc>
          <w:tcPr>
            <w:tcW w:w="5386" w:type="dxa"/>
          </w:tcPr>
          <w:p w:rsidR="00426752" w:rsidRPr="004D0D36" w:rsidRDefault="00426752" w:rsidP="003B6569">
            <w:r w:rsidRPr="004D0D36">
              <w:t>Students use their imagination and creativity to make sense of the designed world as they</w:t>
            </w:r>
            <w:r>
              <w:t xml:space="preserve"> </w:t>
            </w:r>
            <w:r w:rsidRPr="004D0D36">
              <w:t>investigate products used in everyday situations and identify how these meet needs and wants. They</w:t>
            </w:r>
            <w:r>
              <w:t xml:space="preserve"> </w:t>
            </w:r>
            <w:r w:rsidRPr="004D0D36">
              <w:t>develop an understanding of characteristics of a range of resources (information, materials and/or systems). They gain an awareness of local Australian resources and how these have contributed</w:t>
            </w:r>
            <w:r>
              <w:t xml:space="preserve"> </w:t>
            </w:r>
            <w:r w:rsidRPr="004D0D36">
              <w:t>to technology processes and products, in the past and present. They see the place of technology in</w:t>
            </w:r>
            <w:r>
              <w:t xml:space="preserve"> </w:t>
            </w:r>
            <w:r w:rsidRPr="004D0D36">
              <w:t>people’s work and community lives.</w:t>
            </w:r>
          </w:p>
          <w:p w:rsidR="00426752" w:rsidRPr="004D0D36" w:rsidRDefault="00426752" w:rsidP="003B6569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work technologically, individually and collaboratively to</w:t>
            </w:r>
            <w:r>
              <w:t xml:space="preserve"> </w:t>
            </w:r>
            <w:r w:rsidRPr="004D0D36">
              <w:t>develop creative responses to design situations. They explore the use of technology practice. They</w:t>
            </w:r>
            <w:r>
              <w:t xml:space="preserve"> </w:t>
            </w:r>
            <w:r w:rsidRPr="004D0D36">
              <w:t>suggest and communicate design ideas based on their own experiences and investigations. They</w:t>
            </w:r>
            <w:r>
              <w:t xml:space="preserve"> </w:t>
            </w:r>
            <w:r w:rsidRPr="004D0D36">
              <w:t>manipulate and process resources and consider what has worked well and what could be improved.</w:t>
            </w:r>
            <w:r w:rsidR="0052187D">
              <w:t xml:space="preserve"> </w:t>
            </w:r>
            <w:r w:rsidRPr="004D0D36">
              <w:t>They reflect on their learning and consider the uses and impacts of technology in familiar everyday</w:t>
            </w:r>
            <w:r>
              <w:t xml:space="preserve"> </w:t>
            </w:r>
            <w:r w:rsidRPr="004D0D36">
              <w:t>situations.</w:t>
            </w:r>
          </w:p>
          <w:p w:rsidR="00426752" w:rsidRPr="004D0D36" w:rsidRDefault="00426752" w:rsidP="003B6569">
            <w:r w:rsidRPr="004D0D36">
              <w:t>Students use tools and technologies, including information and communication technologies (ICTs).</w:t>
            </w:r>
            <w:r w:rsidR="004A4B57">
              <w:t xml:space="preserve"> </w:t>
            </w:r>
            <w:r w:rsidRPr="004D0D36">
              <w:t>They explore the use of ICTs to inquire, create and communicate within technology contexts.</w:t>
            </w:r>
          </w:p>
          <w:p w:rsidR="00426752" w:rsidRPr="004D0D36" w:rsidRDefault="00426752" w:rsidP="003B6569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investigating and designing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producing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evaluating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426752" w:rsidRPr="004D0D36" w:rsidRDefault="00426752" w:rsidP="003B6569"/>
        </w:tc>
        <w:tc>
          <w:tcPr>
            <w:tcW w:w="5386" w:type="dxa"/>
          </w:tcPr>
          <w:p w:rsidR="00426752" w:rsidRPr="004D0D36" w:rsidRDefault="00426752" w:rsidP="00426752">
            <w:r w:rsidRPr="004D0D36">
              <w:t>Students explore the designed world and recognise that they can be both users and creators of</w:t>
            </w:r>
            <w:r>
              <w:t xml:space="preserve"> </w:t>
            </w:r>
            <w:r w:rsidRPr="004D0D36">
              <w:t>technology. They identify and understand the characteristics of a range of resources (information,</w:t>
            </w:r>
            <w:r>
              <w:t xml:space="preserve"> </w:t>
            </w:r>
            <w:r w:rsidRPr="004D0D36">
              <w:t>materials and/or systems) and assess their suitability for a specific purpose and context. They</w:t>
            </w:r>
            <w:r>
              <w:t xml:space="preserve"> </w:t>
            </w:r>
            <w:r w:rsidRPr="004D0D36">
              <w:t>investigate the characteristics of Australian resources and their impact on technology products</w:t>
            </w:r>
            <w:r>
              <w:t xml:space="preserve"> </w:t>
            </w:r>
            <w:r w:rsidRPr="004D0D36">
              <w:t>and processes of the past and present. They understand that technology can contribute to many</w:t>
            </w:r>
            <w:r>
              <w:t xml:space="preserve"> </w:t>
            </w:r>
            <w:r w:rsidRPr="004D0D36">
              <w:t>different kinds of activities, including work and leisure. They are aware that people of all ages and</w:t>
            </w:r>
            <w:r>
              <w:t xml:space="preserve"> </w:t>
            </w:r>
            <w:r w:rsidRPr="004D0D36">
              <w:t>backgrounds choose to work in technology-related fields.</w:t>
            </w:r>
          </w:p>
          <w:p w:rsidR="00426752" w:rsidRPr="004D0D36" w:rsidRDefault="00426752" w:rsidP="00426752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technologically by generating,</w:t>
            </w:r>
            <w:r>
              <w:t xml:space="preserve"> </w:t>
            </w:r>
            <w:r w:rsidRPr="004D0D36">
              <w:t>assessing and communicating design ideas and by selecting, manipulating and processing</w:t>
            </w:r>
            <w:r>
              <w:t xml:space="preserve"> </w:t>
            </w:r>
            <w:r w:rsidRPr="004D0D36">
              <w:t>resources, to individually and collaboratively design and make products. They analyse how</w:t>
            </w:r>
            <w:r>
              <w:t xml:space="preserve"> </w:t>
            </w:r>
            <w:r w:rsidRPr="004D0D36">
              <w:t>technology and its products and processes impact on people, their environments and local</w:t>
            </w:r>
            <w:r>
              <w:t xml:space="preserve"> </w:t>
            </w:r>
            <w:r w:rsidRPr="004D0D36">
              <w:t>communities. They reflect on their learning and evaluate products and processes.</w:t>
            </w:r>
          </w:p>
          <w:p w:rsidR="00426752" w:rsidRPr="004D0D36" w:rsidRDefault="00426752" w:rsidP="00426752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use ICTs as an integral component of their learning, to</w:t>
            </w:r>
            <w:r>
              <w:t xml:space="preserve"> </w:t>
            </w:r>
            <w:r w:rsidRPr="004D0D36">
              <w:t>inquire, create and communicate within technology contexts.</w:t>
            </w:r>
          </w:p>
          <w:p w:rsidR="00426752" w:rsidRPr="004D0D36" w:rsidRDefault="00426752" w:rsidP="00426752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investigating and designing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producing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evaluating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426752" w:rsidRPr="004D0D36" w:rsidRDefault="00426752" w:rsidP="00426752"/>
        </w:tc>
        <w:tc>
          <w:tcPr>
            <w:tcW w:w="5387" w:type="dxa"/>
          </w:tcPr>
          <w:p w:rsidR="00426752" w:rsidRPr="004D0D36" w:rsidRDefault="00426752" w:rsidP="003B6569">
            <w:r w:rsidRPr="004D0D36">
              <w:t>Students use their understandings of the relationships between technology and society to consider</w:t>
            </w:r>
            <w:r>
              <w:t xml:space="preserve"> </w:t>
            </w:r>
            <w:r w:rsidRPr="004D0D36">
              <w:t>the roles people play in shaping products and processes. They use their imagination and creativity</w:t>
            </w:r>
            <w:r>
              <w:t xml:space="preserve"> </w:t>
            </w:r>
            <w:r w:rsidRPr="004D0D36">
              <w:t>to investigate and identify needs, wants, design specifications and constraints. They understand</w:t>
            </w:r>
            <w:r>
              <w:t xml:space="preserve"> </w:t>
            </w:r>
            <w:r w:rsidRPr="004D0D36">
              <w:t>the characteristics of a range of resources (information, materials and/or systems) and assess their</w:t>
            </w:r>
            <w:r>
              <w:t xml:space="preserve"> </w:t>
            </w:r>
            <w:r w:rsidRPr="004D0D36">
              <w:t>suitability for a specific purpose and context. They compare and describe the characteristics of</w:t>
            </w:r>
            <w:r>
              <w:t xml:space="preserve"> </w:t>
            </w:r>
            <w:r w:rsidRPr="004D0D36">
              <w:t>Australian and imported resources, investigating their impact on Australian technological processes</w:t>
            </w:r>
            <w:r>
              <w:t xml:space="preserve"> </w:t>
            </w:r>
            <w:r w:rsidRPr="004D0D36">
              <w:t>and products. They investigate design challenges and consider the roles that people play in shaping</w:t>
            </w:r>
            <w:r>
              <w:t xml:space="preserve"> </w:t>
            </w:r>
            <w:r w:rsidRPr="004D0D36">
              <w:t>technologies to meet changing needs and wants and preferred futures. They recognise the many</w:t>
            </w:r>
            <w:r>
              <w:t xml:space="preserve"> </w:t>
            </w:r>
            <w:r w:rsidRPr="004D0D36">
              <w:t>different fields of technology and the people who work in occupations that use technology to design</w:t>
            </w:r>
            <w:r>
              <w:t xml:space="preserve"> </w:t>
            </w:r>
            <w:r w:rsidRPr="004D0D36">
              <w:t>solutions for community needs.</w:t>
            </w:r>
          </w:p>
          <w:p w:rsidR="00426752" w:rsidRPr="004D0D36" w:rsidRDefault="00426752" w:rsidP="003B6569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develop their ability to work</w:t>
            </w:r>
            <w:r>
              <w:t xml:space="preserve"> </w:t>
            </w:r>
            <w:r w:rsidRPr="004D0D36">
              <w:t>technologically by generating, assessing and communicating design ideas and by selecting and</w:t>
            </w:r>
            <w:r>
              <w:t xml:space="preserve"> </w:t>
            </w:r>
            <w:r w:rsidRPr="004D0D36">
              <w:t>using resources, tools and techniques, to design and make products to meet specifications. They</w:t>
            </w:r>
            <w:r>
              <w:t xml:space="preserve"> </w:t>
            </w:r>
            <w:r w:rsidRPr="004D0D36">
              <w:t>analyse and respond to decisions about technology and its impact on people, their environments</w:t>
            </w:r>
            <w:r>
              <w:t xml:space="preserve"> </w:t>
            </w:r>
            <w:r w:rsidRPr="004D0D36">
              <w:t>and their communities. They reflect on their learning and evaluate the suitability of products and</w:t>
            </w:r>
            <w:r>
              <w:t xml:space="preserve"> </w:t>
            </w:r>
            <w:r w:rsidRPr="004D0D36">
              <w:t>processes and recommend improvements.</w:t>
            </w:r>
          </w:p>
          <w:p w:rsidR="00426752" w:rsidRPr="004D0D36" w:rsidRDefault="00426752" w:rsidP="003B6569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make use of the potential that ICTs provide to inquire,</w:t>
            </w:r>
            <w:r>
              <w:t xml:space="preserve"> </w:t>
            </w:r>
            <w:r w:rsidRPr="004D0D36">
              <w:t>create and communicate within technology contexts.</w:t>
            </w:r>
          </w:p>
          <w:p w:rsidR="00426752" w:rsidRPr="004D0D36" w:rsidRDefault="00426752" w:rsidP="003B6569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investigating and designing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producing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evaluating</w:t>
            </w:r>
          </w:p>
          <w:p w:rsidR="00426752" w:rsidRPr="004D0D36" w:rsidRDefault="00426752" w:rsidP="00426752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426752" w:rsidRPr="004D0D36" w:rsidRDefault="00426752" w:rsidP="003B6569"/>
        </w:tc>
        <w:tc>
          <w:tcPr>
            <w:tcW w:w="5387" w:type="dxa"/>
          </w:tcPr>
          <w:p w:rsidR="00426752" w:rsidRPr="004D0D36" w:rsidRDefault="00426752" w:rsidP="003B6569">
            <w:r w:rsidRPr="004D0D36">
              <w:t>Students explore the role of technology in society from a range of perspectives. They use their</w:t>
            </w:r>
            <w:r>
              <w:t xml:space="preserve"> </w:t>
            </w:r>
            <w:r w:rsidRPr="004D0D36">
              <w:t>imagination and creativity to develop design solutions and make design and production decisions</w:t>
            </w:r>
            <w:r>
              <w:t xml:space="preserve"> </w:t>
            </w:r>
            <w:r w:rsidRPr="004D0D36">
              <w:t>that demonstrate consideration of the context, specifications, constraints and management</w:t>
            </w:r>
            <w:r>
              <w:t xml:space="preserve"> </w:t>
            </w:r>
            <w:r w:rsidRPr="004D0D36">
              <w:t>requirements. They understand how information, materials and systems can be combined in</w:t>
            </w:r>
            <w:r>
              <w:t xml:space="preserve"> </w:t>
            </w:r>
            <w:r w:rsidRPr="004D0D36">
              <w:t>innovative ways in response to real-world situations. They understand the importance of matching</w:t>
            </w:r>
            <w:r>
              <w:t xml:space="preserve"> </w:t>
            </w:r>
            <w:r w:rsidRPr="004D0D36">
              <w:t>characteristics of resources to detailed specifications and standards. They investigate the</w:t>
            </w:r>
            <w:r>
              <w:t xml:space="preserve"> </w:t>
            </w:r>
            <w:r w:rsidRPr="004D0D36">
              <w:t>contributions, past and present, of technological processes and products within local, national and</w:t>
            </w:r>
            <w:r>
              <w:t xml:space="preserve"> </w:t>
            </w:r>
            <w:r w:rsidRPr="004D0D36">
              <w:t>global markets. They recognise that technology has a rich history and has developed into a large</w:t>
            </w:r>
            <w:r>
              <w:t xml:space="preserve"> </w:t>
            </w:r>
            <w:r w:rsidRPr="004D0D36">
              <w:t>number of increasingly overlapping fields that provide career opportunities.</w:t>
            </w:r>
          </w:p>
          <w:p w:rsidR="00426752" w:rsidRPr="004D0D36" w:rsidRDefault="00426752" w:rsidP="003B6569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When thinking and working technologically, they individually and</w:t>
            </w:r>
            <w:r>
              <w:t xml:space="preserve"> </w:t>
            </w:r>
            <w:r w:rsidRPr="004D0D36">
              <w:t>collaboratively select tools and implement techniques to manipulate and process, and control</w:t>
            </w:r>
            <w:r>
              <w:t xml:space="preserve"> </w:t>
            </w:r>
            <w:r w:rsidRPr="004D0D36">
              <w:t>and manage, information, materials and/or systems components. They make products to detailed</w:t>
            </w:r>
            <w:r>
              <w:t xml:space="preserve"> </w:t>
            </w:r>
            <w:r w:rsidRPr="004D0D36">
              <w:t>specifications and standards. They analyse the role of technology and its impacts and consequences</w:t>
            </w:r>
            <w:r>
              <w:t xml:space="preserve"> </w:t>
            </w:r>
            <w:r w:rsidRPr="004D0D36">
              <w:t>for people, their environments and their communities in local and global contexts. They reflect on</w:t>
            </w:r>
            <w:r>
              <w:t xml:space="preserve"> </w:t>
            </w:r>
            <w:r w:rsidRPr="004D0D36">
              <w:t>their learning and evaluate the suitability of their own and others’ products and processes and</w:t>
            </w:r>
            <w:r>
              <w:t xml:space="preserve"> </w:t>
            </w:r>
            <w:r w:rsidRPr="004D0D36">
              <w:t>recommend improvements.</w:t>
            </w:r>
          </w:p>
          <w:p w:rsidR="00426752" w:rsidRPr="004D0D36" w:rsidRDefault="00426752" w:rsidP="003B6569">
            <w:r w:rsidRPr="004D0D36">
              <w:t>Students select and use a range of tools and technologies, including information communication</w:t>
            </w:r>
            <w:r>
              <w:t xml:space="preserve"> </w:t>
            </w:r>
            <w:r w:rsidRPr="004D0D36">
              <w:t>technologies (ICTs). They routinely demonstrate an autonomous and purposeful use of ICTs to</w:t>
            </w:r>
            <w:r>
              <w:t xml:space="preserve"> </w:t>
            </w:r>
            <w:r w:rsidRPr="004D0D36">
              <w:t>inquire, create and communicate within technology contexts.</w:t>
            </w:r>
          </w:p>
          <w:p w:rsidR="00426752" w:rsidRPr="004D0D36" w:rsidRDefault="00426752" w:rsidP="003B6569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426752" w:rsidRPr="004D0D36" w:rsidRDefault="00426752" w:rsidP="00426752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426752" w:rsidRPr="004D0D36" w:rsidRDefault="00426752" w:rsidP="00426752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 and designing</w:t>
            </w:r>
          </w:p>
          <w:p w:rsidR="00426752" w:rsidRPr="004D0D36" w:rsidRDefault="00426752" w:rsidP="00426752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producing</w:t>
            </w:r>
          </w:p>
          <w:p w:rsidR="00426752" w:rsidRPr="004D0D36" w:rsidRDefault="00426752" w:rsidP="00426752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evaluating</w:t>
            </w:r>
          </w:p>
          <w:p w:rsidR="00426752" w:rsidRPr="004D0D36" w:rsidRDefault="00426752" w:rsidP="00426752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</w:tc>
      </w:tr>
    </w:tbl>
    <w:p w:rsidR="00206B52" w:rsidRDefault="00206B52" w:rsidP="00BB0045"/>
    <w:sectPr w:rsidR="00206B52" w:rsidSect="00BB0045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A2" w:rsidRDefault="004716A2">
      <w:r>
        <w:separator/>
      </w:r>
    </w:p>
  </w:endnote>
  <w:endnote w:type="continuationSeparator" w:id="0">
    <w:p w:rsidR="004716A2" w:rsidRDefault="004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3D" w:rsidRPr="00400E5C" w:rsidRDefault="00074365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03D" w:rsidRPr="00400E5C">
      <w:rPr>
        <w:b/>
        <w:color w:val="49176D"/>
        <w:sz w:val="22"/>
        <w:szCs w:val="22"/>
      </w:rPr>
      <w:t xml:space="preserve">Page </w:t>
    </w:r>
    <w:r w:rsidR="002E303D" w:rsidRPr="00400E5C">
      <w:rPr>
        <w:b/>
        <w:color w:val="49176D"/>
        <w:sz w:val="22"/>
        <w:szCs w:val="22"/>
      </w:rPr>
      <w:fldChar w:fldCharType="begin"/>
    </w:r>
    <w:r w:rsidR="002E303D" w:rsidRPr="00400E5C">
      <w:rPr>
        <w:b/>
        <w:color w:val="49176D"/>
        <w:sz w:val="22"/>
        <w:szCs w:val="22"/>
      </w:rPr>
      <w:instrText xml:space="preserve"> PAGE </w:instrText>
    </w:r>
    <w:r w:rsidR="002E303D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2E303D" w:rsidRPr="00400E5C">
      <w:rPr>
        <w:b/>
        <w:color w:val="49176D"/>
        <w:sz w:val="22"/>
        <w:szCs w:val="22"/>
      </w:rPr>
      <w:fldChar w:fldCharType="end"/>
    </w:r>
    <w:r w:rsidR="002E303D" w:rsidRPr="00400E5C">
      <w:rPr>
        <w:b/>
        <w:color w:val="49176D"/>
        <w:sz w:val="22"/>
        <w:szCs w:val="22"/>
      </w:rPr>
      <w:t xml:space="preserve"> of </w:t>
    </w:r>
    <w:r w:rsidR="002E303D" w:rsidRPr="00400E5C">
      <w:rPr>
        <w:b/>
        <w:color w:val="49176D"/>
        <w:sz w:val="22"/>
        <w:szCs w:val="22"/>
      </w:rPr>
      <w:fldChar w:fldCharType="begin"/>
    </w:r>
    <w:r w:rsidR="002E303D" w:rsidRPr="00400E5C">
      <w:rPr>
        <w:b/>
        <w:color w:val="49176D"/>
        <w:sz w:val="22"/>
        <w:szCs w:val="22"/>
      </w:rPr>
      <w:instrText xml:space="preserve"> NUMPAGES </w:instrText>
    </w:r>
    <w:r w:rsidR="002E303D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2E303D" w:rsidRPr="00400E5C">
      <w:rPr>
        <w:b/>
        <w:color w:val="49176D"/>
        <w:sz w:val="22"/>
        <w:szCs w:val="22"/>
      </w:rPr>
      <w:fldChar w:fldCharType="end"/>
    </w:r>
  </w:p>
  <w:p w:rsidR="002E303D" w:rsidRPr="0002415D" w:rsidRDefault="002E303D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A2" w:rsidRDefault="004716A2">
      <w:r>
        <w:separator/>
      </w:r>
    </w:p>
  </w:footnote>
  <w:footnote w:type="continuationSeparator" w:id="0">
    <w:p w:rsidR="004716A2" w:rsidRDefault="0047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3D" w:rsidRPr="00400E5C" w:rsidRDefault="002E303D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3D" w:rsidRPr="00400E5C" w:rsidRDefault="002E303D" w:rsidP="00BB0045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2E303D" w:rsidRDefault="002E303D" w:rsidP="00BB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74365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B50EC"/>
    <w:rsid w:val="001E5B30"/>
    <w:rsid w:val="001E6C0A"/>
    <w:rsid w:val="00206B52"/>
    <w:rsid w:val="0022633E"/>
    <w:rsid w:val="002475D1"/>
    <w:rsid w:val="002635D9"/>
    <w:rsid w:val="00265645"/>
    <w:rsid w:val="002B028B"/>
    <w:rsid w:val="002B2929"/>
    <w:rsid w:val="002B4205"/>
    <w:rsid w:val="002B74A1"/>
    <w:rsid w:val="002C0440"/>
    <w:rsid w:val="002C26B9"/>
    <w:rsid w:val="002E303D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716A2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F2CF7"/>
    <w:rsid w:val="00B204FF"/>
    <w:rsid w:val="00B27C14"/>
    <w:rsid w:val="00B43C65"/>
    <w:rsid w:val="00B4543D"/>
    <w:rsid w:val="00B50F3B"/>
    <w:rsid w:val="00B55C2D"/>
    <w:rsid w:val="00B86258"/>
    <w:rsid w:val="00B955AA"/>
    <w:rsid w:val="00BA3635"/>
    <w:rsid w:val="00BB004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1CA0"/>
    <w:rsid w:val="00F377E6"/>
    <w:rsid w:val="00F72F55"/>
    <w:rsid w:val="00F73C3A"/>
    <w:rsid w:val="00F75776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QSA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TECHNOLOGY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2008-04-08T00:50:00Z</cp:lastPrinted>
  <dcterms:created xsi:type="dcterms:W3CDTF">2014-06-18T07:21:00Z</dcterms:created>
  <dcterms:modified xsi:type="dcterms:W3CDTF">2014-06-18T07:21:00Z</dcterms:modified>
</cp:coreProperties>
</file>