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9"/>
        <w:gridCol w:w="5386"/>
        <w:gridCol w:w="5386"/>
      </w:tblGrid>
      <w:tr w:rsidR="00964604" w:rsidRPr="004D0D36" w:rsidTr="00964604">
        <w:trPr>
          <w:gridAfter w:val="2"/>
          <w:wAfter w:w="10772" w:type="dxa"/>
        </w:trPr>
        <w:tc>
          <w:tcPr>
            <w:tcW w:w="10774" w:type="dxa"/>
            <w:gridSpan w:val="2"/>
            <w:shd w:val="clear" w:color="auto" w:fill="FEDCC2"/>
          </w:tcPr>
          <w:p w:rsidR="00964604" w:rsidRPr="00AB143A" w:rsidRDefault="00964604" w:rsidP="003B6569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40"/>
                <w:szCs w:val="40"/>
              </w:rPr>
            </w:pPr>
            <w:bookmarkStart w:id="0" w:name="_GoBack"/>
            <w:bookmarkEnd w:id="0"/>
            <w:r w:rsidRPr="00AB143A">
              <w:rPr>
                <w:rFonts w:cs="Arial"/>
                <w:b/>
                <w:color w:val="49176D"/>
                <w:sz w:val="40"/>
                <w:szCs w:val="40"/>
              </w:rPr>
              <w:t>STUDIES OF SOCIETY &amp; ENVIRONMENT (SOSE)</w:t>
            </w:r>
          </w:p>
        </w:tc>
      </w:tr>
      <w:tr w:rsidR="000F368E" w:rsidRPr="004D0D36" w:rsidTr="00964604">
        <w:tc>
          <w:tcPr>
            <w:tcW w:w="5385" w:type="dxa"/>
            <w:shd w:val="clear" w:color="auto" w:fill="EBE8F1"/>
          </w:tcPr>
          <w:p w:rsidR="000F368E" w:rsidRPr="001E5B30" w:rsidRDefault="000F368E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3</w:t>
            </w:r>
          </w:p>
        </w:tc>
        <w:tc>
          <w:tcPr>
            <w:tcW w:w="5389" w:type="dxa"/>
            <w:shd w:val="clear" w:color="auto" w:fill="EBE8F1"/>
          </w:tcPr>
          <w:p w:rsidR="000F368E" w:rsidRPr="001E5B30" w:rsidRDefault="000F368E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5</w:t>
            </w:r>
          </w:p>
        </w:tc>
        <w:tc>
          <w:tcPr>
            <w:tcW w:w="5386" w:type="dxa"/>
            <w:shd w:val="clear" w:color="auto" w:fill="EBE8F1"/>
          </w:tcPr>
          <w:p w:rsidR="000F368E" w:rsidRPr="001E5B30" w:rsidRDefault="000F368E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7</w:t>
            </w:r>
          </w:p>
        </w:tc>
        <w:tc>
          <w:tcPr>
            <w:tcW w:w="5386" w:type="dxa"/>
            <w:shd w:val="clear" w:color="auto" w:fill="EBE8F1"/>
          </w:tcPr>
          <w:p w:rsidR="000F368E" w:rsidRPr="001E5B30" w:rsidRDefault="000F368E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9</w:t>
            </w:r>
          </w:p>
        </w:tc>
      </w:tr>
      <w:tr w:rsidR="000F368E" w:rsidRPr="004D0D36" w:rsidTr="00964604">
        <w:trPr>
          <w:trHeight w:val="9575"/>
        </w:trPr>
        <w:tc>
          <w:tcPr>
            <w:tcW w:w="5385" w:type="dxa"/>
          </w:tcPr>
          <w:p w:rsidR="000F368E" w:rsidRPr="004D0D36" w:rsidRDefault="000F368E" w:rsidP="000F368E">
            <w:r w:rsidRPr="004D0D36">
              <w:t>Students use their fascination with people and places to make sense of their world. They investigate</w:t>
            </w:r>
            <w:r>
              <w:t xml:space="preserve"> </w:t>
            </w:r>
            <w:r w:rsidRPr="004D0D36">
              <w:t>societies and environments and develop an understanding of their relationships with other people</w:t>
            </w:r>
            <w:r>
              <w:t xml:space="preserve"> </w:t>
            </w:r>
            <w:r w:rsidRPr="004D0D36">
              <w:t>and places. They identify values in everyday situations and local contexts. They see the place of</w:t>
            </w:r>
            <w:r>
              <w:t xml:space="preserve"> </w:t>
            </w:r>
            <w:r w:rsidRPr="004D0D36">
              <w:t>social and environmental inquiry in people’s work and community lives.</w:t>
            </w:r>
          </w:p>
          <w:p w:rsidR="000F368E" w:rsidRPr="004D0D36" w:rsidRDefault="000F368E" w:rsidP="000F368E">
            <w:r w:rsidRPr="004D0D36">
              <w:t>Students gain awareness of the history and diversity of lifestyles of Aboriginal people and Torres</w:t>
            </w:r>
            <w:r>
              <w:t xml:space="preserve"> </w:t>
            </w:r>
            <w:r w:rsidRPr="004D0D36">
              <w:t xml:space="preserve">Strait Islander people throughout </w:t>
            </w:r>
            <w:smartTag w:uri="urn:schemas-microsoft-com:office:smarttags" w:element="place">
              <w:smartTag w:uri="urn:schemas-microsoft-com:office:smarttags" w:element="country-region">
                <w:r w:rsidRPr="004D0D36">
                  <w:t>Australia</w:t>
                </w:r>
              </w:smartTag>
            </w:smartTag>
            <w:r w:rsidRPr="004D0D36">
              <w:t>.</w:t>
            </w:r>
          </w:p>
          <w:p w:rsidR="000F368E" w:rsidRPr="004D0D36" w:rsidRDefault="000F368E" w:rsidP="000F368E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develop the ability to use inquiry processes to build</w:t>
            </w:r>
            <w:r>
              <w:t xml:space="preserve"> </w:t>
            </w:r>
            <w:r w:rsidRPr="004D0D36">
              <w:t>understandings and make connections to their world. They communicate and share ideas using</w:t>
            </w:r>
            <w:r>
              <w:t xml:space="preserve"> </w:t>
            </w:r>
            <w:r w:rsidRPr="004D0D36">
              <w:t>texts and terminology associated with social and environmental studies, and they individually and</w:t>
            </w:r>
            <w:r>
              <w:t xml:space="preserve"> </w:t>
            </w:r>
            <w:r w:rsidRPr="004D0D36">
              <w:t>collaboratively use strategies to respond to community issues. They reflect on their learning and on</w:t>
            </w:r>
            <w:r>
              <w:t xml:space="preserve"> </w:t>
            </w:r>
            <w:r w:rsidRPr="004D0D36">
              <w:t>their values in everyday situations.</w:t>
            </w:r>
          </w:p>
          <w:p w:rsidR="000F368E" w:rsidRPr="004D0D36" w:rsidRDefault="000F368E" w:rsidP="000F368E">
            <w:r w:rsidRPr="004D0D36">
              <w:t>Students use tools and technologies, including information and communication technologies (ICTs).</w:t>
            </w:r>
            <w:r w:rsidR="0019040E">
              <w:t xml:space="preserve"> </w:t>
            </w:r>
            <w:r w:rsidRPr="004D0D36">
              <w:t>They explore the use of ICTs to inquire, create and communicate within social and environmental</w:t>
            </w:r>
            <w:r>
              <w:t xml:space="preserve"> </w:t>
            </w:r>
            <w:r w:rsidRPr="004D0D36">
              <w:t>contexts.</w:t>
            </w:r>
          </w:p>
          <w:p w:rsidR="000F368E" w:rsidRPr="004D0D36" w:rsidRDefault="000F368E" w:rsidP="000F368E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0F368E" w:rsidRPr="004D0D36" w:rsidRDefault="000F368E" w:rsidP="000F368E">
            <w:pPr>
              <w:pStyle w:val="bulletlevel1"/>
              <w:rPr>
                <w:szCs w:val="20"/>
              </w:rPr>
            </w:pPr>
            <w:r w:rsidRPr="004D0D36">
              <w:rPr>
                <w:szCs w:val="20"/>
              </w:rPr>
              <w:t xml:space="preserve">• </w:t>
            </w:r>
            <w:r>
              <w:rPr>
                <w:szCs w:val="20"/>
              </w:rPr>
              <w:tab/>
            </w:r>
            <w:r w:rsidRPr="004D0D36">
              <w:rPr>
                <w:szCs w:val="20"/>
              </w:rPr>
              <w:t>knowledge and understanding</w:t>
            </w:r>
          </w:p>
          <w:p w:rsidR="000F368E" w:rsidRPr="004D0D36" w:rsidRDefault="000F368E" w:rsidP="000F368E">
            <w:pPr>
              <w:pStyle w:val="bulletlevel1"/>
              <w:rPr>
                <w:szCs w:val="20"/>
              </w:rPr>
            </w:pPr>
            <w:r w:rsidRPr="004D0D36">
              <w:rPr>
                <w:szCs w:val="20"/>
              </w:rPr>
              <w:t xml:space="preserve">• </w:t>
            </w:r>
            <w:r>
              <w:rPr>
                <w:szCs w:val="20"/>
              </w:rPr>
              <w:tab/>
            </w:r>
            <w:r w:rsidRPr="004D0D36">
              <w:rPr>
                <w:szCs w:val="20"/>
              </w:rPr>
              <w:t>investigating</w:t>
            </w:r>
          </w:p>
          <w:p w:rsidR="000F368E" w:rsidRPr="004D0D36" w:rsidRDefault="000F368E" w:rsidP="000F368E">
            <w:pPr>
              <w:pStyle w:val="bulletlevel1"/>
              <w:rPr>
                <w:szCs w:val="20"/>
              </w:rPr>
            </w:pPr>
            <w:r w:rsidRPr="004D0D36">
              <w:rPr>
                <w:szCs w:val="20"/>
              </w:rPr>
              <w:t xml:space="preserve">• </w:t>
            </w:r>
            <w:r>
              <w:rPr>
                <w:szCs w:val="20"/>
              </w:rPr>
              <w:tab/>
            </w:r>
            <w:r w:rsidRPr="004D0D36">
              <w:rPr>
                <w:szCs w:val="20"/>
              </w:rPr>
              <w:t>communicating</w:t>
            </w:r>
          </w:p>
          <w:p w:rsidR="000F368E" w:rsidRPr="004D0D36" w:rsidRDefault="000F368E" w:rsidP="000F368E">
            <w:pPr>
              <w:pStyle w:val="bulletlevel1"/>
              <w:rPr>
                <w:szCs w:val="20"/>
              </w:rPr>
            </w:pPr>
            <w:r w:rsidRPr="004D0D36">
              <w:rPr>
                <w:szCs w:val="20"/>
              </w:rPr>
              <w:t xml:space="preserve">• </w:t>
            </w:r>
            <w:r>
              <w:rPr>
                <w:szCs w:val="20"/>
              </w:rPr>
              <w:tab/>
            </w:r>
            <w:r w:rsidRPr="004D0D36">
              <w:rPr>
                <w:szCs w:val="20"/>
              </w:rPr>
              <w:t>participating</w:t>
            </w:r>
          </w:p>
          <w:p w:rsidR="000F368E" w:rsidRPr="004D0D36" w:rsidRDefault="000F368E" w:rsidP="000F368E">
            <w:pPr>
              <w:pStyle w:val="bulletlevel1"/>
              <w:rPr>
                <w:szCs w:val="20"/>
              </w:rPr>
            </w:pPr>
            <w:r w:rsidRPr="004D0D36">
              <w:rPr>
                <w:szCs w:val="20"/>
              </w:rPr>
              <w:t xml:space="preserve">• </w:t>
            </w:r>
            <w:r>
              <w:rPr>
                <w:szCs w:val="20"/>
              </w:rPr>
              <w:tab/>
            </w:r>
            <w:r w:rsidRPr="004D0D36">
              <w:rPr>
                <w:szCs w:val="20"/>
              </w:rPr>
              <w:t>reflecting.</w:t>
            </w:r>
          </w:p>
          <w:p w:rsidR="000F368E" w:rsidRPr="004D0D36" w:rsidRDefault="000F368E" w:rsidP="000F368E"/>
        </w:tc>
        <w:tc>
          <w:tcPr>
            <w:tcW w:w="5389" w:type="dxa"/>
          </w:tcPr>
          <w:p w:rsidR="000F368E" w:rsidRPr="004D0D36" w:rsidRDefault="000F368E" w:rsidP="000F368E">
            <w:r w:rsidRPr="004D0D36">
              <w:t>Students use their experiences of people, places, systems and environments to make connections</w:t>
            </w:r>
            <w:r>
              <w:t xml:space="preserve"> </w:t>
            </w:r>
            <w:r w:rsidRPr="004D0D36">
              <w:t>to their own experiences. They develop awareness of relationships between people, and between</w:t>
            </w:r>
            <w:r>
              <w:t xml:space="preserve"> </w:t>
            </w:r>
            <w:r w:rsidRPr="004D0D36">
              <w:t>people and places. They identify social and environmental values in local and national contexts, and</w:t>
            </w:r>
            <w:r>
              <w:t xml:space="preserve"> </w:t>
            </w:r>
            <w:r w:rsidRPr="004D0D36">
              <w:t>develop their capacity to participate and work effectively in their communities.</w:t>
            </w:r>
          </w:p>
          <w:p w:rsidR="000F368E" w:rsidRPr="004D0D36" w:rsidRDefault="000F368E" w:rsidP="000F368E">
            <w:r w:rsidRPr="004D0D36">
              <w:t>Students recognise the ways in which Aboriginal people and Torres Strait Islander people are</w:t>
            </w:r>
            <w:r>
              <w:t xml:space="preserve"> </w:t>
            </w:r>
            <w:r w:rsidRPr="004D0D36">
              <w:t>distinctive and are connected to other people and to specific places over time.</w:t>
            </w:r>
          </w:p>
          <w:p w:rsidR="000F368E" w:rsidRPr="004D0D36" w:rsidRDefault="000F368E" w:rsidP="000F368E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use inquiry processes to apply their understandings in</w:t>
            </w:r>
            <w:r>
              <w:t xml:space="preserve"> </w:t>
            </w:r>
            <w:r w:rsidRPr="004D0D36">
              <w:t>familiar and unfamiliar contexts. They communicate using different types of texts to share ideas and</w:t>
            </w:r>
            <w:r>
              <w:t xml:space="preserve"> </w:t>
            </w:r>
            <w:r w:rsidRPr="004D0D36">
              <w:t>findings, and they individually and collaboratively plan strategies to take action that contribute to</w:t>
            </w:r>
            <w:r>
              <w:t xml:space="preserve"> </w:t>
            </w:r>
            <w:r w:rsidRPr="004D0D36">
              <w:t>their communities. They reflect on their learning and recognise the values evident in investigations.</w:t>
            </w:r>
          </w:p>
          <w:p w:rsidR="000F368E" w:rsidRPr="004D0D36" w:rsidRDefault="000F368E" w:rsidP="000F368E">
            <w:r w:rsidRPr="004D0D36">
              <w:t>Students select and use tools and technologies, including information and communication</w:t>
            </w:r>
            <w:r>
              <w:t xml:space="preserve"> </w:t>
            </w:r>
            <w:r w:rsidRPr="004D0D36">
              <w:t>technologies (ICTs), in purposeful ways. They use ICTs as an integral component of their learning, to</w:t>
            </w:r>
            <w:r>
              <w:t xml:space="preserve"> </w:t>
            </w:r>
            <w:r w:rsidRPr="004D0D36">
              <w:t>inquire, create and communicate within social and environmental contexts.</w:t>
            </w:r>
          </w:p>
          <w:p w:rsidR="000F368E" w:rsidRPr="004D0D36" w:rsidRDefault="000F368E" w:rsidP="000F368E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0F368E" w:rsidRPr="004D0D36" w:rsidRDefault="000F368E" w:rsidP="000F368E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knowledge and understanding</w:t>
            </w:r>
          </w:p>
          <w:p w:rsidR="000F368E" w:rsidRPr="004D0D36" w:rsidRDefault="000F368E" w:rsidP="000F368E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investigating</w:t>
            </w:r>
          </w:p>
          <w:p w:rsidR="000F368E" w:rsidRPr="004D0D36" w:rsidRDefault="000F368E" w:rsidP="000F368E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communicating</w:t>
            </w:r>
          </w:p>
          <w:p w:rsidR="000F368E" w:rsidRPr="004D0D36" w:rsidRDefault="000F368E" w:rsidP="000F368E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participating</w:t>
            </w:r>
          </w:p>
          <w:p w:rsidR="000F368E" w:rsidRPr="004D0D36" w:rsidRDefault="000F368E" w:rsidP="000F368E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reflecting.</w:t>
            </w:r>
          </w:p>
          <w:p w:rsidR="000F368E" w:rsidRPr="004D0D36" w:rsidRDefault="000F368E" w:rsidP="000F368E"/>
        </w:tc>
        <w:tc>
          <w:tcPr>
            <w:tcW w:w="5386" w:type="dxa"/>
          </w:tcPr>
          <w:p w:rsidR="000F368E" w:rsidRPr="004D0D36" w:rsidRDefault="000F368E" w:rsidP="000F368E">
            <w:r w:rsidRPr="004D0D36">
              <w:t>Students use their knowledge of societies and environments to investigate ideas, events, places,</w:t>
            </w:r>
            <w:r>
              <w:t xml:space="preserve"> </w:t>
            </w:r>
            <w:r w:rsidRPr="004D0D36">
              <w:t>cultures and systems and make connections to their own experiences. They identify social and</w:t>
            </w:r>
            <w:r>
              <w:t xml:space="preserve"> </w:t>
            </w:r>
            <w:r w:rsidRPr="004D0D36">
              <w:t>environmental values and ethical positions in local, national and global contexts. They develop</w:t>
            </w:r>
            <w:r>
              <w:t xml:space="preserve"> </w:t>
            </w:r>
            <w:r w:rsidRPr="004D0D36">
              <w:t>the capacity for appropriate responses to address problems and issues in their communities, and</w:t>
            </w:r>
            <w:r>
              <w:t xml:space="preserve"> </w:t>
            </w:r>
            <w:r w:rsidRPr="004D0D36">
              <w:t>recognise the applications of these processes to meet community needs.</w:t>
            </w:r>
          </w:p>
          <w:p w:rsidR="000F368E" w:rsidRPr="004D0D36" w:rsidRDefault="000F368E" w:rsidP="000F368E">
            <w:r w:rsidRPr="004D0D36">
              <w:t>Students consider their own opinions, experiences and understandings to develop respect for and to</w:t>
            </w:r>
            <w:r>
              <w:t xml:space="preserve"> </w:t>
            </w:r>
            <w:r w:rsidRPr="004D0D36">
              <w:t>value Aboriginal people and cultures and Torres Strait Islander people and cultures.</w:t>
            </w:r>
          </w:p>
          <w:p w:rsidR="000F368E" w:rsidRPr="004D0D36" w:rsidRDefault="000F368E" w:rsidP="000F368E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</w:t>
            </w:r>
            <w:r>
              <w:t xml:space="preserve"> </w:t>
            </w:r>
            <w:r w:rsidRPr="004D0D36">
              <w:t xml:space="preserve">their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use inquiry processes and models to apply their</w:t>
            </w:r>
            <w:r>
              <w:t xml:space="preserve"> </w:t>
            </w:r>
            <w:r w:rsidRPr="004D0D36">
              <w:t>understandings of social and environmental topics and issues in a range of contexts. They</w:t>
            </w:r>
            <w:r>
              <w:t xml:space="preserve"> </w:t>
            </w:r>
            <w:r w:rsidRPr="004D0D36">
              <w:t>communicate using texts designed for different audiences and social purposes, and they individually</w:t>
            </w:r>
            <w:r>
              <w:t xml:space="preserve"> </w:t>
            </w:r>
            <w:r w:rsidRPr="004D0D36">
              <w:t>and collaboratively plan and apply strategies for participating, both individually and collaboratively,</w:t>
            </w:r>
            <w:r>
              <w:t xml:space="preserve"> </w:t>
            </w:r>
            <w:r w:rsidRPr="004D0D36">
              <w:t>in representative groups. They reflect on their learning and investigations to clarify values and</w:t>
            </w:r>
            <w:r>
              <w:t xml:space="preserve"> </w:t>
            </w:r>
            <w:r w:rsidRPr="004D0D36">
              <w:t>beliefs.</w:t>
            </w:r>
          </w:p>
          <w:p w:rsidR="000F368E" w:rsidRPr="004D0D36" w:rsidRDefault="000F368E" w:rsidP="000F368E">
            <w:r w:rsidRPr="004D0D36">
              <w:t>Students select and use tools and technologies, including information and communication</w:t>
            </w:r>
            <w:r>
              <w:t xml:space="preserve"> </w:t>
            </w:r>
            <w:r w:rsidRPr="004D0D36">
              <w:t>technologies (ICTs), in purposeful ways. They make use of the potential that ICTs provide to inquire,</w:t>
            </w:r>
            <w:r>
              <w:t xml:space="preserve"> </w:t>
            </w:r>
            <w:r w:rsidRPr="004D0D36">
              <w:t>create and communicate within social and environmental contexts.</w:t>
            </w:r>
          </w:p>
          <w:p w:rsidR="000F368E" w:rsidRPr="004D0D36" w:rsidRDefault="000F368E" w:rsidP="000F368E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0F368E" w:rsidRPr="004D0D36" w:rsidRDefault="000F368E" w:rsidP="000F368E">
            <w:pPr>
              <w:pStyle w:val="bulletlevel1"/>
            </w:pPr>
            <w:r w:rsidRPr="004D0D36">
              <w:t>•</w:t>
            </w:r>
            <w:r>
              <w:tab/>
            </w:r>
            <w:r w:rsidRPr="004D0D36">
              <w:t>knowledge and understanding</w:t>
            </w:r>
          </w:p>
          <w:p w:rsidR="000F368E" w:rsidRPr="004D0D36" w:rsidRDefault="000F368E" w:rsidP="000F368E">
            <w:pPr>
              <w:pStyle w:val="bulletlevel1"/>
            </w:pPr>
            <w:r>
              <w:t>•</w:t>
            </w:r>
            <w:r>
              <w:tab/>
            </w:r>
            <w:r w:rsidRPr="004D0D36">
              <w:t>investigating</w:t>
            </w:r>
          </w:p>
          <w:p w:rsidR="000F368E" w:rsidRPr="004D0D36" w:rsidRDefault="000F368E" w:rsidP="000F368E">
            <w:pPr>
              <w:pStyle w:val="bulletlevel1"/>
            </w:pPr>
            <w:r>
              <w:t>•</w:t>
            </w:r>
            <w:r>
              <w:tab/>
            </w:r>
            <w:r w:rsidRPr="004D0D36">
              <w:t>communicating</w:t>
            </w:r>
          </w:p>
          <w:p w:rsidR="000F368E" w:rsidRPr="004D0D36" w:rsidRDefault="000F368E" w:rsidP="000F368E">
            <w:pPr>
              <w:pStyle w:val="bulletlevel1"/>
            </w:pPr>
            <w:r>
              <w:t>•</w:t>
            </w:r>
            <w:r>
              <w:tab/>
            </w:r>
            <w:r w:rsidRPr="004D0D36">
              <w:t>participating</w:t>
            </w:r>
          </w:p>
          <w:p w:rsidR="000F368E" w:rsidRPr="004D0D36" w:rsidRDefault="000F368E" w:rsidP="000F368E">
            <w:pPr>
              <w:pStyle w:val="bulletlevel1"/>
            </w:pPr>
            <w:r>
              <w:t>•</w:t>
            </w:r>
            <w:r>
              <w:tab/>
            </w:r>
            <w:r w:rsidRPr="004D0D36">
              <w:t>reflecting.</w:t>
            </w:r>
          </w:p>
          <w:p w:rsidR="000F368E" w:rsidRPr="004D0D36" w:rsidRDefault="000F368E" w:rsidP="000F368E"/>
        </w:tc>
        <w:tc>
          <w:tcPr>
            <w:tcW w:w="5386" w:type="dxa"/>
          </w:tcPr>
          <w:p w:rsidR="000F368E" w:rsidRPr="004D0D36" w:rsidRDefault="000F368E" w:rsidP="000F368E">
            <w:r w:rsidRPr="004D0D36">
              <w:t>Students use their knowledge about the complex interactions between people, and between people</w:t>
            </w:r>
            <w:r>
              <w:t xml:space="preserve"> </w:t>
            </w:r>
            <w:r w:rsidRPr="004D0D36">
              <w:t>and their environments, to investigate social, political, economic, environmental and cultural ideas</w:t>
            </w:r>
            <w:r>
              <w:t xml:space="preserve"> </w:t>
            </w:r>
            <w:r w:rsidRPr="004D0D36">
              <w:t>and issues. They clarify their personal values and acknowledge others’ values and world views in a</w:t>
            </w:r>
            <w:r>
              <w:t xml:space="preserve"> </w:t>
            </w:r>
            <w:r w:rsidRPr="004D0D36">
              <w:t>range of contexts and settings. They develop their capacity for effective community participation and</w:t>
            </w:r>
            <w:r>
              <w:t xml:space="preserve"> </w:t>
            </w:r>
            <w:r w:rsidRPr="004D0D36">
              <w:t>meaningful responses to social and environmental issues.</w:t>
            </w:r>
          </w:p>
          <w:p w:rsidR="000F368E" w:rsidRPr="004D0D36" w:rsidRDefault="000F368E" w:rsidP="000F368E">
            <w:r w:rsidRPr="004D0D36">
              <w:t>Students understand the world views of Aboriginal people and Torres Strait Islander people and their</w:t>
            </w:r>
            <w:r>
              <w:t xml:space="preserve"> </w:t>
            </w:r>
            <w:r w:rsidRPr="004D0D36">
              <w:t>connections to places and other groups, and apply this understanding to their own connections to</w:t>
            </w:r>
            <w:r>
              <w:t xml:space="preserve"> </w:t>
            </w:r>
            <w:r w:rsidRPr="004D0D36">
              <w:t>people and places.</w:t>
            </w:r>
          </w:p>
          <w:p w:rsidR="000F368E" w:rsidRPr="004D0D36" w:rsidRDefault="000F368E" w:rsidP="000F368E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understand the importance of inquiry and major social and</w:t>
            </w:r>
            <w:r>
              <w:t xml:space="preserve"> </w:t>
            </w:r>
            <w:r w:rsidRPr="004D0D36">
              <w:t>environmental ideas for investigating issues in contexts that range from local to global settings.</w:t>
            </w:r>
            <w:r w:rsidR="0052187D">
              <w:t xml:space="preserve"> </w:t>
            </w:r>
            <w:r w:rsidRPr="004D0D36">
              <w:t>They communicate using different types of texts for specific audiences and purposes. They actively</w:t>
            </w:r>
            <w:r>
              <w:t xml:space="preserve"> </w:t>
            </w:r>
            <w:r w:rsidRPr="004D0D36">
              <w:t>participate, both individually and collaboratively, in their communities in enterprising and creative</w:t>
            </w:r>
            <w:r>
              <w:t xml:space="preserve"> </w:t>
            </w:r>
            <w:r w:rsidRPr="004D0D36">
              <w:t>ways to respond to issues. They reflect on their learning and investigations to make judgments</w:t>
            </w:r>
            <w:r>
              <w:t xml:space="preserve"> </w:t>
            </w:r>
            <w:r w:rsidRPr="004D0D36">
              <w:t>about different values and perspectives.</w:t>
            </w:r>
          </w:p>
          <w:p w:rsidR="000F368E" w:rsidRPr="004D0D36" w:rsidRDefault="000F368E" w:rsidP="000F368E">
            <w:r w:rsidRPr="004D0D36">
              <w:t>Students select and use tools and technologies, including information and communication</w:t>
            </w:r>
            <w:r>
              <w:t xml:space="preserve"> </w:t>
            </w:r>
            <w:r w:rsidRPr="004D0D36">
              <w:t>technologies (ICTs). They routinely demonstrate an autonomous and purposeful use of ICTs to</w:t>
            </w:r>
            <w:r>
              <w:t xml:space="preserve"> </w:t>
            </w:r>
            <w:r w:rsidRPr="004D0D36">
              <w:t>inquire, create and communicate within social and environmental contexts.</w:t>
            </w:r>
          </w:p>
          <w:p w:rsidR="000F368E" w:rsidRPr="004D0D36" w:rsidRDefault="000F368E" w:rsidP="000F368E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0F368E" w:rsidRPr="004D0D36" w:rsidRDefault="000F368E" w:rsidP="000F368E">
            <w:pPr>
              <w:pStyle w:val="bulletlevel1"/>
            </w:pPr>
            <w:r w:rsidRPr="004D0D36">
              <w:t>•</w:t>
            </w:r>
            <w:r>
              <w:tab/>
            </w:r>
            <w:r w:rsidRPr="004D0D36">
              <w:t>knowledge and understanding</w:t>
            </w:r>
          </w:p>
          <w:p w:rsidR="000F368E" w:rsidRPr="004D0D36" w:rsidRDefault="000F368E" w:rsidP="000F368E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investigating</w:t>
            </w:r>
          </w:p>
          <w:p w:rsidR="000F368E" w:rsidRPr="004D0D36" w:rsidRDefault="000F368E" w:rsidP="000F368E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communicating</w:t>
            </w:r>
          </w:p>
          <w:p w:rsidR="000F368E" w:rsidRPr="004D0D36" w:rsidRDefault="000F368E" w:rsidP="000F368E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participating</w:t>
            </w:r>
          </w:p>
          <w:p w:rsidR="000F368E" w:rsidRPr="004D0D36" w:rsidRDefault="000F368E" w:rsidP="000F368E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reflecting.</w:t>
            </w:r>
          </w:p>
          <w:p w:rsidR="000F368E" w:rsidRPr="004D0D36" w:rsidRDefault="000F368E" w:rsidP="000F368E"/>
        </w:tc>
      </w:tr>
    </w:tbl>
    <w:p w:rsidR="00206B52" w:rsidRDefault="00206B52" w:rsidP="00AB143A"/>
    <w:sectPr w:rsidR="00206B52" w:rsidSect="00AB143A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B3" w:rsidRDefault="00D154B3">
      <w:r>
        <w:separator/>
      </w:r>
    </w:p>
  </w:endnote>
  <w:endnote w:type="continuationSeparator" w:id="0">
    <w:p w:rsidR="00D154B3" w:rsidRDefault="00D1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6C" w:rsidRPr="00400E5C" w:rsidRDefault="007A4036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16C" w:rsidRPr="00400E5C">
      <w:rPr>
        <w:b/>
        <w:color w:val="49176D"/>
        <w:sz w:val="22"/>
        <w:szCs w:val="22"/>
      </w:rPr>
      <w:t xml:space="preserve">Page </w:t>
    </w:r>
    <w:r w:rsidR="0000216C" w:rsidRPr="00400E5C">
      <w:rPr>
        <w:b/>
        <w:color w:val="49176D"/>
        <w:sz w:val="22"/>
        <w:szCs w:val="22"/>
      </w:rPr>
      <w:fldChar w:fldCharType="begin"/>
    </w:r>
    <w:r w:rsidR="0000216C" w:rsidRPr="00400E5C">
      <w:rPr>
        <w:b/>
        <w:color w:val="49176D"/>
        <w:sz w:val="22"/>
        <w:szCs w:val="22"/>
      </w:rPr>
      <w:instrText xml:space="preserve"> PAGE </w:instrText>
    </w:r>
    <w:r w:rsidR="0000216C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00216C" w:rsidRPr="00400E5C">
      <w:rPr>
        <w:b/>
        <w:color w:val="49176D"/>
        <w:sz w:val="22"/>
        <w:szCs w:val="22"/>
      </w:rPr>
      <w:fldChar w:fldCharType="end"/>
    </w:r>
    <w:r w:rsidR="0000216C" w:rsidRPr="00400E5C">
      <w:rPr>
        <w:b/>
        <w:color w:val="49176D"/>
        <w:sz w:val="22"/>
        <w:szCs w:val="22"/>
      </w:rPr>
      <w:t xml:space="preserve"> of </w:t>
    </w:r>
    <w:r w:rsidR="0000216C" w:rsidRPr="00400E5C">
      <w:rPr>
        <w:b/>
        <w:color w:val="49176D"/>
        <w:sz w:val="22"/>
        <w:szCs w:val="22"/>
      </w:rPr>
      <w:fldChar w:fldCharType="begin"/>
    </w:r>
    <w:r w:rsidR="0000216C" w:rsidRPr="00400E5C">
      <w:rPr>
        <w:b/>
        <w:color w:val="49176D"/>
        <w:sz w:val="22"/>
        <w:szCs w:val="22"/>
      </w:rPr>
      <w:instrText xml:space="preserve"> NUMPAGES </w:instrText>
    </w:r>
    <w:r w:rsidR="0000216C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00216C" w:rsidRPr="00400E5C">
      <w:rPr>
        <w:b/>
        <w:color w:val="49176D"/>
        <w:sz w:val="22"/>
        <w:szCs w:val="22"/>
      </w:rPr>
      <w:fldChar w:fldCharType="end"/>
    </w:r>
  </w:p>
  <w:p w:rsidR="0000216C" w:rsidRPr="0002415D" w:rsidRDefault="0000216C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place">
      <w:smartTag w:uri="urn:schemas-microsoft-com:office:smarttags" w:element="Stat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B3" w:rsidRDefault="00D154B3">
      <w:r>
        <w:separator/>
      </w:r>
    </w:p>
  </w:footnote>
  <w:footnote w:type="continuationSeparator" w:id="0">
    <w:p w:rsidR="00D154B3" w:rsidRDefault="00D15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6C" w:rsidRPr="00400E5C" w:rsidRDefault="0000216C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6C" w:rsidRPr="00400E5C" w:rsidRDefault="0000216C" w:rsidP="00AB143A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 w:rsidRPr="00D35621">
      <w:rPr>
        <w:b/>
        <w:i/>
        <w:color w:val="49176D"/>
        <w:sz w:val="28"/>
        <w:szCs w:val="28"/>
      </w:rPr>
      <w:t>Learning and assessment focus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00216C" w:rsidRDefault="00002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0216C"/>
    <w:rsid w:val="0002415D"/>
    <w:rsid w:val="00036124"/>
    <w:rsid w:val="00043AA2"/>
    <w:rsid w:val="000555F2"/>
    <w:rsid w:val="00062255"/>
    <w:rsid w:val="00071F8A"/>
    <w:rsid w:val="00083B77"/>
    <w:rsid w:val="000C4ACC"/>
    <w:rsid w:val="000D3BE4"/>
    <w:rsid w:val="000E39B5"/>
    <w:rsid w:val="000E443B"/>
    <w:rsid w:val="000F368E"/>
    <w:rsid w:val="000F4815"/>
    <w:rsid w:val="000F5587"/>
    <w:rsid w:val="001106BF"/>
    <w:rsid w:val="0013210A"/>
    <w:rsid w:val="001741F0"/>
    <w:rsid w:val="0017768D"/>
    <w:rsid w:val="0019040E"/>
    <w:rsid w:val="001B50EC"/>
    <w:rsid w:val="001E5B30"/>
    <w:rsid w:val="001E6C0A"/>
    <w:rsid w:val="00206B52"/>
    <w:rsid w:val="0022633E"/>
    <w:rsid w:val="002305E7"/>
    <w:rsid w:val="002475D1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412C"/>
    <w:rsid w:val="004A26AC"/>
    <w:rsid w:val="004A3084"/>
    <w:rsid w:val="004A4669"/>
    <w:rsid w:val="004A4B57"/>
    <w:rsid w:val="004B65FE"/>
    <w:rsid w:val="004D2F2D"/>
    <w:rsid w:val="004E6E7B"/>
    <w:rsid w:val="00500F08"/>
    <w:rsid w:val="0051749B"/>
    <w:rsid w:val="0052187D"/>
    <w:rsid w:val="0053106F"/>
    <w:rsid w:val="0055799A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734080"/>
    <w:rsid w:val="007733D9"/>
    <w:rsid w:val="00784B90"/>
    <w:rsid w:val="007A4036"/>
    <w:rsid w:val="007C0A46"/>
    <w:rsid w:val="007E1656"/>
    <w:rsid w:val="007E79F0"/>
    <w:rsid w:val="008008BA"/>
    <w:rsid w:val="00802DF9"/>
    <w:rsid w:val="00823CC2"/>
    <w:rsid w:val="0083048E"/>
    <w:rsid w:val="00842489"/>
    <w:rsid w:val="00853229"/>
    <w:rsid w:val="00855D9B"/>
    <w:rsid w:val="00857F89"/>
    <w:rsid w:val="00880598"/>
    <w:rsid w:val="008A23B4"/>
    <w:rsid w:val="0090114C"/>
    <w:rsid w:val="00902162"/>
    <w:rsid w:val="00922562"/>
    <w:rsid w:val="00925BD3"/>
    <w:rsid w:val="00934419"/>
    <w:rsid w:val="00962D4D"/>
    <w:rsid w:val="00964604"/>
    <w:rsid w:val="009D60C7"/>
    <w:rsid w:val="009E495C"/>
    <w:rsid w:val="00A0475B"/>
    <w:rsid w:val="00A53947"/>
    <w:rsid w:val="00A61124"/>
    <w:rsid w:val="00A71726"/>
    <w:rsid w:val="00A82BA3"/>
    <w:rsid w:val="00A9771B"/>
    <w:rsid w:val="00AB143A"/>
    <w:rsid w:val="00AC77F4"/>
    <w:rsid w:val="00AD4F7E"/>
    <w:rsid w:val="00AF2CF7"/>
    <w:rsid w:val="00B16CA3"/>
    <w:rsid w:val="00B204FF"/>
    <w:rsid w:val="00B27C14"/>
    <w:rsid w:val="00B43C65"/>
    <w:rsid w:val="00B4543D"/>
    <w:rsid w:val="00B55C2D"/>
    <w:rsid w:val="00B7178B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154B3"/>
    <w:rsid w:val="00D224AF"/>
    <w:rsid w:val="00D52A1C"/>
    <w:rsid w:val="00D54ABC"/>
    <w:rsid w:val="00D62570"/>
    <w:rsid w:val="00D95594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C6909"/>
    <w:rsid w:val="00FD472B"/>
    <w:rsid w:val="00FE2EDD"/>
    <w:rsid w:val="00FE75C1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QSA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- STUDIES OF SOCIETY &amp; ENVIRONMENT (SOSE)</dc:title>
  <dc:subject>Queensland Curriculum, Assessment And Reporting Framework (QCAR)</dc:subject>
  <dc:creator>Queensland Studies Authority</dc:creator>
  <cp:keywords/>
  <dc:description/>
  <cp:lastModifiedBy>QSA</cp:lastModifiedBy>
  <cp:revision>2</cp:revision>
  <cp:lastPrinted>2008-04-08T00:46:00Z</cp:lastPrinted>
  <dcterms:created xsi:type="dcterms:W3CDTF">2014-06-18T07:20:00Z</dcterms:created>
  <dcterms:modified xsi:type="dcterms:W3CDTF">2014-06-18T07:20:00Z</dcterms:modified>
</cp:coreProperties>
</file>