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5442"/>
        <w:gridCol w:w="5387"/>
        <w:gridCol w:w="5387"/>
      </w:tblGrid>
      <w:tr w:rsidR="004E6BCF" w:rsidRPr="004D0D36" w:rsidTr="004E6BCF">
        <w:trPr>
          <w:gridAfter w:val="3"/>
          <w:wAfter w:w="16216" w:type="dxa"/>
        </w:trPr>
        <w:tc>
          <w:tcPr>
            <w:tcW w:w="5330" w:type="dxa"/>
            <w:shd w:val="clear" w:color="auto" w:fill="E2E477"/>
          </w:tcPr>
          <w:p w:rsidR="004E6BCF" w:rsidRPr="0025720C" w:rsidRDefault="004E6BCF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25720C">
              <w:rPr>
                <w:rFonts w:cs="Arial"/>
                <w:b/>
                <w:color w:val="49176D"/>
                <w:sz w:val="40"/>
                <w:szCs w:val="40"/>
              </w:rPr>
              <w:t>SCIENCE</w:t>
            </w:r>
          </w:p>
        </w:tc>
      </w:tr>
      <w:tr w:rsidR="00802DF9" w:rsidRPr="004D0D36" w:rsidTr="004E6BCF">
        <w:tc>
          <w:tcPr>
            <w:tcW w:w="5330" w:type="dxa"/>
            <w:shd w:val="clear" w:color="auto" w:fill="EBE8F1"/>
          </w:tcPr>
          <w:p w:rsidR="00802DF9" w:rsidRPr="001E5B30" w:rsidRDefault="00802DF9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442" w:type="dxa"/>
            <w:shd w:val="clear" w:color="auto" w:fill="EBE8F1"/>
          </w:tcPr>
          <w:p w:rsidR="00802DF9" w:rsidRPr="001E5B30" w:rsidRDefault="00802DF9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802DF9" w:rsidRPr="001E5B30" w:rsidRDefault="00802DF9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802DF9" w:rsidRPr="001E5B30" w:rsidRDefault="00802DF9" w:rsidP="003B6569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802DF9" w:rsidRPr="004D0D36" w:rsidTr="004E6BCF">
        <w:trPr>
          <w:trHeight w:val="9575"/>
        </w:trPr>
        <w:tc>
          <w:tcPr>
            <w:tcW w:w="5330" w:type="dxa"/>
          </w:tcPr>
          <w:p w:rsidR="00802DF9" w:rsidRPr="004D0D36" w:rsidRDefault="00802DF9" w:rsidP="00DE02BB">
            <w:r w:rsidRPr="004D0D36">
              <w:t>Students use their curiosity about the natural and physical world and their senses, intuition and</w:t>
            </w:r>
            <w:r>
              <w:t xml:space="preserve"> </w:t>
            </w:r>
            <w:r w:rsidRPr="004D0D36">
              <w:t>imagination as a basis for exploring and testing their thinking about the world. They are able to tell</w:t>
            </w:r>
            <w:r>
              <w:t xml:space="preserve"> </w:t>
            </w:r>
            <w:r w:rsidRPr="004D0D36">
              <w:t>others what they see, what they think and what they wonder about. They develop an understanding</w:t>
            </w:r>
            <w:r>
              <w:t xml:space="preserve"> </w:t>
            </w:r>
            <w:r w:rsidRPr="004D0D36">
              <w:t>that science is a way of constructing new knowledge and is based on observations of the natural</w:t>
            </w:r>
            <w:r>
              <w:t xml:space="preserve"> </w:t>
            </w:r>
            <w:r w:rsidRPr="004D0D36">
              <w:t>world. They see the place of science in people’s work and community lives.</w:t>
            </w:r>
          </w:p>
          <w:p w:rsidR="00802DF9" w:rsidRPr="004D0D36" w:rsidRDefault="00802DF9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scientifically by generating</w:t>
            </w:r>
            <w:r>
              <w:t xml:space="preserve"> </w:t>
            </w:r>
            <w:r w:rsidRPr="004D0D36">
              <w:t>scientific questions, by participating in scientific activities, and by individually and collaboratively</w:t>
            </w:r>
            <w:r>
              <w:t xml:space="preserve"> </w:t>
            </w:r>
            <w:r w:rsidRPr="004D0D36">
              <w:t>planning and conducting simple investigations. They reflect on their learning and their</w:t>
            </w:r>
            <w:r>
              <w:t xml:space="preserve"> </w:t>
            </w:r>
            <w:r w:rsidRPr="004D0D36">
              <w:t>understanding of science in everyday situations.</w:t>
            </w:r>
          </w:p>
          <w:p w:rsidR="00802DF9" w:rsidRPr="004D0D36" w:rsidRDefault="00802DF9" w:rsidP="00DE02BB">
            <w:r w:rsidRPr="004D0D36">
              <w:t>Students use tools and technologies, including information and communication technologies (ICTs).</w:t>
            </w:r>
            <w:r w:rsidR="0019040E">
              <w:t xml:space="preserve"> </w:t>
            </w:r>
            <w:r w:rsidRPr="004D0D36">
              <w:t>They explore the use of ICTs to inquire, create and communicate within scientific contexts.</w:t>
            </w:r>
          </w:p>
          <w:p w:rsidR="00802DF9" w:rsidRPr="004D0D36" w:rsidRDefault="00802DF9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knowledge and understanding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  <w:p w:rsidR="00802DF9" w:rsidRPr="004D0D36" w:rsidRDefault="00802DF9" w:rsidP="00370BDB">
            <w:pPr>
              <w:spacing w:line="240" w:lineRule="auto"/>
            </w:pPr>
          </w:p>
        </w:tc>
        <w:tc>
          <w:tcPr>
            <w:tcW w:w="5442" w:type="dxa"/>
          </w:tcPr>
          <w:p w:rsidR="00802DF9" w:rsidRPr="004D0D36" w:rsidRDefault="00802DF9" w:rsidP="00DE02BB">
            <w:r w:rsidRPr="004D0D36">
              <w:t>Students use their curiosity, senses and intuition as a basis for exploring, investigating and testing</w:t>
            </w:r>
            <w:r>
              <w:t xml:space="preserve"> </w:t>
            </w:r>
            <w:r w:rsidRPr="004D0D36">
              <w:t>their scientific thinking about the world. They understand that science is a way of constructing new</w:t>
            </w:r>
            <w:r>
              <w:t xml:space="preserve"> </w:t>
            </w:r>
            <w:r w:rsidRPr="004D0D36">
              <w:t>knowledge and that it is based on observations of, and inferences from, the natural world. They</w:t>
            </w:r>
            <w:r>
              <w:t xml:space="preserve"> </w:t>
            </w:r>
            <w:r w:rsidRPr="004D0D36">
              <w:t>understand that science can contribute to the understanding of many different kinds of activities,</w:t>
            </w:r>
            <w:r>
              <w:t xml:space="preserve"> </w:t>
            </w:r>
            <w:r w:rsidRPr="004D0D36">
              <w:t>including work and leisure. They are aware that people of all ages and backgrounds choose to work</w:t>
            </w:r>
            <w:r>
              <w:t xml:space="preserve"> </w:t>
            </w:r>
            <w:r w:rsidRPr="004D0D36">
              <w:t>in science or science-related careers.</w:t>
            </w:r>
          </w:p>
          <w:p w:rsidR="00802DF9" w:rsidRPr="004D0D36" w:rsidRDefault="00802DF9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scientifically by formulating</w:t>
            </w:r>
            <w:r>
              <w:t xml:space="preserve"> </w:t>
            </w:r>
            <w:r w:rsidRPr="004D0D36">
              <w:t>scientific questions, by conducting scientific activities, and by individually and collaboratively</w:t>
            </w:r>
            <w:r>
              <w:t xml:space="preserve"> </w:t>
            </w:r>
            <w:r w:rsidRPr="004D0D36">
              <w:t>planning and conducting investigations. They reflect on their learning and their own and others’</w:t>
            </w:r>
            <w:r>
              <w:t xml:space="preserve"> </w:t>
            </w:r>
            <w:r w:rsidRPr="004D0D36">
              <w:t>points of view and values relating to science.</w:t>
            </w:r>
          </w:p>
          <w:p w:rsidR="00802DF9" w:rsidRPr="004D0D36" w:rsidRDefault="00802DF9" w:rsidP="00DE02BB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use ICTs as an integral component of their learning, to</w:t>
            </w:r>
            <w:r>
              <w:t xml:space="preserve"> </w:t>
            </w:r>
            <w:r w:rsidRPr="004D0D36">
              <w:t>inquire, create and communicate within scientific contexts.</w:t>
            </w:r>
          </w:p>
          <w:p w:rsidR="00802DF9" w:rsidRPr="004D0D36" w:rsidRDefault="00802DF9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knowledge and understanding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  <w:p w:rsidR="00802DF9" w:rsidRPr="004D0D36" w:rsidRDefault="00802DF9" w:rsidP="00370BDB">
            <w:pPr>
              <w:spacing w:line="240" w:lineRule="auto"/>
            </w:pPr>
          </w:p>
        </w:tc>
        <w:tc>
          <w:tcPr>
            <w:tcW w:w="5387" w:type="dxa"/>
          </w:tcPr>
          <w:p w:rsidR="00802DF9" w:rsidRPr="004D0D36" w:rsidRDefault="00802DF9" w:rsidP="00DE02BB">
            <w:r w:rsidRPr="004D0D36">
              <w:t>Students use their scientific knowledge, curiosity, senses and intuition as a basis for investigating</w:t>
            </w:r>
            <w:r>
              <w:t xml:space="preserve"> </w:t>
            </w:r>
            <w:r w:rsidRPr="004D0D36">
              <w:t>and testing their scientific thinking about the world. They understand that science is a body of</w:t>
            </w:r>
            <w:r>
              <w:t xml:space="preserve"> </w:t>
            </w:r>
            <w:r w:rsidRPr="004D0D36">
              <w:t>knowledge developed over a long period of time through observations of, and inferences from, the</w:t>
            </w:r>
            <w:r>
              <w:t xml:space="preserve"> </w:t>
            </w:r>
            <w:r w:rsidRPr="004D0D36">
              <w:t>natural world. They understand that science is a way of thinking and working, and they consider</w:t>
            </w:r>
            <w:r>
              <w:t xml:space="preserve"> </w:t>
            </w:r>
            <w:r w:rsidRPr="004D0D36">
              <w:t>and respond to decisions about science and its impact on people, their environment and their</w:t>
            </w:r>
            <w:r>
              <w:t xml:space="preserve"> </w:t>
            </w:r>
            <w:r w:rsidRPr="004D0D36">
              <w:t>communities. They recognise the many different fields of science, and the people who work as</w:t>
            </w:r>
            <w:r>
              <w:t xml:space="preserve"> </w:t>
            </w:r>
            <w:r w:rsidRPr="004D0D36">
              <w:t>scientists and in other occupations that use scientific knowledge.</w:t>
            </w:r>
          </w:p>
          <w:p w:rsidR="00802DF9" w:rsidRPr="004D0D36" w:rsidRDefault="00802DF9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scientifically by formulating</w:t>
            </w:r>
            <w:r>
              <w:t xml:space="preserve"> </w:t>
            </w:r>
            <w:r w:rsidRPr="004D0D36">
              <w:t>scientific questions, and by individually and collaboratively designing and conducting scientific</w:t>
            </w:r>
            <w:r>
              <w:t xml:space="preserve"> </w:t>
            </w:r>
            <w:r w:rsidRPr="004D0D36">
              <w:t>investigations. They reflect on their learning and investigations to clarify values and the impacts</w:t>
            </w:r>
            <w:r>
              <w:t xml:space="preserve"> </w:t>
            </w:r>
            <w:r w:rsidRPr="004D0D36">
              <w:t>of science.</w:t>
            </w:r>
          </w:p>
          <w:p w:rsidR="00802DF9" w:rsidRPr="004D0D36" w:rsidRDefault="00802DF9" w:rsidP="00DE02BB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make use of the potential that ICTs provide to inquire,</w:t>
            </w:r>
            <w:r>
              <w:t xml:space="preserve"> </w:t>
            </w:r>
            <w:r w:rsidRPr="004D0D36">
              <w:t>create and communicate within scientific contexts.</w:t>
            </w:r>
          </w:p>
          <w:p w:rsidR="00802DF9" w:rsidRPr="004D0D36" w:rsidRDefault="00802DF9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knowledge and understanding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  <w:p w:rsidR="00802DF9" w:rsidRPr="004D0D36" w:rsidRDefault="00802DF9" w:rsidP="00370BDB">
            <w:pPr>
              <w:spacing w:line="240" w:lineRule="auto"/>
            </w:pPr>
          </w:p>
        </w:tc>
        <w:tc>
          <w:tcPr>
            <w:tcW w:w="5387" w:type="dxa"/>
          </w:tcPr>
          <w:p w:rsidR="00802DF9" w:rsidRPr="004D0D36" w:rsidRDefault="00802DF9" w:rsidP="00DE02BB">
            <w:r w:rsidRPr="004D0D36">
              <w:t>Students use their scientific knowledge, curiosity and intuition to test and confirm their</w:t>
            </w:r>
            <w:r>
              <w:t xml:space="preserve"> </w:t>
            </w:r>
            <w:r w:rsidRPr="004D0D36">
              <w:t>understandings, and to investigate the world. They understand that science is a body of knowledge,</w:t>
            </w:r>
            <w:r>
              <w:t xml:space="preserve"> </w:t>
            </w:r>
            <w:r w:rsidRPr="004D0D36">
              <w:t>developed through hu</w:t>
            </w:r>
            <w:r w:rsidR="0052187D">
              <w:t>man observations and inferences</w:t>
            </w:r>
            <w:r w:rsidRPr="004D0D36">
              <w:t xml:space="preserve"> that may reflect diverse values and beliefs.</w:t>
            </w:r>
            <w:r w:rsidR="0052187D">
              <w:t xml:space="preserve"> </w:t>
            </w:r>
            <w:r w:rsidRPr="004D0D36">
              <w:t>They understand that scientific knowledge is dynamic, and that theories are reviewed in the light</w:t>
            </w:r>
            <w:r>
              <w:t xml:space="preserve"> </w:t>
            </w:r>
            <w:r w:rsidRPr="004D0D36">
              <w:t>of new evidence. They understand that science is a way of thinking and working, and they apply</w:t>
            </w:r>
            <w:r>
              <w:t xml:space="preserve"> </w:t>
            </w:r>
            <w:r w:rsidRPr="004D0D36">
              <w:t>their scientific knowledge to make responsible and informed decisions about real-world issues.</w:t>
            </w:r>
            <w:r w:rsidR="0052187D">
              <w:t xml:space="preserve"> </w:t>
            </w:r>
            <w:r w:rsidRPr="004D0D36">
              <w:t>They recognise that science has a rich history and has evolved into a large number of increasingly</w:t>
            </w:r>
            <w:r>
              <w:t xml:space="preserve"> </w:t>
            </w:r>
            <w:r w:rsidRPr="004D0D36">
              <w:t>overlapping fields that provide career opportunities.</w:t>
            </w:r>
          </w:p>
          <w:p w:rsidR="00802DF9" w:rsidRPr="004D0D36" w:rsidRDefault="00802DF9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scientifically through active</w:t>
            </w:r>
            <w:r>
              <w:t xml:space="preserve"> </w:t>
            </w:r>
            <w:r w:rsidRPr="004D0D36">
              <w:t>participation, both individually and collaboratively, in genuine endeavours that help to construct</w:t>
            </w:r>
            <w:r>
              <w:t xml:space="preserve"> </w:t>
            </w:r>
            <w:r w:rsidRPr="004D0D36">
              <w:t>personal scientific understandings. They identify problems and issues, and design and conduct</w:t>
            </w:r>
            <w:r>
              <w:t xml:space="preserve"> </w:t>
            </w:r>
            <w:r w:rsidRPr="004D0D36">
              <w:t>scientific investigations. They reflect on their learning and investigations to evaluate the influence</w:t>
            </w:r>
            <w:r>
              <w:t xml:space="preserve"> </w:t>
            </w:r>
            <w:r w:rsidRPr="004D0D36">
              <w:t>that people and culture have on applications of science.</w:t>
            </w:r>
          </w:p>
          <w:p w:rsidR="00802DF9" w:rsidRPr="004D0D36" w:rsidRDefault="00802DF9" w:rsidP="00DE02BB">
            <w:r w:rsidRPr="004D0D36">
              <w:t>Students select and use a range of tools and technologies, including information and</w:t>
            </w:r>
            <w:r>
              <w:t xml:space="preserve"> </w:t>
            </w:r>
            <w:r w:rsidRPr="004D0D36">
              <w:t>communication technologies (ICTs). They routinely demonstrate an autonomous and purposeful use</w:t>
            </w:r>
            <w:r>
              <w:t xml:space="preserve"> </w:t>
            </w:r>
            <w:r w:rsidRPr="004D0D36">
              <w:t>of ICTs to inquire, create and communicate within scientific contexts.</w:t>
            </w:r>
          </w:p>
          <w:p w:rsidR="00802DF9" w:rsidRPr="004D0D36" w:rsidRDefault="00802DF9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>•</w:t>
            </w:r>
            <w:r>
              <w:tab/>
            </w:r>
            <w:r w:rsidRPr="004D0D36">
              <w:t>knowledge and understanding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communicating</w:t>
            </w:r>
          </w:p>
          <w:p w:rsidR="00802DF9" w:rsidRPr="004D0D36" w:rsidRDefault="00802DF9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</w:t>
            </w:r>
            <w:r>
              <w:t>g.</w:t>
            </w:r>
          </w:p>
        </w:tc>
      </w:tr>
    </w:tbl>
    <w:p w:rsidR="00802DF9" w:rsidRPr="004D0D36" w:rsidRDefault="00802DF9" w:rsidP="00902162">
      <w:pPr>
        <w:rPr>
          <w:rFonts w:cs="Arial"/>
        </w:rPr>
      </w:pPr>
    </w:p>
    <w:p w:rsidR="00206B52" w:rsidRDefault="00206B52" w:rsidP="0025720C"/>
    <w:sectPr w:rsidR="00206B52" w:rsidSect="0025720C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0F" w:rsidRDefault="00D77C0F">
      <w:r>
        <w:separator/>
      </w:r>
    </w:p>
  </w:endnote>
  <w:endnote w:type="continuationSeparator" w:id="0">
    <w:p w:rsidR="00D77C0F" w:rsidRDefault="00D7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80" w:rsidRPr="00400E5C" w:rsidRDefault="00B36BC6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580" w:rsidRPr="00400E5C">
      <w:rPr>
        <w:b/>
        <w:color w:val="49176D"/>
        <w:sz w:val="22"/>
        <w:szCs w:val="22"/>
      </w:rPr>
      <w:t xml:space="preserve">Page </w:t>
    </w:r>
    <w:r w:rsidR="00477580" w:rsidRPr="00400E5C">
      <w:rPr>
        <w:b/>
        <w:color w:val="49176D"/>
        <w:sz w:val="22"/>
        <w:szCs w:val="22"/>
      </w:rPr>
      <w:fldChar w:fldCharType="begin"/>
    </w:r>
    <w:r w:rsidR="00477580" w:rsidRPr="00400E5C">
      <w:rPr>
        <w:b/>
        <w:color w:val="49176D"/>
        <w:sz w:val="22"/>
        <w:szCs w:val="22"/>
      </w:rPr>
      <w:instrText xml:space="preserve"> PAGE </w:instrText>
    </w:r>
    <w:r w:rsidR="00477580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477580" w:rsidRPr="00400E5C">
      <w:rPr>
        <w:b/>
        <w:color w:val="49176D"/>
        <w:sz w:val="22"/>
        <w:szCs w:val="22"/>
      </w:rPr>
      <w:fldChar w:fldCharType="end"/>
    </w:r>
    <w:r w:rsidR="00477580" w:rsidRPr="00400E5C">
      <w:rPr>
        <w:b/>
        <w:color w:val="49176D"/>
        <w:sz w:val="22"/>
        <w:szCs w:val="22"/>
      </w:rPr>
      <w:t xml:space="preserve"> of </w:t>
    </w:r>
    <w:r w:rsidR="00477580" w:rsidRPr="00400E5C">
      <w:rPr>
        <w:b/>
        <w:color w:val="49176D"/>
        <w:sz w:val="22"/>
        <w:szCs w:val="22"/>
      </w:rPr>
      <w:fldChar w:fldCharType="begin"/>
    </w:r>
    <w:r w:rsidR="00477580" w:rsidRPr="00400E5C">
      <w:rPr>
        <w:b/>
        <w:color w:val="49176D"/>
        <w:sz w:val="22"/>
        <w:szCs w:val="22"/>
      </w:rPr>
      <w:instrText xml:space="preserve"> NUMPAGES </w:instrText>
    </w:r>
    <w:r w:rsidR="00477580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477580" w:rsidRPr="00400E5C">
      <w:rPr>
        <w:b/>
        <w:color w:val="49176D"/>
        <w:sz w:val="22"/>
        <w:szCs w:val="22"/>
      </w:rPr>
      <w:fldChar w:fldCharType="end"/>
    </w:r>
  </w:p>
  <w:p w:rsidR="00477580" w:rsidRPr="0002415D" w:rsidRDefault="00477580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0F" w:rsidRDefault="00D77C0F">
      <w:r>
        <w:separator/>
      </w:r>
    </w:p>
  </w:footnote>
  <w:footnote w:type="continuationSeparator" w:id="0">
    <w:p w:rsidR="00D77C0F" w:rsidRDefault="00D7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80" w:rsidRPr="00400E5C" w:rsidRDefault="00477580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80" w:rsidRPr="00400E5C" w:rsidRDefault="00477580" w:rsidP="0025720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 w:rsidRPr="00D35621">
      <w:rPr>
        <w:b/>
        <w:i/>
        <w:color w:val="49176D"/>
        <w:sz w:val="28"/>
        <w:szCs w:val="28"/>
      </w:rPr>
      <w:t>Learning and assessment focus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477580" w:rsidRDefault="00477580" w:rsidP="00257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B50EC"/>
    <w:rsid w:val="001E5B30"/>
    <w:rsid w:val="001E6C0A"/>
    <w:rsid w:val="00206B52"/>
    <w:rsid w:val="0022633E"/>
    <w:rsid w:val="002475D1"/>
    <w:rsid w:val="0025720C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77580"/>
    <w:rsid w:val="0048412C"/>
    <w:rsid w:val="004A26AC"/>
    <w:rsid w:val="004A3084"/>
    <w:rsid w:val="004A4669"/>
    <w:rsid w:val="004A4B57"/>
    <w:rsid w:val="004B65FE"/>
    <w:rsid w:val="004D2F2D"/>
    <w:rsid w:val="004E6BCF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321EC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F2CF7"/>
    <w:rsid w:val="00B204FF"/>
    <w:rsid w:val="00B27C14"/>
    <w:rsid w:val="00B36BC6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77C0F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08A2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- SCIENCE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2008-04-08T00:42:00Z</cp:lastPrinted>
  <dcterms:created xsi:type="dcterms:W3CDTF">2014-06-18T07:20:00Z</dcterms:created>
  <dcterms:modified xsi:type="dcterms:W3CDTF">2014-06-18T07:20:00Z</dcterms:modified>
</cp:coreProperties>
</file>