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oparagraphstyle"/>
        <w:tblW w:w="215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149"/>
        <w:gridCol w:w="7193"/>
        <w:gridCol w:w="7171"/>
      </w:tblGrid>
      <w:tr w:rsidR="00A25D89" w:rsidRPr="004D0D36" w:rsidTr="00A25D89">
        <w:trPr>
          <w:gridAfter w:val="2"/>
          <w:wAfter w:w="14364" w:type="dxa"/>
        </w:trPr>
        <w:tc>
          <w:tcPr>
            <w:tcW w:w="7149" w:type="dxa"/>
            <w:shd w:val="clear" w:color="auto" w:fill="FACAD6"/>
          </w:tcPr>
          <w:p w:rsidR="00A25D89" w:rsidRPr="006112F4" w:rsidRDefault="00A25D89" w:rsidP="00EA5257">
            <w:pPr>
              <w:tabs>
                <w:tab w:val="right" w:pos="13860"/>
              </w:tabs>
              <w:spacing w:before="120"/>
              <w:rPr>
                <w:rFonts w:cs="Arial"/>
                <w:b/>
                <w:color w:val="FFFFFF"/>
                <w:sz w:val="40"/>
                <w:szCs w:val="40"/>
              </w:rPr>
            </w:pPr>
            <w:bookmarkStart w:id="0" w:name="_GoBack"/>
            <w:bookmarkEnd w:id="0"/>
            <w:r w:rsidRPr="006112F4">
              <w:rPr>
                <w:rFonts w:cs="Arial"/>
                <w:b/>
                <w:color w:val="49176D"/>
                <w:sz w:val="40"/>
                <w:szCs w:val="40"/>
              </w:rPr>
              <w:t>LANGUAGES</w:t>
            </w:r>
          </w:p>
        </w:tc>
      </w:tr>
      <w:tr w:rsidR="00D52A1C" w:rsidRPr="004D0D36" w:rsidTr="00A25D89">
        <w:tc>
          <w:tcPr>
            <w:tcW w:w="7149" w:type="dxa"/>
            <w:shd w:val="clear" w:color="auto" w:fill="EBE8F1"/>
          </w:tcPr>
          <w:p w:rsidR="00D52A1C" w:rsidRPr="001E5B30" w:rsidRDefault="00D52A1C" w:rsidP="00EA5257">
            <w:pPr>
              <w:spacing w:line="240" w:lineRule="auto"/>
              <w:rPr>
                <w:rFonts w:cs="Arial"/>
                <w:color w:val="49176D"/>
                <w:sz w:val="22"/>
                <w:szCs w:val="22"/>
              </w:rPr>
            </w:pPr>
            <w:r>
              <w:rPr>
                <w:rFonts w:cs="Arial"/>
                <w:b/>
                <w:color w:val="49176D"/>
                <w:sz w:val="24"/>
              </w:rPr>
              <w:t>Beginner</w:t>
            </w:r>
          </w:p>
        </w:tc>
        <w:tc>
          <w:tcPr>
            <w:tcW w:w="7193" w:type="dxa"/>
            <w:shd w:val="clear" w:color="auto" w:fill="EBE8F1"/>
          </w:tcPr>
          <w:p w:rsidR="00D52A1C" w:rsidRPr="001E5B30" w:rsidRDefault="00D52A1C" w:rsidP="00EA5257">
            <w:pPr>
              <w:spacing w:line="240" w:lineRule="auto"/>
              <w:rPr>
                <w:rFonts w:cs="Arial"/>
                <w:color w:val="49176D"/>
                <w:sz w:val="22"/>
                <w:szCs w:val="22"/>
              </w:rPr>
            </w:pPr>
            <w:r>
              <w:rPr>
                <w:rFonts w:cs="Arial"/>
                <w:b/>
                <w:color w:val="49176D"/>
                <w:sz w:val="24"/>
              </w:rPr>
              <w:t>Elementary</w:t>
            </w:r>
          </w:p>
        </w:tc>
        <w:tc>
          <w:tcPr>
            <w:tcW w:w="7171" w:type="dxa"/>
            <w:shd w:val="clear" w:color="auto" w:fill="EBE8F1"/>
          </w:tcPr>
          <w:p w:rsidR="00D52A1C" w:rsidRPr="001E5B30" w:rsidRDefault="00842489" w:rsidP="00EA5257">
            <w:pPr>
              <w:spacing w:line="240" w:lineRule="auto"/>
              <w:rPr>
                <w:rFonts w:cs="Arial"/>
                <w:color w:val="49176D"/>
                <w:sz w:val="22"/>
                <w:szCs w:val="22"/>
              </w:rPr>
            </w:pPr>
            <w:r>
              <w:rPr>
                <w:rFonts w:cs="Arial"/>
                <w:b/>
                <w:color w:val="49176D"/>
                <w:sz w:val="24"/>
              </w:rPr>
              <w:t>Lower Intermediate</w:t>
            </w:r>
          </w:p>
        </w:tc>
      </w:tr>
      <w:tr w:rsidR="00D52A1C" w:rsidRPr="004D0D36" w:rsidTr="00A25D89">
        <w:tc>
          <w:tcPr>
            <w:tcW w:w="7149" w:type="dxa"/>
          </w:tcPr>
          <w:p w:rsidR="00265645" w:rsidRPr="00265645" w:rsidRDefault="00265645" w:rsidP="00265645">
            <w:pPr>
              <w:suppressAutoHyphens/>
              <w:spacing w:before="120"/>
              <w:rPr>
                <w:rFonts w:cs="Arial"/>
                <w:szCs w:val="19"/>
                <w:lang w:val="en-GB"/>
              </w:rPr>
            </w:pPr>
            <w:r w:rsidRPr="00265645">
              <w:rPr>
                <w:rFonts w:cs="Arial"/>
                <w:szCs w:val="19"/>
                <w:lang w:val="en-GB"/>
              </w:rPr>
              <w:t>Students use their existing understanding of language and culture to identify how languages are inextricably linked to cultures. They develop the skills needed to communicate in the target language, and to build their repertoire of process skills and strategies for acquiring and manipulating the verbal, non-verbal and written features. They expand their understanding of their own languages, cultures and identities through engagement with and use of the target languages and cultures. They explore alternative ways of experiencing, acting in and viewing the world and understand the importance of bilingualism and multilingualism in contemporary society.</w:t>
            </w:r>
          </w:p>
          <w:p w:rsidR="00265645" w:rsidRPr="00265645" w:rsidRDefault="00265645" w:rsidP="00265645">
            <w:pPr>
              <w:suppressAutoHyphens/>
              <w:spacing w:before="120"/>
              <w:rPr>
                <w:rFonts w:cs="Arial"/>
                <w:szCs w:val="19"/>
                <w:lang w:val="en-GB"/>
              </w:rPr>
            </w:pPr>
            <w:r w:rsidRPr="00265645">
              <w:rPr>
                <w:rFonts w:cs="Arial"/>
                <w:szCs w:val="19"/>
                <w:lang w:val="en-GB"/>
              </w:rPr>
              <w:t>Students learning Asian, European and other languages understand and appreciate the diversity expressed in languages and the influence of language on culture.</w:t>
            </w:r>
          </w:p>
          <w:p w:rsidR="00265645" w:rsidRPr="00265645" w:rsidRDefault="00265645" w:rsidP="00265645">
            <w:pPr>
              <w:suppressAutoHyphens/>
              <w:spacing w:before="120"/>
              <w:rPr>
                <w:rFonts w:cs="Arial"/>
                <w:szCs w:val="19"/>
                <w:lang w:val="en-GB"/>
              </w:rPr>
            </w:pPr>
            <w:r w:rsidRPr="00265645">
              <w:rPr>
                <w:rFonts w:cs="Arial"/>
                <w:szCs w:val="19"/>
                <w:lang w:val="en-GB"/>
              </w:rPr>
              <w:t xml:space="preserve">Students learning Indigenous languages also understand that these languages, and their associated creoles and dialects, including Aboriginal Englishes, are important elements of </w:t>
            </w:r>
            <w:smartTag w:uri="urn:schemas-microsoft-com:office:smarttags" w:element="country-region">
              <w:smartTag w:uri="urn:schemas-microsoft-com:office:smarttags" w:element="place">
                <w:r w:rsidRPr="00265645">
                  <w:rPr>
                    <w:rFonts w:cs="Arial"/>
                    <w:szCs w:val="19"/>
                    <w:lang w:val="en-GB"/>
                  </w:rPr>
                  <w:t>Australia</w:t>
                </w:r>
              </w:smartTag>
            </w:smartTag>
            <w:r w:rsidRPr="00265645">
              <w:rPr>
                <w:rFonts w:cs="Arial"/>
                <w:szCs w:val="19"/>
                <w:lang w:val="en-GB"/>
              </w:rPr>
              <w:t>’s Indigenous culture to be acknowledged by the broader community.</w:t>
            </w:r>
          </w:p>
          <w:p w:rsidR="00265645" w:rsidRPr="00265645" w:rsidRDefault="00265645" w:rsidP="00265645">
            <w:pPr>
              <w:suppressAutoHyphens/>
              <w:spacing w:before="120"/>
              <w:rPr>
                <w:rFonts w:cs="Arial"/>
                <w:szCs w:val="19"/>
                <w:lang w:val="en-GB"/>
              </w:rPr>
            </w:pPr>
            <w:r w:rsidRPr="00265645">
              <w:rPr>
                <w:rFonts w:cs="Arial"/>
                <w:szCs w:val="19"/>
                <w:lang w:val="en-GB"/>
              </w:rPr>
              <w:t xml:space="preserve">Students use the essential processes of </w:t>
            </w:r>
            <w:r w:rsidRPr="00BA3635">
              <w:rPr>
                <w:rFonts w:cs="Arial"/>
                <w:b/>
                <w:szCs w:val="19"/>
                <w:lang w:val="en-GB"/>
              </w:rPr>
              <w:t>Ways of working</w:t>
            </w:r>
            <w:r w:rsidRPr="00265645">
              <w:rPr>
                <w:rFonts w:cs="Arial"/>
                <w:szCs w:val="19"/>
                <w:lang w:val="en-GB"/>
              </w:rPr>
              <w:t xml:space="preserve"> to develop and demonstrate their </w:t>
            </w:r>
            <w:r w:rsidRPr="00BA3635">
              <w:rPr>
                <w:rFonts w:cs="Arial"/>
                <w:b/>
                <w:szCs w:val="19"/>
                <w:lang w:val="en-GB"/>
              </w:rPr>
              <w:t>Knowledge and understanding</w:t>
            </w:r>
            <w:r w:rsidRPr="00265645">
              <w:rPr>
                <w:rFonts w:cs="Arial"/>
                <w:szCs w:val="19"/>
                <w:lang w:val="en-GB"/>
              </w:rPr>
              <w:t>. They develop their ability to interpret and construct a small range of text types, using modelled and rehearsed language, in order to meet individual and social communication needs in well-known contexts with peers and familiar adults. They reflect on their learning and language choices in familiar contexts.</w:t>
            </w:r>
          </w:p>
          <w:p w:rsidR="00265645" w:rsidRPr="00265645" w:rsidRDefault="00265645" w:rsidP="00265645">
            <w:pPr>
              <w:suppressAutoHyphens/>
              <w:spacing w:before="120"/>
              <w:rPr>
                <w:rFonts w:cs="Arial"/>
                <w:szCs w:val="19"/>
                <w:lang w:val="en-GB"/>
              </w:rPr>
            </w:pPr>
            <w:r w:rsidRPr="00265645">
              <w:rPr>
                <w:rFonts w:cs="Arial"/>
                <w:szCs w:val="19"/>
                <w:lang w:val="en-GB"/>
              </w:rPr>
              <w:t>Students select and use tools and technologies, including information and communication technologies (ICTs), in purposeful ways. They use ICTs as an integral component of their learning to inquire, create and communicate in the target language.</w:t>
            </w:r>
          </w:p>
          <w:p w:rsidR="00265645" w:rsidRPr="00265645" w:rsidRDefault="00265645" w:rsidP="00265645">
            <w:pPr>
              <w:suppressAutoHyphens/>
              <w:spacing w:before="120"/>
              <w:rPr>
                <w:rFonts w:cs="Arial"/>
                <w:szCs w:val="19"/>
                <w:lang w:val="en-GB"/>
              </w:rPr>
            </w:pPr>
            <w:r w:rsidRPr="00265645">
              <w:rPr>
                <w:rFonts w:cs="Arial"/>
                <w:szCs w:val="19"/>
                <w:lang w:val="en-GB"/>
              </w:rPr>
              <w:t>Students demonstrate evidence of their learning over time in relation to the following assessable elements:</w:t>
            </w:r>
          </w:p>
          <w:p w:rsidR="00265645" w:rsidRPr="00265645" w:rsidRDefault="00265645" w:rsidP="00265645">
            <w:pPr>
              <w:suppressAutoHyphens/>
              <w:spacing w:before="120"/>
              <w:ind w:left="227" w:hanging="227"/>
              <w:rPr>
                <w:rFonts w:cs="Arial"/>
                <w:szCs w:val="19"/>
                <w:lang w:val="en-GB"/>
              </w:rPr>
            </w:pPr>
            <w:r w:rsidRPr="00265645">
              <w:rPr>
                <w:rFonts w:cs="Arial"/>
                <w:szCs w:val="19"/>
                <w:lang w:val="en-GB"/>
              </w:rPr>
              <w:t>•</w:t>
            </w:r>
            <w:r w:rsidRPr="00265645">
              <w:rPr>
                <w:rFonts w:cs="Arial"/>
                <w:szCs w:val="19"/>
                <w:lang w:val="en-GB"/>
              </w:rPr>
              <w:tab/>
              <w:t>knowledge and understanding</w:t>
            </w:r>
          </w:p>
          <w:p w:rsidR="00265645" w:rsidRPr="00265645" w:rsidRDefault="00265645" w:rsidP="00265645">
            <w:pPr>
              <w:suppressAutoHyphens/>
              <w:spacing w:before="120"/>
              <w:ind w:left="227" w:hanging="227"/>
              <w:rPr>
                <w:rFonts w:cs="Arial"/>
                <w:szCs w:val="19"/>
                <w:lang w:val="en-GB"/>
              </w:rPr>
            </w:pPr>
            <w:r w:rsidRPr="00265645">
              <w:rPr>
                <w:rFonts w:cs="Arial"/>
                <w:szCs w:val="19"/>
                <w:lang w:val="en-GB"/>
              </w:rPr>
              <w:t>•</w:t>
            </w:r>
            <w:r w:rsidRPr="00265645">
              <w:rPr>
                <w:rFonts w:cs="Arial"/>
                <w:szCs w:val="19"/>
                <w:lang w:val="en-GB"/>
              </w:rPr>
              <w:tab/>
              <w:t>comprehending texts</w:t>
            </w:r>
          </w:p>
          <w:p w:rsidR="00265645" w:rsidRPr="00265645" w:rsidRDefault="00265645" w:rsidP="00265645">
            <w:pPr>
              <w:suppressAutoHyphens/>
              <w:spacing w:before="120"/>
              <w:ind w:left="227" w:hanging="227"/>
              <w:rPr>
                <w:rFonts w:cs="Arial"/>
                <w:szCs w:val="19"/>
                <w:lang w:val="en-GB"/>
              </w:rPr>
            </w:pPr>
            <w:r w:rsidRPr="00265645">
              <w:rPr>
                <w:rFonts w:cs="Arial"/>
                <w:szCs w:val="19"/>
                <w:lang w:val="en-GB"/>
              </w:rPr>
              <w:t>•</w:t>
            </w:r>
            <w:r w:rsidRPr="00265645">
              <w:rPr>
                <w:rFonts w:cs="Arial"/>
                <w:szCs w:val="19"/>
                <w:lang w:val="en-GB"/>
              </w:rPr>
              <w:tab/>
              <w:t>composing texts</w:t>
            </w:r>
          </w:p>
          <w:p w:rsidR="00265645" w:rsidRPr="00265645" w:rsidRDefault="00265645" w:rsidP="00265645">
            <w:pPr>
              <w:suppressAutoHyphens/>
              <w:spacing w:before="120"/>
              <w:ind w:left="227" w:hanging="227"/>
              <w:rPr>
                <w:rFonts w:cs="Arial"/>
                <w:szCs w:val="19"/>
                <w:lang w:val="en-GB"/>
              </w:rPr>
            </w:pPr>
            <w:r w:rsidRPr="00265645">
              <w:rPr>
                <w:rFonts w:cs="Arial"/>
                <w:szCs w:val="19"/>
                <w:lang w:val="en-GB"/>
              </w:rPr>
              <w:t>•</w:t>
            </w:r>
            <w:r w:rsidRPr="00265645">
              <w:rPr>
                <w:rFonts w:cs="Arial"/>
                <w:szCs w:val="19"/>
                <w:lang w:val="en-GB"/>
              </w:rPr>
              <w:tab/>
              <w:t>intercultural competence</w:t>
            </w:r>
          </w:p>
          <w:p w:rsidR="00265645" w:rsidRPr="00265645" w:rsidRDefault="00265645" w:rsidP="00265645">
            <w:pPr>
              <w:suppressAutoHyphens/>
              <w:spacing w:before="120"/>
              <w:ind w:left="227" w:hanging="227"/>
              <w:rPr>
                <w:rFonts w:cs="Arial"/>
                <w:sz w:val="20"/>
                <w:szCs w:val="20"/>
                <w:lang w:val="en-GB"/>
              </w:rPr>
            </w:pPr>
            <w:r w:rsidRPr="00265645">
              <w:rPr>
                <w:rFonts w:cs="Arial"/>
                <w:szCs w:val="19"/>
                <w:lang w:val="en-GB"/>
              </w:rPr>
              <w:t>•</w:t>
            </w:r>
            <w:r w:rsidRPr="00265645">
              <w:rPr>
                <w:rFonts w:cs="Arial"/>
                <w:szCs w:val="19"/>
                <w:lang w:val="en-GB"/>
              </w:rPr>
              <w:tab/>
              <w:t>reflecting.</w:t>
            </w:r>
          </w:p>
          <w:p w:rsidR="00D52A1C" w:rsidRPr="004D0D36" w:rsidRDefault="00D52A1C" w:rsidP="00370BDB">
            <w:pPr>
              <w:spacing w:line="240" w:lineRule="auto"/>
            </w:pPr>
          </w:p>
          <w:p w:rsidR="00D52A1C" w:rsidRPr="004D0D36" w:rsidRDefault="00D52A1C" w:rsidP="00370BDB">
            <w:pPr>
              <w:spacing w:line="240" w:lineRule="auto"/>
            </w:pPr>
          </w:p>
        </w:tc>
        <w:tc>
          <w:tcPr>
            <w:tcW w:w="7193" w:type="dxa"/>
          </w:tcPr>
          <w:p w:rsidR="00D52A1C" w:rsidRPr="004D0D36" w:rsidRDefault="00D52A1C" w:rsidP="00DE02BB">
            <w:r w:rsidRPr="004D0D36">
              <w:t>Students use their existing understandings of the target language and cultures to further explore</w:t>
            </w:r>
            <w:r>
              <w:t xml:space="preserve"> </w:t>
            </w:r>
            <w:r w:rsidRPr="004D0D36">
              <w:t>societal views and norms, and how these are enacted in the functions, conventions and patterns</w:t>
            </w:r>
            <w:r>
              <w:t xml:space="preserve"> </w:t>
            </w:r>
            <w:r w:rsidRPr="004D0D36">
              <w:t>of each language. They develop their repertoire of process skills and strategies to acquire and</w:t>
            </w:r>
            <w:r>
              <w:t xml:space="preserve"> </w:t>
            </w:r>
            <w:r w:rsidRPr="004D0D36">
              <w:t>manipulate the verbal, non-verbal and written features of the target language. They recognise the</w:t>
            </w:r>
            <w:r>
              <w:t xml:space="preserve"> </w:t>
            </w:r>
            <w:r w:rsidRPr="004D0D36">
              <w:t>importance in contemporary society of learning additional languages and using intercultural skills.</w:t>
            </w:r>
          </w:p>
          <w:p w:rsidR="00D52A1C" w:rsidRPr="004D0D36" w:rsidRDefault="00D52A1C" w:rsidP="00DE02BB">
            <w:r w:rsidRPr="004D0D36">
              <w:t>Students learning Asian, European and other languages expand their understanding and appreciation</w:t>
            </w:r>
            <w:r>
              <w:t xml:space="preserve"> </w:t>
            </w:r>
            <w:r w:rsidRPr="004D0D36">
              <w:t>of the diversity expressed in languages and the influence of language on culture.</w:t>
            </w:r>
          </w:p>
          <w:p w:rsidR="00D52A1C" w:rsidRPr="004D0D36" w:rsidRDefault="00D52A1C" w:rsidP="00DE02BB">
            <w:r w:rsidRPr="004D0D36">
              <w:t>Students learning Indigenous languages also understand that Australian languages and cultures are</w:t>
            </w:r>
            <w:r>
              <w:t xml:space="preserve"> </w:t>
            </w:r>
            <w:r w:rsidRPr="004D0D36">
              <w:t>diverse and are inclusive of Aboriginal languages and cultures, Torres Strait Islander languages and</w:t>
            </w:r>
            <w:r>
              <w:t xml:space="preserve"> </w:t>
            </w:r>
            <w:r w:rsidRPr="004D0D36">
              <w:t>cultures, and their associated creoles and dialects, including Aboriginal Englishes.</w:t>
            </w:r>
          </w:p>
          <w:p w:rsidR="00D52A1C" w:rsidRPr="004D0D36" w:rsidRDefault="00D52A1C" w:rsidP="00DE02BB">
            <w:r w:rsidRPr="004D0D36">
              <w:t xml:space="preserve">Students use the essential processes of </w:t>
            </w:r>
            <w:r w:rsidRPr="004D0D36">
              <w:rPr>
                <w:b/>
                <w:bCs/>
              </w:rPr>
              <w:t xml:space="preserve">Ways of working </w:t>
            </w:r>
            <w:r w:rsidRPr="004D0D36">
              <w:t>to develop and demonstrate their</w:t>
            </w:r>
            <w:r>
              <w:t xml:space="preserve"> </w:t>
            </w:r>
            <w:r w:rsidRPr="004D0D36">
              <w:rPr>
                <w:b/>
                <w:bCs/>
              </w:rPr>
              <w:t>Knowledge and understanding</w:t>
            </w:r>
            <w:r w:rsidRPr="004D0D36">
              <w:t>. They explore a range of text types in the target language, noticing</w:t>
            </w:r>
            <w:r>
              <w:t xml:space="preserve"> </w:t>
            </w:r>
            <w:r w:rsidRPr="004D0D36">
              <w:t>how communication needs and contextual challenges are responded to for different purposes and</w:t>
            </w:r>
            <w:r>
              <w:t xml:space="preserve"> </w:t>
            </w:r>
            <w:r w:rsidRPr="004D0D36">
              <w:t>audiences, and they communicate in a range of controlled contexts on known topics, collaborating</w:t>
            </w:r>
            <w:r>
              <w:t xml:space="preserve"> </w:t>
            </w:r>
            <w:r w:rsidRPr="004D0D36">
              <w:t>with peers. They reflect on their learning and language choices in relation to purpose, context and</w:t>
            </w:r>
            <w:r>
              <w:t xml:space="preserve"> </w:t>
            </w:r>
            <w:r w:rsidRPr="004D0D36">
              <w:t>audience.</w:t>
            </w:r>
          </w:p>
          <w:p w:rsidR="00D52A1C" w:rsidRPr="004D0D36" w:rsidRDefault="00D52A1C" w:rsidP="00DE02BB">
            <w:r w:rsidRPr="004D0D36">
              <w:t>Students select and use tools and technologies, including information and communication</w:t>
            </w:r>
            <w:r>
              <w:t xml:space="preserve"> </w:t>
            </w:r>
            <w:r w:rsidRPr="004D0D36">
              <w:t>technologies (ICTs), in purposeful ways. They make use of the potential that ICTs provide to inquire,</w:t>
            </w:r>
            <w:r>
              <w:t xml:space="preserve"> </w:t>
            </w:r>
            <w:r w:rsidRPr="004D0D36">
              <w:t>create and communicate in the target language.</w:t>
            </w:r>
          </w:p>
          <w:p w:rsidR="00D52A1C" w:rsidRPr="004D0D36" w:rsidRDefault="00D52A1C" w:rsidP="00DE02BB">
            <w:r w:rsidRPr="004D0D36">
              <w:t>Students demonstrate evidence of their learning over time in relation to the following assessable</w:t>
            </w:r>
            <w:r>
              <w:t xml:space="preserve"> </w:t>
            </w:r>
            <w:r w:rsidRPr="004D0D36">
              <w:t>elements:</w:t>
            </w:r>
          </w:p>
          <w:p w:rsidR="00D52A1C" w:rsidRPr="004D0D36" w:rsidRDefault="00D52A1C" w:rsidP="00DE02BB">
            <w:pPr>
              <w:pStyle w:val="bulletlevel1"/>
            </w:pPr>
            <w:r w:rsidRPr="004D0D36">
              <w:t xml:space="preserve">• </w:t>
            </w:r>
            <w:r>
              <w:tab/>
            </w:r>
            <w:r w:rsidRPr="004D0D36">
              <w:t>knowledge and understanding</w:t>
            </w:r>
          </w:p>
          <w:p w:rsidR="00D52A1C" w:rsidRPr="004D0D36" w:rsidRDefault="00D52A1C" w:rsidP="00DE02BB">
            <w:pPr>
              <w:pStyle w:val="bulletlevel1"/>
            </w:pPr>
            <w:r w:rsidRPr="004D0D36">
              <w:t xml:space="preserve">• </w:t>
            </w:r>
            <w:r>
              <w:tab/>
            </w:r>
            <w:r w:rsidRPr="004D0D36">
              <w:t>comprehending texts</w:t>
            </w:r>
          </w:p>
          <w:p w:rsidR="00D52A1C" w:rsidRPr="004D0D36" w:rsidRDefault="00D52A1C" w:rsidP="00DE02BB">
            <w:pPr>
              <w:pStyle w:val="bulletlevel1"/>
            </w:pPr>
            <w:r w:rsidRPr="004D0D36">
              <w:t xml:space="preserve">• </w:t>
            </w:r>
            <w:r>
              <w:tab/>
            </w:r>
            <w:r w:rsidRPr="004D0D36">
              <w:t>composing texts</w:t>
            </w:r>
          </w:p>
          <w:p w:rsidR="00D52A1C" w:rsidRPr="004D0D36" w:rsidRDefault="00D52A1C" w:rsidP="00DE02BB">
            <w:pPr>
              <w:pStyle w:val="bulletlevel1"/>
            </w:pPr>
            <w:r w:rsidRPr="004D0D36">
              <w:t xml:space="preserve">• </w:t>
            </w:r>
            <w:r>
              <w:tab/>
            </w:r>
            <w:r w:rsidRPr="004D0D36">
              <w:t>intercultural competence</w:t>
            </w:r>
          </w:p>
          <w:p w:rsidR="00D52A1C" w:rsidRPr="004D0D36" w:rsidRDefault="00D52A1C" w:rsidP="00DE02BB">
            <w:pPr>
              <w:pStyle w:val="bulletlevel1"/>
            </w:pPr>
            <w:r w:rsidRPr="004D0D36">
              <w:t xml:space="preserve">• </w:t>
            </w:r>
            <w:r>
              <w:tab/>
            </w:r>
            <w:r w:rsidRPr="004D0D36">
              <w:t>reflecting.</w:t>
            </w:r>
          </w:p>
          <w:p w:rsidR="00D52A1C" w:rsidRPr="004D0D36" w:rsidRDefault="00D52A1C" w:rsidP="00370BDB">
            <w:pPr>
              <w:spacing w:line="240" w:lineRule="auto"/>
            </w:pPr>
          </w:p>
        </w:tc>
        <w:tc>
          <w:tcPr>
            <w:tcW w:w="7171" w:type="dxa"/>
          </w:tcPr>
          <w:p w:rsidR="00D52A1C" w:rsidRPr="004D0D36" w:rsidRDefault="00D52A1C" w:rsidP="00DE02BB">
            <w:r w:rsidRPr="004D0D36">
              <w:t>Students use their existing understandings about the target language and cultures to further</w:t>
            </w:r>
            <w:r>
              <w:t xml:space="preserve"> </w:t>
            </w:r>
            <w:r w:rsidRPr="004D0D36">
              <w:t>develop their target language proficiency and intercultural competence to enable them to</w:t>
            </w:r>
            <w:r>
              <w:t xml:space="preserve"> </w:t>
            </w:r>
            <w:r w:rsidRPr="004D0D36">
              <w:t>appropriately communicate in intercultural situations. They develop a deepening understanding</w:t>
            </w:r>
            <w:r>
              <w:t xml:space="preserve"> </w:t>
            </w:r>
            <w:r w:rsidRPr="004D0D36">
              <w:t>of how culture is reflected in and constructed by language, and become more competent in</w:t>
            </w:r>
            <w:r>
              <w:t xml:space="preserve"> </w:t>
            </w:r>
            <w:r w:rsidRPr="004D0D36">
              <w:t>using functions, conventions and structures in the target language. They begin to appreciate the</w:t>
            </w:r>
            <w:r>
              <w:t xml:space="preserve"> </w:t>
            </w:r>
            <w:r w:rsidRPr="004D0D36">
              <w:t>complexities of cultures, particularly in relation to the less visible dimensions, and also their</w:t>
            </w:r>
            <w:r>
              <w:t xml:space="preserve"> </w:t>
            </w:r>
            <w:r w:rsidRPr="004D0D36">
              <w:t>dynamic and flexible nature. They further develop their understanding of the role of proficiency in</w:t>
            </w:r>
            <w:r>
              <w:t xml:space="preserve"> </w:t>
            </w:r>
            <w:r w:rsidRPr="004D0D36">
              <w:t>other languages in the contemporary world of work, intercultural contact and globalisation.</w:t>
            </w:r>
          </w:p>
          <w:p w:rsidR="00D52A1C" w:rsidRPr="004D0D36" w:rsidRDefault="00D52A1C" w:rsidP="00DE02BB">
            <w:r w:rsidRPr="004D0D36">
              <w:t>Students learning Asian, European and other languages further expand their understanding and</w:t>
            </w:r>
            <w:r>
              <w:t xml:space="preserve"> </w:t>
            </w:r>
            <w:r w:rsidRPr="004D0D36">
              <w:t>appreciation of cultural diversity expressed in languages and the influence of language on material</w:t>
            </w:r>
            <w:r>
              <w:t xml:space="preserve"> </w:t>
            </w:r>
            <w:r w:rsidRPr="004D0D36">
              <w:t>and non-material elements of culture.</w:t>
            </w:r>
          </w:p>
          <w:p w:rsidR="00D52A1C" w:rsidRPr="004D0D36" w:rsidRDefault="00D52A1C" w:rsidP="00DE02BB">
            <w:r w:rsidRPr="004D0D36">
              <w:t>Students learning Indigenous languages also have a well-developed understanding about</w:t>
            </w:r>
            <w:r>
              <w:t xml:space="preserve"> </w:t>
            </w:r>
            <w:smartTag w:uri="urn:schemas-microsoft-com:office:smarttags" w:element="place">
              <w:smartTag w:uri="urn:schemas-microsoft-com:office:smarttags" w:element="country-region">
                <w:r w:rsidRPr="004D0D36">
                  <w:t>Australia</w:t>
                </w:r>
              </w:smartTag>
            </w:smartTag>
            <w:r w:rsidRPr="004D0D36">
              <w:t>’s linguistic and cultural diversity and that there are many active Aboriginal languages and</w:t>
            </w:r>
            <w:r>
              <w:t xml:space="preserve"> </w:t>
            </w:r>
            <w:r w:rsidRPr="004D0D36">
              <w:t>cultures, Torres Strait Islander languages and cultures, and their associated creoles and dialects,</w:t>
            </w:r>
            <w:r>
              <w:t xml:space="preserve"> </w:t>
            </w:r>
            <w:r w:rsidRPr="004D0D36">
              <w:t>including Aboriginal Englishes.</w:t>
            </w:r>
          </w:p>
          <w:p w:rsidR="00D52A1C" w:rsidRPr="004D0D36" w:rsidRDefault="00D52A1C" w:rsidP="00DE02BB">
            <w:r w:rsidRPr="004D0D36">
              <w:t xml:space="preserve">Students use the essential processes of </w:t>
            </w:r>
            <w:r w:rsidRPr="004D0D36">
              <w:rPr>
                <w:b/>
                <w:bCs/>
              </w:rPr>
              <w:t xml:space="preserve">Ways of working </w:t>
            </w:r>
            <w:r w:rsidRPr="004D0D36">
              <w:t>to develop and demonstrate their</w:t>
            </w:r>
            <w:r>
              <w:t xml:space="preserve"> </w:t>
            </w:r>
            <w:r w:rsidRPr="004D0D36">
              <w:rPr>
                <w:b/>
                <w:bCs/>
              </w:rPr>
              <w:t>Knowledge and understanding</w:t>
            </w:r>
            <w:r w:rsidRPr="004D0D36">
              <w:t>. They explore a wider range of text types in the target language, and</w:t>
            </w:r>
            <w:r>
              <w:t xml:space="preserve"> </w:t>
            </w:r>
            <w:r w:rsidRPr="004D0D36">
              <w:t>develop proficiency and increasing confidence in using them. They also develop capacities to meet</w:t>
            </w:r>
            <w:r>
              <w:t xml:space="preserve"> </w:t>
            </w:r>
            <w:r w:rsidRPr="004D0D36">
              <w:t>communication needs and resolve linguistic and intercultural challenges with increasing knowledge</w:t>
            </w:r>
            <w:r w:rsidR="0052187D">
              <w:t xml:space="preserve"> </w:t>
            </w:r>
            <w:r w:rsidRPr="004D0D36">
              <w:t>of purpose and audience, in formal and informal situations. They reflect on their learning and the</w:t>
            </w:r>
            <w:r>
              <w:t xml:space="preserve"> </w:t>
            </w:r>
            <w:r w:rsidRPr="004D0D36">
              <w:t>appropriateness of language choices in target language texts.</w:t>
            </w:r>
          </w:p>
          <w:p w:rsidR="00D52A1C" w:rsidRPr="004D0D36" w:rsidRDefault="00D52A1C" w:rsidP="00DE02BB">
            <w:r w:rsidRPr="004D0D36">
              <w:t>Students select and use a range of tools and technologies, including information and</w:t>
            </w:r>
            <w:r>
              <w:t xml:space="preserve"> </w:t>
            </w:r>
            <w:r w:rsidRPr="004D0D36">
              <w:t>communication technologies (ICTs). They routinely demonstrate an autonomous and purposeful use</w:t>
            </w:r>
            <w:r>
              <w:t xml:space="preserve"> </w:t>
            </w:r>
            <w:r w:rsidRPr="004D0D36">
              <w:t>of ICTs to inquire, create and communicate in the target language.</w:t>
            </w:r>
          </w:p>
          <w:p w:rsidR="00D52A1C" w:rsidRPr="004D0D36" w:rsidRDefault="00D52A1C" w:rsidP="00DE02BB">
            <w:r w:rsidRPr="004D0D36">
              <w:t>Students demonstrate evidence of their learning over time in relation to the following assessable</w:t>
            </w:r>
            <w:r>
              <w:t xml:space="preserve"> </w:t>
            </w:r>
            <w:r w:rsidRPr="004D0D36">
              <w:t>elements:</w:t>
            </w:r>
          </w:p>
          <w:p w:rsidR="00D52A1C" w:rsidRPr="004D0D36" w:rsidRDefault="00D52A1C" w:rsidP="00DE02BB">
            <w:pPr>
              <w:pStyle w:val="bulletlevel1"/>
            </w:pPr>
            <w:r w:rsidRPr="004D0D36">
              <w:t xml:space="preserve">• </w:t>
            </w:r>
            <w:r>
              <w:tab/>
            </w:r>
            <w:r w:rsidRPr="004D0D36">
              <w:t>knowledge and understanding</w:t>
            </w:r>
          </w:p>
          <w:p w:rsidR="00D52A1C" w:rsidRPr="004D0D36" w:rsidRDefault="00D52A1C" w:rsidP="00DE02BB">
            <w:pPr>
              <w:pStyle w:val="bulletlevel1"/>
            </w:pPr>
            <w:r w:rsidRPr="004D0D36">
              <w:t xml:space="preserve">• </w:t>
            </w:r>
            <w:r>
              <w:tab/>
            </w:r>
            <w:r w:rsidRPr="004D0D36">
              <w:t>comprehending texts</w:t>
            </w:r>
          </w:p>
          <w:p w:rsidR="00D52A1C" w:rsidRPr="004D0D36" w:rsidRDefault="00D52A1C" w:rsidP="00DE02BB">
            <w:pPr>
              <w:pStyle w:val="bulletlevel1"/>
            </w:pPr>
            <w:r w:rsidRPr="004D0D36">
              <w:t xml:space="preserve">• </w:t>
            </w:r>
            <w:r>
              <w:tab/>
            </w:r>
            <w:r w:rsidRPr="004D0D36">
              <w:t>composing texts</w:t>
            </w:r>
          </w:p>
          <w:p w:rsidR="00D52A1C" w:rsidRPr="004D0D36" w:rsidRDefault="00D52A1C" w:rsidP="00DE02BB">
            <w:pPr>
              <w:pStyle w:val="bulletlevel1"/>
            </w:pPr>
            <w:r w:rsidRPr="004D0D36">
              <w:t xml:space="preserve">• </w:t>
            </w:r>
            <w:r>
              <w:tab/>
            </w:r>
            <w:r w:rsidRPr="004D0D36">
              <w:t>intercultural competence</w:t>
            </w:r>
          </w:p>
          <w:p w:rsidR="00D52A1C" w:rsidRPr="004D0D36" w:rsidRDefault="00D52A1C" w:rsidP="00DE02BB">
            <w:pPr>
              <w:pStyle w:val="bulletlevel1"/>
            </w:pPr>
            <w:r w:rsidRPr="004D0D36">
              <w:t xml:space="preserve">• </w:t>
            </w:r>
            <w:r>
              <w:tab/>
            </w:r>
            <w:r w:rsidRPr="004D0D36">
              <w:t>reflectin</w:t>
            </w:r>
            <w:r>
              <w:t>g.</w:t>
            </w:r>
          </w:p>
        </w:tc>
      </w:tr>
    </w:tbl>
    <w:p w:rsidR="00206B52" w:rsidRDefault="00206B52" w:rsidP="00196575"/>
    <w:sectPr w:rsidR="00206B52" w:rsidSect="00196575">
      <w:headerReference w:type="default" r:id="rId8"/>
      <w:headerReference w:type="first" r:id="rId9"/>
      <w:footerReference w:type="first" r:id="rId10"/>
      <w:pgSz w:w="23814" w:h="16840" w:orient="landscape" w:code="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570" w:rsidRDefault="00E67570">
      <w:r>
        <w:separator/>
      </w:r>
    </w:p>
  </w:endnote>
  <w:endnote w:type="continuationSeparator" w:id="0">
    <w:p w:rsidR="00E67570" w:rsidRDefault="00E6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2B" w:rsidRPr="00400E5C" w:rsidRDefault="00F86E18" w:rsidP="0002415D">
    <w:pPr>
      <w:spacing w:after="160"/>
      <w:rPr>
        <w:b/>
        <w:color w:val="49176D"/>
        <w:sz w:val="22"/>
        <w:szCs w:val="22"/>
      </w:rPr>
    </w:pPr>
    <w:r>
      <w:rPr>
        <w:noProof/>
        <w:color w:val="49176D"/>
      </w:rPr>
      <w:drawing>
        <wp:anchor distT="0" distB="0" distL="114300" distR="114300" simplePos="0" relativeHeight="251657728" behindDoc="0" locked="0" layoutInCell="1" allowOverlap="1">
          <wp:simplePos x="0" y="0"/>
          <wp:positionH relativeFrom="column">
            <wp:posOffset>9411335</wp:posOffset>
          </wp:positionH>
          <wp:positionV relativeFrom="paragraph">
            <wp:posOffset>-156210</wp:posOffset>
          </wp:positionV>
          <wp:extent cx="4297680" cy="557530"/>
          <wp:effectExtent l="0" t="0" r="7620" b="0"/>
          <wp:wrapNone/>
          <wp:docPr id="5" name="Picture 5" descr="logos_5percent_t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s_5percent_t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7680" cy="557530"/>
                  </a:xfrm>
                  <a:prstGeom prst="rect">
                    <a:avLst/>
                  </a:prstGeom>
                  <a:noFill/>
                </pic:spPr>
              </pic:pic>
            </a:graphicData>
          </a:graphic>
          <wp14:sizeRelH relativeFrom="page">
            <wp14:pctWidth>0</wp14:pctWidth>
          </wp14:sizeRelH>
          <wp14:sizeRelV relativeFrom="page">
            <wp14:pctHeight>0</wp14:pctHeight>
          </wp14:sizeRelV>
        </wp:anchor>
      </w:drawing>
    </w:r>
    <w:r w:rsidR="00FD472B" w:rsidRPr="00400E5C">
      <w:rPr>
        <w:b/>
        <w:color w:val="49176D"/>
        <w:sz w:val="22"/>
        <w:szCs w:val="22"/>
      </w:rPr>
      <w:t xml:space="preserve">Page </w:t>
    </w:r>
    <w:r w:rsidR="00FD472B" w:rsidRPr="00400E5C">
      <w:rPr>
        <w:b/>
        <w:color w:val="49176D"/>
        <w:sz w:val="22"/>
        <w:szCs w:val="22"/>
      </w:rPr>
      <w:fldChar w:fldCharType="begin"/>
    </w:r>
    <w:r w:rsidR="00FD472B" w:rsidRPr="00400E5C">
      <w:rPr>
        <w:b/>
        <w:color w:val="49176D"/>
        <w:sz w:val="22"/>
        <w:szCs w:val="22"/>
      </w:rPr>
      <w:instrText xml:space="preserve"> PAGE </w:instrText>
    </w:r>
    <w:r w:rsidR="00FD472B" w:rsidRPr="00400E5C">
      <w:rPr>
        <w:b/>
        <w:color w:val="49176D"/>
        <w:sz w:val="22"/>
        <w:szCs w:val="22"/>
      </w:rPr>
      <w:fldChar w:fldCharType="separate"/>
    </w:r>
    <w:r>
      <w:rPr>
        <w:b/>
        <w:noProof/>
        <w:color w:val="49176D"/>
        <w:sz w:val="22"/>
        <w:szCs w:val="22"/>
      </w:rPr>
      <w:t>1</w:t>
    </w:r>
    <w:r w:rsidR="00FD472B" w:rsidRPr="00400E5C">
      <w:rPr>
        <w:b/>
        <w:color w:val="49176D"/>
        <w:sz w:val="22"/>
        <w:szCs w:val="22"/>
      </w:rPr>
      <w:fldChar w:fldCharType="end"/>
    </w:r>
    <w:r w:rsidR="00FD472B" w:rsidRPr="00400E5C">
      <w:rPr>
        <w:b/>
        <w:color w:val="49176D"/>
        <w:sz w:val="22"/>
        <w:szCs w:val="22"/>
      </w:rPr>
      <w:t xml:space="preserve"> of </w:t>
    </w:r>
    <w:r w:rsidR="00FD472B" w:rsidRPr="00400E5C">
      <w:rPr>
        <w:b/>
        <w:color w:val="49176D"/>
        <w:sz w:val="22"/>
        <w:szCs w:val="22"/>
      </w:rPr>
      <w:fldChar w:fldCharType="begin"/>
    </w:r>
    <w:r w:rsidR="00FD472B" w:rsidRPr="00400E5C">
      <w:rPr>
        <w:b/>
        <w:color w:val="49176D"/>
        <w:sz w:val="22"/>
        <w:szCs w:val="22"/>
      </w:rPr>
      <w:instrText xml:space="preserve"> NUMPAGES </w:instrText>
    </w:r>
    <w:r w:rsidR="00FD472B" w:rsidRPr="00400E5C">
      <w:rPr>
        <w:b/>
        <w:color w:val="49176D"/>
        <w:sz w:val="22"/>
        <w:szCs w:val="22"/>
      </w:rPr>
      <w:fldChar w:fldCharType="separate"/>
    </w:r>
    <w:r>
      <w:rPr>
        <w:b/>
        <w:noProof/>
        <w:color w:val="49176D"/>
        <w:sz w:val="22"/>
        <w:szCs w:val="22"/>
      </w:rPr>
      <w:t>1</w:t>
    </w:r>
    <w:r w:rsidR="00FD472B" w:rsidRPr="00400E5C">
      <w:rPr>
        <w:b/>
        <w:color w:val="49176D"/>
        <w:sz w:val="22"/>
        <w:szCs w:val="22"/>
      </w:rPr>
      <w:fldChar w:fldCharType="end"/>
    </w:r>
  </w:p>
  <w:p w:rsidR="00FD472B" w:rsidRPr="0002415D" w:rsidRDefault="00FD472B" w:rsidP="0002415D">
    <w:pPr>
      <w:spacing w:before="0" w:after="0"/>
      <w:rPr>
        <w:color w:val="49176D"/>
      </w:rPr>
    </w:pPr>
    <w:r w:rsidRPr="0002415D">
      <w:rPr>
        <w:b/>
        <w:color w:val="49176D"/>
      </w:rPr>
      <w:t>www.qsa.qld.edu.au</w:t>
    </w:r>
    <w:r w:rsidRPr="0002415D">
      <w:rPr>
        <w:rFonts w:ascii="MS Gothic" w:eastAsia="MS Gothic" w:hAnsi="MS Gothic" w:cs="MS Gothic" w:hint="eastAsia"/>
        <w:color w:val="49176D"/>
      </w:rPr>
      <w:t> </w:t>
    </w:r>
    <w:r w:rsidRPr="0002415D">
      <w:rPr>
        <w:color w:val="49176D"/>
      </w:rPr>
      <w:t xml:space="preserve">© The State of </w:t>
    </w:r>
    <w:smartTag w:uri="urn:schemas-microsoft-com:office:smarttags" w:element="place">
      <w:smartTag w:uri="urn:schemas-microsoft-com:office:smarttags" w:element="State">
        <w:r w:rsidRPr="0002415D">
          <w:rPr>
            <w:color w:val="49176D"/>
          </w:rPr>
          <w:t>Queensland</w:t>
        </w:r>
      </w:smartTag>
    </w:smartTag>
    <w:r w:rsidRPr="0002415D">
      <w:rPr>
        <w:color w:val="49176D"/>
      </w:rPr>
      <w:t xml:space="preserve"> (Qu</w:t>
    </w:r>
    <w:r w:rsidR="00A95E66">
      <w:rPr>
        <w:color w:val="49176D"/>
      </w:rPr>
      <w:t>eensland Studies Authority)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570" w:rsidRDefault="00E67570">
      <w:r>
        <w:separator/>
      </w:r>
    </w:p>
  </w:footnote>
  <w:footnote w:type="continuationSeparator" w:id="0">
    <w:p w:rsidR="00E67570" w:rsidRDefault="00E67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2B" w:rsidRPr="00400E5C" w:rsidRDefault="00FD472B" w:rsidP="00400E5C">
    <w:pPr>
      <w:pStyle w:val="Header"/>
      <w:tabs>
        <w:tab w:val="clear" w:pos="4153"/>
        <w:tab w:val="clear" w:pos="8306"/>
        <w:tab w:val="right" w:pos="21546"/>
      </w:tabs>
      <w:rPr>
        <w:smallCaps/>
        <w:color w:val="49176D"/>
        <w:szCs w:val="19"/>
      </w:rPr>
    </w:pPr>
    <w:r>
      <w:rPr>
        <w:b/>
        <w:i/>
        <w:color w:val="49176D"/>
      </w:rPr>
      <w:t>Knowled</w:t>
    </w:r>
    <w:r w:rsidRPr="00962D4D">
      <w:rPr>
        <w:b/>
        <w:i/>
        <w:color w:val="49176D"/>
      </w:rPr>
      <w:t>g</w:t>
    </w:r>
    <w:r>
      <w:rPr>
        <w:b/>
        <w:i/>
        <w:color w:val="49176D"/>
      </w:rPr>
      <w:t>e</w:t>
    </w:r>
    <w:r w:rsidRPr="00962D4D">
      <w:rPr>
        <w:b/>
        <w:i/>
        <w:color w:val="49176D"/>
      </w:rPr>
      <w:t xml:space="preserve"> and understanding</w:t>
    </w:r>
    <w:r w:rsidRPr="00400E5C">
      <w:rPr>
        <w:i/>
        <w:color w:val="49176D"/>
      </w:rPr>
      <w:t xml:space="preserve"> — for a specific KLA across all junctures</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75" w:rsidRPr="00400E5C" w:rsidRDefault="00196575" w:rsidP="00196575">
    <w:pPr>
      <w:pStyle w:val="Header"/>
      <w:tabs>
        <w:tab w:val="clear" w:pos="4153"/>
        <w:tab w:val="clear" w:pos="8306"/>
        <w:tab w:val="right" w:pos="21546"/>
      </w:tabs>
      <w:rPr>
        <w:smallCaps/>
        <w:color w:val="49176D"/>
        <w:szCs w:val="19"/>
      </w:rPr>
    </w:pPr>
    <w:r w:rsidRPr="00D35621">
      <w:rPr>
        <w:b/>
        <w:i/>
        <w:color w:val="49176D"/>
        <w:sz w:val="28"/>
        <w:szCs w:val="28"/>
      </w:rPr>
      <w:t>Learning and assessment focus</w:t>
    </w:r>
    <w:r>
      <w:rPr>
        <w:i/>
        <w:color w:val="49176D"/>
      </w:rPr>
      <w:tab/>
    </w:r>
    <w:smartTag w:uri="urn:schemas-microsoft-com:office:smarttags" w:element="place">
      <w:smartTag w:uri="urn:schemas-microsoft-com:office:smarttags" w:element="State">
        <w:r w:rsidRPr="00400E5C">
          <w:rPr>
            <w:smallCaps/>
            <w:color w:val="49176D"/>
            <w:szCs w:val="19"/>
          </w:rPr>
          <w:t>Queensland</w:t>
        </w:r>
      </w:smartTag>
    </w:smartTag>
    <w:r w:rsidRPr="00400E5C">
      <w:rPr>
        <w:smallCaps/>
        <w:color w:val="49176D"/>
        <w:szCs w:val="19"/>
      </w:rPr>
      <w:t xml:space="preserve"> Curriculum, Assessment and Reporting Framework</w:t>
    </w:r>
  </w:p>
  <w:p w:rsidR="00196575" w:rsidRDefault="00196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B61E9E"/>
    <w:lvl w:ilvl="0">
      <w:start w:val="1"/>
      <w:numFmt w:val="decimal"/>
      <w:lvlText w:val="%1."/>
      <w:lvlJc w:val="left"/>
      <w:pPr>
        <w:tabs>
          <w:tab w:val="num" w:pos="1492"/>
        </w:tabs>
        <w:ind w:left="1492" w:hanging="360"/>
      </w:pPr>
    </w:lvl>
  </w:abstractNum>
  <w:abstractNum w:abstractNumId="1">
    <w:nsid w:val="FFFFFF7D"/>
    <w:multiLevelType w:val="singleLevel"/>
    <w:tmpl w:val="288CFC08"/>
    <w:lvl w:ilvl="0">
      <w:start w:val="1"/>
      <w:numFmt w:val="decimal"/>
      <w:lvlText w:val="%1."/>
      <w:lvlJc w:val="left"/>
      <w:pPr>
        <w:tabs>
          <w:tab w:val="num" w:pos="1209"/>
        </w:tabs>
        <w:ind w:left="1209" w:hanging="360"/>
      </w:pPr>
    </w:lvl>
  </w:abstractNum>
  <w:abstractNum w:abstractNumId="2">
    <w:nsid w:val="FFFFFF7E"/>
    <w:multiLevelType w:val="singleLevel"/>
    <w:tmpl w:val="559CB728"/>
    <w:lvl w:ilvl="0">
      <w:start w:val="1"/>
      <w:numFmt w:val="decimal"/>
      <w:lvlText w:val="%1."/>
      <w:lvlJc w:val="left"/>
      <w:pPr>
        <w:tabs>
          <w:tab w:val="num" w:pos="926"/>
        </w:tabs>
        <w:ind w:left="926" w:hanging="360"/>
      </w:pPr>
    </w:lvl>
  </w:abstractNum>
  <w:abstractNum w:abstractNumId="3">
    <w:nsid w:val="FFFFFF7F"/>
    <w:multiLevelType w:val="singleLevel"/>
    <w:tmpl w:val="5CD49636"/>
    <w:lvl w:ilvl="0">
      <w:start w:val="1"/>
      <w:numFmt w:val="decimal"/>
      <w:lvlText w:val="%1."/>
      <w:lvlJc w:val="left"/>
      <w:pPr>
        <w:tabs>
          <w:tab w:val="num" w:pos="643"/>
        </w:tabs>
        <w:ind w:left="643" w:hanging="360"/>
      </w:pPr>
    </w:lvl>
  </w:abstractNum>
  <w:abstractNum w:abstractNumId="4">
    <w:nsid w:val="FFFFFF80"/>
    <w:multiLevelType w:val="singleLevel"/>
    <w:tmpl w:val="297A9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CA6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414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3E65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722EFE"/>
    <w:lvl w:ilvl="0">
      <w:start w:val="1"/>
      <w:numFmt w:val="decimal"/>
      <w:lvlText w:val="%1."/>
      <w:lvlJc w:val="left"/>
      <w:pPr>
        <w:tabs>
          <w:tab w:val="num" w:pos="360"/>
        </w:tabs>
        <w:ind w:left="360" w:hanging="360"/>
      </w:pPr>
    </w:lvl>
  </w:abstractNum>
  <w:abstractNum w:abstractNumId="9">
    <w:nsid w:val="FFFFFF89"/>
    <w:multiLevelType w:val="singleLevel"/>
    <w:tmpl w:val="00E00FA6"/>
    <w:lvl w:ilvl="0">
      <w:start w:val="1"/>
      <w:numFmt w:val="bullet"/>
      <w:lvlText w:val=""/>
      <w:lvlJc w:val="left"/>
      <w:pPr>
        <w:tabs>
          <w:tab w:val="num" w:pos="360"/>
        </w:tabs>
        <w:ind w:left="360" w:hanging="360"/>
      </w:pPr>
      <w:rPr>
        <w:rFonts w:ascii="Symbol" w:hAnsi="Symbol" w:hint="default"/>
      </w:rPr>
    </w:lvl>
  </w:abstractNum>
  <w:abstractNum w:abstractNumId="10">
    <w:nsid w:val="01717D3C"/>
    <w:multiLevelType w:val="hybridMultilevel"/>
    <w:tmpl w:val="12629BBE"/>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BA7884"/>
    <w:multiLevelType w:val="multilevel"/>
    <w:tmpl w:val="15665190"/>
    <w:lvl w:ilvl="0">
      <w:start w:val="1"/>
      <w:numFmt w:val="bullet"/>
      <w:lvlText w:val=""/>
      <w:lvlJc w:val="left"/>
      <w:pPr>
        <w:tabs>
          <w:tab w:val="num" w:pos="170"/>
        </w:tabs>
        <w:ind w:left="170" w:hanging="170"/>
      </w:pPr>
      <w:rPr>
        <w:rFonts w:ascii="Symbol" w:hAnsi="Symbol" w:hint="default"/>
        <w:color w:val="auto"/>
        <w:sz w:val="18"/>
        <w:szCs w:val="18"/>
      </w:rPr>
    </w:lvl>
    <w:lvl w:ilvl="1">
      <w:start w:val="1"/>
      <w:numFmt w:val="bullet"/>
      <w:lvlText w:val="►"/>
      <w:lvlJc w:val="left"/>
      <w:pPr>
        <w:tabs>
          <w:tab w:val="num" w:pos="1364"/>
        </w:tabs>
        <w:ind w:left="1364" w:hanging="284"/>
      </w:pPr>
      <w:rPr>
        <w:rFonts w:ascii="Arial" w:hAnsi="Arial" w:hint="default"/>
        <w:color w:val="auto"/>
        <w:sz w:val="18"/>
        <w:szCs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5A36750"/>
    <w:multiLevelType w:val="hybridMultilevel"/>
    <w:tmpl w:val="90488FC8"/>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0C912E5"/>
    <w:multiLevelType w:val="hybridMultilevel"/>
    <w:tmpl w:val="013EFA3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820012D"/>
    <w:multiLevelType w:val="hybridMultilevel"/>
    <w:tmpl w:val="0D886932"/>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2FA582D"/>
    <w:multiLevelType w:val="hybridMultilevel"/>
    <w:tmpl w:val="33A47296"/>
    <w:lvl w:ilvl="0" w:tplc="C1AA4AF6">
      <w:start w:val="1"/>
      <w:numFmt w:val="bullet"/>
      <w:lvlText w:val=""/>
      <w:lvlJc w:val="left"/>
      <w:pPr>
        <w:tabs>
          <w:tab w:val="num" w:pos="170"/>
        </w:tabs>
        <w:ind w:left="170" w:hanging="170"/>
      </w:pPr>
      <w:rPr>
        <w:rFonts w:ascii="Symbol" w:hAnsi="Symbol" w:hint="default"/>
        <w:color w:val="auto"/>
        <w:sz w:val="18"/>
        <w:szCs w:val="18"/>
      </w:rPr>
    </w:lvl>
    <w:lvl w:ilvl="1" w:tplc="92EAB4DE">
      <w:start w:val="1"/>
      <w:numFmt w:val="bullet"/>
      <w:lvlText w:val="►"/>
      <w:lvlJc w:val="left"/>
      <w:pPr>
        <w:tabs>
          <w:tab w:val="num" w:pos="1364"/>
        </w:tabs>
        <w:ind w:left="1364" w:hanging="284"/>
      </w:pPr>
      <w:rPr>
        <w:rFonts w:ascii="Arial" w:hAnsi="Arial" w:hint="default"/>
        <w:color w:val="auto"/>
        <w:sz w:val="18"/>
        <w:szCs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46C2DD8"/>
    <w:multiLevelType w:val="hybridMultilevel"/>
    <w:tmpl w:val="19866810"/>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3F62D7"/>
    <w:multiLevelType w:val="hybridMultilevel"/>
    <w:tmpl w:val="5B42631C"/>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1A7E30"/>
    <w:multiLevelType w:val="hybridMultilevel"/>
    <w:tmpl w:val="AB7682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DB94FDE"/>
    <w:multiLevelType w:val="hybridMultilevel"/>
    <w:tmpl w:val="5A783424"/>
    <w:lvl w:ilvl="0" w:tplc="92EAB4DE">
      <w:start w:val="1"/>
      <w:numFmt w:val="bullet"/>
      <w:lvlText w:val="►"/>
      <w:lvlJc w:val="left"/>
      <w:pPr>
        <w:tabs>
          <w:tab w:val="num" w:pos="284"/>
        </w:tabs>
        <w:ind w:left="284" w:hanging="284"/>
      </w:pPr>
      <w:rPr>
        <w:rFonts w:ascii="Arial" w:hAnsi="Aria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48A57B2"/>
    <w:multiLevelType w:val="hybridMultilevel"/>
    <w:tmpl w:val="62B66E66"/>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64B95958"/>
    <w:multiLevelType w:val="hybridMultilevel"/>
    <w:tmpl w:val="85CC743A"/>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7767348"/>
    <w:multiLevelType w:val="multilevel"/>
    <w:tmpl w:val="90488FC8"/>
    <w:lvl w:ilvl="0">
      <w:start w:val="1"/>
      <w:numFmt w:val="bullet"/>
      <w:lvlText w:val="►"/>
      <w:lvlJc w:val="left"/>
      <w:pPr>
        <w:tabs>
          <w:tab w:val="num" w:pos="284"/>
        </w:tabs>
        <w:ind w:left="284" w:hanging="284"/>
      </w:pPr>
      <w:rPr>
        <w:rFonts w:ascii="Arial" w:hAnsi="Arial" w:hint="default"/>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14821C4"/>
    <w:multiLevelType w:val="hybridMultilevel"/>
    <w:tmpl w:val="1A768768"/>
    <w:lvl w:ilvl="0" w:tplc="C1AA4AF6">
      <w:start w:val="1"/>
      <w:numFmt w:val="bullet"/>
      <w:lvlText w:val=""/>
      <w:lvlJc w:val="left"/>
      <w:pPr>
        <w:tabs>
          <w:tab w:val="num" w:pos="170"/>
        </w:tabs>
        <w:ind w:left="170" w:hanging="17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3"/>
  </w:num>
  <w:num w:numId="4">
    <w:abstractNumId w:val="10"/>
  </w:num>
  <w:num w:numId="5">
    <w:abstractNumId w:val="13"/>
  </w:num>
  <w:num w:numId="6">
    <w:abstractNumId w:val="19"/>
  </w:num>
  <w:num w:numId="7">
    <w:abstractNumId w:val="18"/>
  </w:num>
  <w:num w:numId="8">
    <w:abstractNumId w:val="11"/>
  </w:num>
  <w:num w:numId="9">
    <w:abstractNumId w:val="15"/>
  </w:num>
  <w:num w:numId="10">
    <w:abstractNumId w:val="21"/>
  </w:num>
  <w:num w:numId="11">
    <w:abstractNumId w:val="16"/>
  </w:num>
  <w:num w:numId="12">
    <w:abstractNumId w:val="14"/>
  </w:num>
  <w:num w:numId="13">
    <w:abstractNumId w:val="2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62"/>
    <w:rsid w:val="0002415D"/>
    <w:rsid w:val="00036124"/>
    <w:rsid w:val="00043AA2"/>
    <w:rsid w:val="000544CA"/>
    <w:rsid w:val="000555F2"/>
    <w:rsid w:val="00062255"/>
    <w:rsid w:val="00071F8A"/>
    <w:rsid w:val="00083B77"/>
    <w:rsid w:val="000D3BE4"/>
    <w:rsid w:val="000E39B5"/>
    <w:rsid w:val="000E443B"/>
    <w:rsid w:val="000F368E"/>
    <w:rsid w:val="000F4815"/>
    <w:rsid w:val="000F5587"/>
    <w:rsid w:val="001106BF"/>
    <w:rsid w:val="0013210A"/>
    <w:rsid w:val="001741F0"/>
    <w:rsid w:val="0019040E"/>
    <w:rsid w:val="00196575"/>
    <w:rsid w:val="001B50EC"/>
    <w:rsid w:val="001E5B30"/>
    <w:rsid w:val="001E6C0A"/>
    <w:rsid w:val="00206B52"/>
    <w:rsid w:val="0022633E"/>
    <w:rsid w:val="002475D1"/>
    <w:rsid w:val="002635D9"/>
    <w:rsid w:val="00265645"/>
    <w:rsid w:val="00280EDA"/>
    <w:rsid w:val="002B028B"/>
    <w:rsid w:val="002B2929"/>
    <w:rsid w:val="002B4205"/>
    <w:rsid w:val="002C0440"/>
    <w:rsid w:val="002C26B9"/>
    <w:rsid w:val="002C7D05"/>
    <w:rsid w:val="00306311"/>
    <w:rsid w:val="0032575A"/>
    <w:rsid w:val="00337B09"/>
    <w:rsid w:val="00370BDB"/>
    <w:rsid w:val="0037378D"/>
    <w:rsid w:val="00380999"/>
    <w:rsid w:val="0038741C"/>
    <w:rsid w:val="003A3ACB"/>
    <w:rsid w:val="003B6569"/>
    <w:rsid w:val="003D4000"/>
    <w:rsid w:val="00400E5C"/>
    <w:rsid w:val="00400E87"/>
    <w:rsid w:val="00406D9A"/>
    <w:rsid w:val="00420252"/>
    <w:rsid w:val="00426752"/>
    <w:rsid w:val="00435560"/>
    <w:rsid w:val="0043799E"/>
    <w:rsid w:val="0048412C"/>
    <w:rsid w:val="004A26AC"/>
    <w:rsid w:val="004A3084"/>
    <w:rsid w:val="004A4669"/>
    <w:rsid w:val="004A4B57"/>
    <w:rsid w:val="004B65FE"/>
    <w:rsid w:val="004D2F2D"/>
    <w:rsid w:val="004E6E7B"/>
    <w:rsid w:val="00500F08"/>
    <w:rsid w:val="0051749B"/>
    <w:rsid w:val="0052187D"/>
    <w:rsid w:val="0053106F"/>
    <w:rsid w:val="0055799A"/>
    <w:rsid w:val="005A7B22"/>
    <w:rsid w:val="005C16A3"/>
    <w:rsid w:val="006112F4"/>
    <w:rsid w:val="00611DE7"/>
    <w:rsid w:val="00632D2A"/>
    <w:rsid w:val="006534A6"/>
    <w:rsid w:val="00664426"/>
    <w:rsid w:val="00670DD2"/>
    <w:rsid w:val="00687DF7"/>
    <w:rsid w:val="006967BB"/>
    <w:rsid w:val="00734080"/>
    <w:rsid w:val="007733D9"/>
    <w:rsid w:val="007C0A46"/>
    <w:rsid w:val="007E1656"/>
    <w:rsid w:val="007E79F0"/>
    <w:rsid w:val="008008BA"/>
    <w:rsid w:val="00802DF9"/>
    <w:rsid w:val="00823CC2"/>
    <w:rsid w:val="0083048E"/>
    <w:rsid w:val="00842489"/>
    <w:rsid w:val="00853229"/>
    <w:rsid w:val="00855D9B"/>
    <w:rsid w:val="00857F89"/>
    <w:rsid w:val="00880598"/>
    <w:rsid w:val="008A23B4"/>
    <w:rsid w:val="0090114C"/>
    <w:rsid w:val="00902162"/>
    <w:rsid w:val="00922562"/>
    <w:rsid w:val="00925BD3"/>
    <w:rsid w:val="00934419"/>
    <w:rsid w:val="00962D4D"/>
    <w:rsid w:val="009D60C7"/>
    <w:rsid w:val="009E495C"/>
    <w:rsid w:val="00A0475B"/>
    <w:rsid w:val="00A25D89"/>
    <w:rsid w:val="00A53947"/>
    <w:rsid w:val="00A61124"/>
    <w:rsid w:val="00A71726"/>
    <w:rsid w:val="00A82BA3"/>
    <w:rsid w:val="00A95E66"/>
    <w:rsid w:val="00A9771B"/>
    <w:rsid w:val="00AC77F4"/>
    <w:rsid w:val="00AD4F7E"/>
    <w:rsid w:val="00AF2CF7"/>
    <w:rsid w:val="00B204FF"/>
    <w:rsid w:val="00B27C14"/>
    <w:rsid w:val="00B43C65"/>
    <w:rsid w:val="00B4543D"/>
    <w:rsid w:val="00B517FB"/>
    <w:rsid w:val="00B55C2D"/>
    <w:rsid w:val="00B86258"/>
    <w:rsid w:val="00B955AA"/>
    <w:rsid w:val="00BA3635"/>
    <w:rsid w:val="00BB73E7"/>
    <w:rsid w:val="00BE0FDC"/>
    <w:rsid w:val="00C070A2"/>
    <w:rsid w:val="00C14D94"/>
    <w:rsid w:val="00C42296"/>
    <w:rsid w:val="00C942BF"/>
    <w:rsid w:val="00CB315C"/>
    <w:rsid w:val="00CE4E80"/>
    <w:rsid w:val="00D224AF"/>
    <w:rsid w:val="00D52A1C"/>
    <w:rsid w:val="00D54ABC"/>
    <w:rsid w:val="00D62570"/>
    <w:rsid w:val="00DC0B48"/>
    <w:rsid w:val="00DE02BB"/>
    <w:rsid w:val="00DE2B3D"/>
    <w:rsid w:val="00DF7A0A"/>
    <w:rsid w:val="00E139B3"/>
    <w:rsid w:val="00E322D5"/>
    <w:rsid w:val="00E34FC7"/>
    <w:rsid w:val="00E61164"/>
    <w:rsid w:val="00E67570"/>
    <w:rsid w:val="00E848BC"/>
    <w:rsid w:val="00EA04F3"/>
    <w:rsid w:val="00EA5257"/>
    <w:rsid w:val="00EE5387"/>
    <w:rsid w:val="00EF5146"/>
    <w:rsid w:val="00F14FE6"/>
    <w:rsid w:val="00F377E6"/>
    <w:rsid w:val="00F72F55"/>
    <w:rsid w:val="00F73C3A"/>
    <w:rsid w:val="00F75776"/>
    <w:rsid w:val="00F86E18"/>
    <w:rsid w:val="00FC6909"/>
    <w:rsid w:val="00FD472B"/>
    <w:rsid w:val="00FD7422"/>
    <w:rsid w:val="00FE2EDD"/>
    <w:rsid w:val="00FE75C1"/>
    <w:rsid w:val="00FF4D12"/>
    <w:rsid w:val="00FF55DD"/>
    <w:rsid w:val="00FF6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basedOn w:val="Normal"/>
    <w:next w:val="Noparagraphstyle"/>
    <w:qFormat/>
    <w:rsid w:val="00400E5C"/>
    <w:pPr>
      <w:outlineLvl w:val="0"/>
    </w:pPr>
    <w:rPr>
      <w:rFonts w:cs="Arial"/>
      <w:b/>
      <w:color w:val="49176D"/>
      <w:sz w:val="40"/>
      <w:szCs w:val="40"/>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C14"/>
    <w:pPr>
      <w:spacing w:before="80" w:after="80"/>
    </w:pPr>
    <w:rPr>
      <w:rFonts w:ascii="Arial" w:hAnsi="Arial"/>
      <w:sz w:val="19"/>
      <w:szCs w:val="24"/>
    </w:rPr>
  </w:style>
  <w:style w:type="paragraph" w:styleId="Heading1">
    <w:name w:val="heading 1"/>
    <w:basedOn w:val="Normal"/>
    <w:next w:val="Noparagraphstyle"/>
    <w:qFormat/>
    <w:rsid w:val="00400E5C"/>
    <w:pPr>
      <w:outlineLvl w:val="0"/>
    </w:pPr>
    <w:rPr>
      <w:rFonts w:cs="Arial"/>
      <w:b/>
      <w:color w:val="49176D"/>
      <w:sz w:val="40"/>
      <w:szCs w:val="40"/>
    </w:rPr>
  </w:style>
  <w:style w:type="paragraph" w:styleId="Heading3">
    <w:name w:val="heading 3"/>
    <w:basedOn w:val="Normal"/>
    <w:next w:val="Normal"/>
    <w:link w:val="Heading3Char"/>
    <w:qFormat/>
    <w:rsid w:val="0037378D"/>
    <w:pPr>
      <w:autoSpaceDE w:val="0"/>
      <w:autoSpaceDN w:val="0"/>
      <w:adjustRightInd w:val="0"/>
      <w:spacing w:before="160" w:after="0" w:line="288" w:lineRule="auto"/>
      <w:textAlignment w:val="center"/>
      <w:outlineLvl w:val="2"/>
    </w:pPr>
    <w:rPr>
      <w:rFonts w:cs="Times Roman"/>
      <w:b/>
      <w:color w:val="000000"/>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902162"/>
    <w:pPr>
      <w:autoSpaceDE w:val="0"/>
      <w:autoSpaceDN w:val="0"/>
      <w:adjustRightInd w:val="0"/>
      <w:spacing w:line="288" w:lineRule="auto"/>
      <w:textAlignment w:val="center"/>
    </w:pPr>
    <w:rPr>
      <w:rFonts w:ascii="Times Roman" w:hAnsi="Times Roman" w:cs="Times Roman"/>
      <w:color w:val="000000"/>
      <w:sz w:val="24"/>
      <w:szCs w:val="24"/>
    </w:rPr>
  </w:style>
  <w:style w:type="table" w:styleId="TableGrid">
    <w:name w:val="Table Grid"/>
    <w:basedOn w:val="TableNormal"/>
    <w:rsid w:val="00902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02162"/>
    <w:pPr>
      <w:tabs>
        <w:tab w:val="center" w:pos="4153"/>
        <w:tab w:val="right" w:pos="8306"/>
      </w:tabs>
    </w:pPr>
  </w:style>
  <w:style w:type="paragraph" w:styleId="Footer">
    <w:name w:val="footer"/>
    <w:basedOn w:val="Normal"/>
    <w:link w:val="FooterChar"/>
    <w:rsid w:val="00902162"/>
    <w:pPr>
      <w:tabs>
        <w:tab w:val="center" w:pos="4153"/>
        <w:tab w:val="right" w:pos="8306"/>
      </w:tabs>
    </w:pPr>
  </w:style>
  <w:style w:type="paragraph" w:customStyle="1" w:styleId="Headerlevel2">
    <w:name w:val="Header level 2"/>
    <w:basedOn w:val="Noparagraphstyle"/>
    <w:rsid w:val="00902162"/>
    <w:pPr>
      <w:suppressAutoHyphens/>
      <w:spacing w:before="240" w:line="400" w:lineRule="atLeast"/>
    </w:pPr>
    <w:rPr>
      <w:rFonts w:ascii="Zurich Cn BT" w:hAnsi="Zurich Cn BT" w:cs="Zurich Cn BT"/>
      <w:b/>
      <w:bCs/>
      <w:i/>
      <w:iCs/>
      <w:color w:val="0000AF"/>
      <w:sz w:val="36"/>
      <w:szCs w:val="36"/>
      <w:lang w:val="en-GB"/>
    </w:rPr>
  </w:style>
  <w:style w:type="paragraph" w:customStyle="1" w:styleId="bulletlevel1">
    <w:name w:val="bullet level 1"/>
    <w:rsid w:val="0002415D"/>
    <w:pPr>
      <w:tabs>
        <w:tab w:val="left" w:pos="170"/>
      </w:tabs>
      <w:autoSpaceDE w:val="0"/>
      <w:autoSpaceDN w:val="0"/>
      <w:adjustRightInd w:val="0"/>
      <w:spacing w:before="80" w:after="80" w:line="288" w:lineRule="auto"/>
      <w:ind w:left="170" w:hanging="170"/>
      <w:textAlignment w:val="center"/>
    </w:pPr>
    <w:rPr>
      <w:rFonts w:ascii="Arial" w:hAnsi="Arial" w:cs="Times Roman"/>
      <w:color w:val="000000"/>
      <w:sz w:val="19"/>
      <w:szCs w:val="24"/>
    </w:rPr>
  </w:style>
  <w:style w:type="paragraph" w:customStyle="1" w:styleId="example">
    <w:name w:val="example"/>
    <w:link w:val="exampleChar"/>
    <w:rsid w:val="005A7B22"/>
    <w:pPr>
      <w:tabs>
        <w:tab w:val="left" w:pos="624"/>
      </w:tabs>
      <w:autoSpaceDE w:val="0"/>
      <w:autoSpaceDN w:val="0"/>
      <w:adjustRightInd w:val="0"/>
      <w:spacing w:after="40"/>
      <w:ind w:left="624" w:hanging="454"/>
      <w:textAlignment w:val="center"/>
    </w:pPr>
    <w:rPr>
      <w:rFonts w:ascii="Arial" w:hAnsi="Arial" w:cs="Arial"/>
      <w:color w:val="000000"/>
      <w:sz w:val="19"/>
    </w:rPr>
  </w:style>
  <w:style w:type="character" w:customStyle="1" w:styleId="exampleChar">
    <w:name w:val="example Char"/>
    <w:basedOn w:val="DefaultParagraphFont"/>
    <w:link w:val="example"/>
    <w:rsid w:val="00BB73E7"/>
    <w:rPr>
      <w:rFonts w:ascii="Arial" w:hAnsi="Arial" w:cs="Arial"/>
      <w:color w:val="000000"/>
      <w:sz w:val="19"/>
      <w:lang w:val="en-AU" w:eastAsia="en-AU" w:bidi="ar-SA"/>
    </w:rPr>
  </w:style>
  <w:style w:type="character" w:customStyle="1" w:styleId="FooterChar">
    <w:name w:val="Footer Char"/>
    <w:basedOn w:val="DefaultParagraphFont"/>
    <w:link w:val="Footer"/>
    <w:rsid w:val="004A4669"/>
    <w:rPr>
      <w:rFonts w:ascii="Arial" w:hAnsi="Arial"/>
      <w:sz w:val="19"/>
      <w:szCs w:val="24"/>
      <w:lang w:val="en-AU" w:eastAsia="en-AU" w:bidi="ar-SA"/>
    </w:rPr>
  </w:style>
  <w:style w:type="character" w:customStyle="1" w:styleId="HeaderChar">
    <w:name w:val="Header Char"/>
    <w:basedOn w:val="DefaultParagraphFont"/>
    <w:link w:val="Header"/>
    <w:rsid w:val="004A4669"/>
    <w:rPr>
      <w:rFonts w:ascii="Arial" w:hAnsi="Arial"/>
      <w:sz w:val="19"/>
      <w:szCs w:val="24"/>
      <w:lang w:val="en-AU" w:eastAsia="en-AU" w:bidi="ar-SA"/>
    </w:rPr>
  </w:style>
  <w:style w:type="character" w:customStyle="1" w:styleId="Heading3Char">
    <w:name w:val="Heading 3 Char"/>
    <w:basedOn w:val="DefaultParagraphFont"/>
    <w:link w:val="Heading3"/>
    <w:rsid w:val="004A4669"/>
    <w:rPr>
      <w:rFonts w:ascii="Arial" w:hAnsi="Arial" w:cs="Times Roman"/>
      <w:b/>
      <w:color w:val="000000"/>
      <w:sz w:val="21"/>
      <w:szCs w:val="21"/>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Learning and assessment focus – for a specific KLA across all junctures</vt:lpstr>
    </vt:vector>
  </TitlesOfParts>
  <Company>Queensland Studies Authority</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focus - LANGUAGES</dc:title>
  <dc:subject>Queensland Curriculum, Assessment And Reporting Framework (QCAR)</dc:subject>
  <dc:creator>Queensland Studies Authority</dc:creator>
  <cp:keywords/>
  <dc:description/>
  <cp:lastModifiedBy>QSA</cp:lastModifiedBy>
  <cp:revision>2</cp:revision>
  <cp:lastPrinted>2008-04-08T00:36:00Z</cp:lastPrinted>
  <dcterms:created xsi:type="dcterms:W3CDTF">2014-06-18T07:20:00Z</dcterms:created>
  <dcterms:modified xsi:type="dcterms:W3CDTF">2014-06-18T07:20:00Z</dcterms:modified>
</cp:coreProperties>
</file>