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9"/>
        <w:gridCol w:w="5387"/>
        <w:gridCol w:w="5386"/>
      </w:tblGrid>
      <w:tr w:rsidR="00333DE5" w:rsidRPr="004D0D36" w:rsidTr="00333DE5">
        <w:trPr>
          <w:gridAfter w:val="2"/>
          <w:wAfter w:w="10773" w:type="dxa"/>
        </w:trPr>
        <w:tc>
          <w:tcPr>
            <w:tcW w:w="10773" w:type="dxa"/>
            <w:gridSpan w:val="2"/>
            <w:shd w:val="clear" w:color="auto" w:fill="FFF797"/>
          </w:tcPr>
          <w:p w:rsidR="00333DE5" w:rsidRPr="00872C39" w:rsidRDefault="00333DE5" w:rsidP="00EA5257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872C39">
              <w:rPr>
                <w:rFonts w:ascii="Arial Bold" w:hAnsi="Arial Bold" w:cs="Arial"/>
                <w:b/>
                <w:caps/>
                <w:color w:val="49176D"/>
                <w:sz w:val="40"/>
                <w:szCs w:val="40"/>
              </w:rPr>
              <w:t>Health &amp; Physical Education</w:t>
            </w:r>
            <w:r w:rsidRPr="00872C39">
              <w:rPr>
                <w:rFonts w:cs="Arial"/>
                <w:b/>
                <w:color w:val="49176D"/>
                <w:sz w:val="40"/>
                <w:szCs w:val="40"/>
              </w:rPr>
              <w:t xml:space="preserve"> (HPE)</w:t>
            </w:r>
          </w:p>
        </w:tc>
      </w:tr>
      <w:tr w:rsidR="00400E5C" w:rsidRPr="004D0D36" w:rsidTr="00333DE5">
        <w:tc>
          <w:tcPr>
            <w:tcW w:w="5384" w:type="dxa"/>
            <w:shd w:val="clear" w:color="auto" w:fill="EBE8F1"/>
          </w:tcPr>
          <w:p w:rsidR="00400E5C" w:rsidRPr="001E5B30" w:rsidRDefault="00400E5C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389" w:type="dxa"/>
            <w:shd w:val="clear" w:color="auto" w:fill="EBE8F1"/>
          </w:tcPr>
          <w:p w:rsidR="00400E5C" w:rsidRPr="001E5B30" w:rsidRDefault="00400E5C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400E5C" w:rsidRPr="001E5B30" w:rsidRDefault="00400E5C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6" w:type="dxa"/>
            <w:shd w:val="clear" w:color="auto" w:fill="EBE8F1"/>
          </w:tcPr>
          <w:p w:rsidR="00400E5C" w:rsidRPr="001E5B30" w:rsidRDefault="00400E5C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8008BA" w:rsidRPr="004D0D36" w:rsidTr="00333DE5">
        <w:tc>
          <w:tcPr>
            <w:tcW w:w="5384" w:type="dxa"/>
          </w:tcPr>
          <w:p w:rsidR="008008BA" w:rsidRPr="004D0D36" w:rsidRDefault="008008BA" w:rsidP="00DE02BB">
            <w:r w:rsidRPr="004D0D36">
              <w:t>Students use their enthusiasm for physical activity and curiosity about how the human body works,</w:t>
            </w:r>
            <w:r>
              <w:t xml:space="preserve"> </w:t>
            </w:r>
            <w:r w:rsidRPr="004D0D36">
              <w:t>relationships and feelings to explore their health and wellbeing. They develop an understanding that</w:t>
            </w:r>
            <w:r>
              <w:t xml:space="preserve"> </w:t>
            </w:r>
            <w:r w:rsidRPr="004D0D36">
              <w:t>health is influenced by simple everyday actions of people, and by environments. They see the place</w:t>
            </w:r>
            <w:r>
              <w:t xml:space="preserve"> </w:t>
            </w:r>
            <w:r w:rsidRPr="004D0D36">
              <w:t>of health, physical activity and personal development in people’s work and community lives.</w:t>
            </w:r>
          </w:p>
          <w:p w:rsidR="008008BA" w:rsidRPr="004D0D36" w:rsidRDefault="008008BA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make decisions, apply skills</w:t>
            </w:r>
            <w:r>
              <w:t xml:space="preserve"> </w:t>
            </w:r>
            <w:r w:rsidRPr="004D0D36">
              <w:t>and take action to promote their own and others’ health and wellbeing, movement capacities and</w:t>
            </w:r>
            <w:r>
              <w:t xml:space="preserve"> </w:t>
            </w:r>
            <w:r w:rsidRPr="004D0D36">
              <w:t>personal development. They reflect on their learning and on the importance of health and physical</w:t>
            </w:r>
            <w:r>
              <w:t xml:space="preserve"> </w:t>
            </w:r>
            <w:r w:rsidRPr="004D0D36">
              <w:t>education in everyday situations.</w:t>
            </w:r>
          </w:p>
          <w:p w:rsidR="008008BA" w:rsidRPr="004D0D36" w:rsidRDefault="008008BA" w:rsidP="00DE02BB">
            <w:r w:rsidRPr="004D0D36">
              <w:t>Students use tools and technologies, including information and communication technologies</w:t>
            </w:r>
            <w:r>
              <w:t xml:space="preserve"> </w:t>
            </w:r>
            <w:r w:rsidRPr="004D0D36">
              <w:t>(ICTs). They explore the use of ICTs to inquire, create and communicate within health and physical</w:t>
            </w:r>
            <w:r>
              <w:t xml:space="preserve"> </w:t>
            </w:r>
            <w:r w:rsidRPr="004D0D36">
              <w:t>education contexts.</w:t>
            </w:r>
          </w:p>
          <w:p w:rsidR="008008BA" w:rsidRPr="004D0D36" w:rsidRDefault="008008BA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knowledge and understanding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investigating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planning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implementing and applying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reflecting.</w:t>
            </w:r>
          </w:p>
          <w:p w:rsidR="008008BA" w:rsidRPr="004D0D36" w:rsidRDefault="008008BA" w:rsidP="00370BDB">
            <w:pPr>
              <w:spacing w:line="240" w:lineRule="auto"/>
            </w:pPr>
          </w:p>
        </w:tc>
        <w:tc>
          <w:tcPr>
            <w:tcW w:w="5389" w:type="dxa"/>
          </w:tcPr>
          <w:p w:rsidR="008008BA" w:rsidRPr="004D0D36" w:rsidRDefault="008008BA" w:rsidP="00DE02BB">
            <w:r w:rsidRPr="004D0D36">
              <w:t>Students use their enthusiasm for physical activity and curiosity about health and personal</w:t>
            </w:r>
            <w:r w:rsidR="001106BF">
              <w:t xml:space="preserve"> </w:t>
            </w:r>
            <w:r w:rsidRPr="004D0D36">
              <w:t>development to explore how the dimensions of health are influenced by personal, social, cultural</w:t>
            </w:r>
            <w:r w:rsidR="001106BF">
              <w:t xml:space="preserve"> </w:t>
            </w:r>
            <w:r w:rsidRPr="004D0D36">
              <w:t>and environmental factors. They understand that health, physical activity and personal development</w:t>
            </w:r>
            <w:r w:rsidR="001106BF">
              <w:t xml:space="preserve"> </w:t>
            </w:r>
            <w:r w:rsidRPr="004D0D36">
              <w:t>are influenced by individual and group actions and by environments. They are aware that people</w:t>
            </w:r>
            <w:r w:rsidR="001106BF">
              <w:t xml:space="preserve"> </w:t>
            </w:r>
            <w:r w:rsidRPr="004D0D36">
              <w:t>of all ages and backgrounds engage in work related to health, physical activity and personal</w:t>
            </w:r>
            <w:r w:rsidR="001106BF">
              <w:t xml:space="preserve"> </w:t>
            </w:r>
            <w:r w:rsidRPr="004D0D36">
              <w:t>development.</w:t>
            </w:r>
          </w:p>
          <w:p w:rsidR="008008BA" w:rsidRPr="004D0D36" w:rsidRDefault="008008BA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 w:rsidR="001106BF"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make decisions, take action</w:t>
            </w:r>
            <w:r w:rsidR="001106BF">
              <w:t xml:space="preserve"> </w:t>
            </w:r>
            <w:r w:rsidRPr="004D0D36">
              <w:t>and apply skills to promote health and wellbeing, movement capacities and personal development</w:t>
            </w:r>
            <w:r w:rsidR="001106BF">
              <w:t xml:space="preserve"> </w:t>
            </w:r>
            <w:r w:rsidRPr="004D0D36">
              <w:t>of individuals and groups. They reflect on their learning and their own and others’ behaviours and</w:t>
            </w:r>
            <w:r w:rsidR="001106BF">
              <w:t xml:space="preserve"> </w:t>
            </w:r>
            <w:r w:rsidRPr="004D0D36">
              <w:t>actions relating to health and physical education.</w:t>
            </w:r>
          </w:p>
          <w:p w:rsidR="008008BA" w:rsidRPr="004D0D36" w:rsidRDefault="008008BA" w:rsidP="00DE02BB">
            <w:r w:rsidRPr="004D0D36">
              <w:t>Students select and use tools and technologies, including information and communication</w:t>
            </w:r>
            <w:r w:rsidR="001106BF">
              <w:t xml:space="preserve"> </w:t>
            </w:r>
            <w:r w:rsidRPr="004D0D36">
              <w:t>technologies (ICTs), in purposeful ways. They use ICTs as an integral component of their learning, to</w:t>
            </w:r>
            <w:r w:rsidR="001106BF">
              <w:t xml:space="preserve"> </w:t>
            </w:r>
            <w:r w:rsidRPr="004D0D36">
              <w:t>inquire, create and communicate within health and physical education contexts.</w:t>
            </w:r>
          </w:p>
          <w:p w:rsidR="008008BA" w:rsidRPr="004D0D36" w:rsidRDefault="008008BA" w:rsidP="00DE02BB">
            <w:r w:rsidRPr="004D0D36">
              <w:t>Students demonstrate evidence of their learning over time in relation to the following assessable</w:t>
            </w:r>
            <w:r w:rsidR="001106BF">
              <w:t xml:space="preserve"> </w:t>
            </w:r>
            <w:r w:rsidRPr="004D0D36">
              <w:t>elements: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knowledge and understanding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investigating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planning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implementing and applying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reflecting.</w:t>
            </w:r>
          </w:p>
        </w:tc>
        <w:tc>
          <w:tcPr>
            <w:tcW w:w="5387" w:type="dxa"/>
          </w:tcPr>
          <w:p w:rsidR="008008BA" w:rsidRPr="004D0D36" w:rsidRDefault="008008BA" w:rsidP="00DE02BB">
            <w:r w:rsidRPr="004D0D36">
              <w:t>Students use their interests in health and physical activity to explore how the dimensions of health</w:t>
            </w:r>
            <w:r w:rsidR="001106BF">
              <w:t xml:space="preserve"> </w:t>
            </w:r>
            <w:r w:rsidRPr="004D0D36">
              <w:t>are interrelated and are influenced by the interaction of personal, social, cultural and environmental</w:t>
            </w:r>
            <w:r w:rsidR="001106BF">
              <w:t xml:space="preserve"> </w:t>
            </w:r>
            <w:r w:rsidRPr="004D0D36">
              <w:t>factors. They understand how to promote health and wellbeing, active engagement in physical</w:t>
            </w:r>
            <w:r w:rsidR="001106BF">
              <w:t xml:space="preserve"> </w:t>
            </w:r>
            <w:r w:rsidRPr="004D0D36">
              <w:t>activity and enhance personal development. They recognise people who work in occupations related</w:t>
            </w:r>
            <w:r w:rsidR="001106BF">
              <w:t xml:space="preserve"> </w:t>
            </w:r>
            <w:r w:rsidRPr="004D0D36">
              <w:t>to health, physical activity and personal development.</w:t>
            </w:r>
          </w:p>
          <w:p w:rsidR="008008BA" w:rsidRPr="004D0D36" w:rsidRDefault="008008BA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 w:rsidR="001106BF"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make decisions, take action</w:t>
            </w:r>
            <w:r w:rsidR="001106BF">
              <w:t xml:space="preserve"> </w:t>
            </w:r>
            <w:r w:rsidRPr="004D0D36">
              <w:t>and apply skills to promote health and wellbeing, movement capacities and personal development</w:t>
            </w:r>
            <w:r w:rsidR="001106BF">
              <w:t xml:space="preserve"> </w:t>
            </w:r>
            <w:r w:rsidRPr="004D0D36">
              <w:t>of individuals, groups and communities. They reflect on their learning and ways to capitalise on the</w:t>
            </w:r>
            <w:r w:rsidR="001106BF">
              <w:t xml:space="preserve"> </w:t>
            </w:r>
            <w:r w:rsidRPr="004D0D36">
              <w:t>benefits of positive influences on their health and wellbeing.</w:t>
            </w:r>
          </w:p>
          <w:p w:rsidR="008008BA" w:rsidRPr="004D0D36" w:rsidRDefault="008008BA" w:rsidP="00DE02BB">
            <w:r w:rsidRPr="004D0D36">
              <w:t>Students select and use tools and technologies, including information and communication</w:t>
            </w:r>
            <w:r w:rsidR="001106BF">
              <w:t xml:space="preserve"> </w:t>
            </w:r>
            <w:r w:rsidRPr="004D0D36">
              <w:t>technologies (ICTs), in purposeful ways. They make use of the potential that ICTs provide to inquire,</w:t>
            </w:r>
            <w:r w:rsidR="001106BF">
              <w:t xml:space="preserve"> </w:t>
            </w:r>
            <w:r w:rsidRPr="004D0D36">
              <w:t>create and communicate within health and physical education contexts.</w:t>
            </w:r>
          </w:p>
          <w:p w:rsidR="008008BA" w:rsidRPr="004D0D36" w:rsidRDefault="008008BA" w:rsidP="00DE02BB">
            <w:r w:rsidRPr="004D0D36">
              <w:t>Students demonstrate evidence of their learning over time in relation to the following assessable</w:t>
            </w:r>
            <w:r w:rsidR="001106BF">
              <w:t xml:space="preserve"> </w:t>
            </w:r>
            <w:r w:rsidRPr="004D0D36">
              <w:t>elements: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knowledge and understanding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investigating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planning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implementing and applying</w:t>
            </w:r>
          </w:p>
          <w:p w:rsidR="008008BA" w:rsidRPr="004D0D36" w:rsidRDefault="001106BF" w:rsidP="00DE02BB">
            <w:pPr>
              <w:pStyle w:val="bulletlevel1"/>
            </w:pPr>
            <w:r>
              <w:t>•</w:t>
            </w:r>
            <w:r>
              <w:tab/>
            </w:r>
            <w:r w:rsidR="008008BA" w:rsidRPr="004D0D36">
              <w:t>reflecting.</w:t>
            </w:r>
          </w:p>
        </w:tc>
        <w:tc>
          <w:tcPr>
            <w:tcW w:w="5386" w:type="dxa"/>
          </w:tcPr>
          <w:p w:rsidR="008008BA" w:rsidRPr="004D0D36" w:rsidRDefault="008008BA" w:rsidP="00DE02BB">
            <w:r w:rsidRPr="004D0D36">
              <w:t>Students use their interests in and experiences of health and physical activity issues to explore</w:t>
            </w:r>
            <w:r w:rsidR="001106BF">
              <w:t xml:space="preserve"> </w:t>
            </w:r>
            <w:r w:rsidRPr="004D0D36">
              <w:t>how the dimensions of health are dynamic, interrelated and interdependent. They develop the</w:t>
            </w:r>
            <w:r w:rsidR="001106BF">
              <w:t xml:space="preserve"> </w:t>
            </w:r>
            <w:r w:rsidRPr="004D0D36">
              <w:t>knowledge, skills, processes and dispositions to promote health and wellbeing, actively engage</w:t>
            </w:r>
            <w:r w:rsidR="001106BF">
              <w:t xml:space="preserve"> </w:t>
            </w:r>
            <w:r w:rsidRPr="004D0D36">
              <w:t>in physical activity and enhance personal development. They recognise that capabilities in health,</w:t>
            </w:r>
            <w:r w:rsidR="001106BF">
              <w:t xml:space="preserve"> </w:t>
            </w:r>
            <w:r w:rsidRPr="004D0D36">
              <w:t>movement and personal development can provide career opportunities and improve quality of life.</w:t>
            </w:r>
          </w:p>
          <w:p w:rsidR="008008BA" w:rsidRPr="004D0D36" w:rsidRDefault="008008BA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 w:rsidR="001106BF"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make decisions, take action</w:t>
            </w:r>
            <w:r w:rsidR="001106BF">
              <w:t xml:space="preserve"> </w:t>
            </w:r>
            <w:r w:rsidRPr="004D0D36">
              <w:t>and apply skills to address inequities and promote health and wellbeing, movement capacities,</w:t>
            </w:r>
            <w:r w:rsidR="001106BF">
              <w:t xml:space="preserve"> </w:t>
            </w:r>
            <w:r w:rsidRPr="004D0D36">
              <w:t xml:space="preserve">and personal development of individuals, groups and </w:t>
            </w:r>
            <w:r w:rsidR="004D2F2D">
              <w:t>c</w:t>
            </w:r>
            <w:r w:rsidRPr="004D0D36">
              <w:t>ommunities. They reflect on their learning</w:t>
            </w:r>
            <w:r w:rsidR="001106BF">
              <w:t xml:space="preserve"> </w:t>
            </w:r>
            <w:r w:rsidRPr="004D0D36">
              <w:t>and apply their thinking and reasoning to develop solutions in a range of contemporary health and</w:t>
            </w:r>
            <w:r w:rsidR="001106BF">
              <w:t xml:space="preserve"> </w:t>
            </w:r>
            <w:r w:rsidRPr="004D0D36">
              <w:t>physical education contexts.</w:t>
            </w:r>
          </w:p>
          <w:p w:rsidR="008008BA" w:rsidRPr="004D0D36" w:rsidRDefault="008008BA" w:rsidP="00DE02BB">
            <w:r w:rsidRPr="004D0D36">
              <w:t>Students select and use tools and technologies, including information and communication</w:t>
            </w:r>
            <w:r w:rsidR="001106BF">
              <w:t xml:space="preserve"> </w:t>
            </w:r>
            <w:r w:rsidRPr="004D0D36">
              <w:t>technologies (ICTs). They routinely demonstrate an autonomous and purposeful use of ICTs to</w:t>
            </w:r>
            <w:r w:rsidR="001106BF">
              <w:t xml:space="preserve"> </w:t>
            </w:r>
            <w:r w:rsidRPr="004D0D36">
              <w:t>inquire, create and communicate within health and physical education contexts.</w:t>
            </w:r>
          </w:p>
          <w:p w:rsidR="008008BA" w:rsidRPr="004D0D36" w:rsidRDefault="008008BA" w:rsidP="00DE02BB">
            <w:r w:rsidRPr="004D0D36">
              <w:t>Students demonstrate evidence of their learning over time in relation to the following assessable</w:t>
            </w:r>
            <w:r w:rsidR="001106BF">
              <w:t xml:space="preserve"> </w:t>
            </w:r>
            <w:r w:rsidRPr="004D0D36">
              <w:t>elements: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 w:rsidR="001106BF">
              <w:tab/>
            </w:r>
            <w:r w:rsidRPr="004D0D36">
              <w:t>knowledge and understanding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 w:rsidR="001106BF">
              <w:tab/>
            </w:r>
            <w:r w:rsidRPr="004D0D36">
              <w:t>investigating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 w:rsidR="001106BF">
              <w:tab/>
            </w:r>
            <w:r w:rsidRPr="004D0D36">
              <w:t>planning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 w:rsidR="001106BF">
              <w:tab/>
            </w:r>
            <w:r w:rsidRPr="004D0D36">
              <w:t>implementing and applying</w:t>
            </w:r>
          </w:p>
          <w:p w:rsidR="008008BA" w:rsidRPr="004D0D36" w:rsidRDefault="008008BA" w:rsidP="00DE02BB">
            <w:pPr>
              <w:pStyle w:val="bulletlevel1"/>
            </w:pPr>
            <w:r w:rsidRPr="004D0D36">
              <w:t xml:space="preserve">• </w:t>
            </w:r>
            <w:r w:rsidR="001106BF">
              <w:tab/>
            </w:r>
            <w:r w:rsidRPr="004D0D36">
              <w:t>reflecting.</w:t>
            </w:r>
          </w:p>
        </w:tc>
      </w:tr>
    </w:tbl>
    <w:p w:rsidR="00206B52" w:rsidRDefault="00206B52" w:rsidP="007F2157"/>
    <w:sectPr w:rsidR="00206B52" w:rsidSect="007F2157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6B" w:rsidRDefault="0064396B">
      <w:r>
        <w:separator/>
      </w:r>
    </w:p>
  </w:endnote>
  <w:endnote w:type="continuationSeparator" w:id="0">
    <w:p w:rsidR="0064396B" w:rsidRDefault="006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5C" w:rsidRPr="00400E5C" w:rsidRDefault="000F3BBB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15C" w:rsidRPr="00400E5C">
      <w:rPr>
        <w:b/>
        <w:color w:val="49176D"/>
        <w:sz w:val="22"/>
        <w:szCs w:val="22"/>
      </w:rPr>
      <w:t xml:space="preserve">Page </w:t>
    </w:r>
    <w:r w:rsidR="000B615C" w:rsidRPr="00400E5C">
      <w:rPr>
        <w:b/>
        <w:color w:val="49176D"/>
        <w:sz w:val="22"/>
        <w:szCs w:val="22"/>
      </w:rPr>
      <w:fldChar w:fldCharType="begin"/>
    </w:r>
    <w:r w:rsidR="000B615C" w:rsidRPr="00400E5C">
      <w:rPr>
        <w:b/>
        <w:color w:val="49176D"/>
        <w:sz w:val="22"/>
        <w:szCs w:val="22"/>
      </w:rPr>
      <w:instrText xml:space="preserve"> PAGE </w:instrText>
    </w:r>
    <w:r w:rsidR="000B615C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0B615C" w:rsidRPr="00400E5C">
      <w:rPr>
        <w:b/>
        <w:color w:val="49176D"/>
        <w:sz w:val="22"/>
        <w:szCs w:val="22"/>
      </w:rPr>
      <w:fldChar w:fldCharType="end"/>
    </w:r>
    <w:r w:rsidR="000B615C" w:rsidRPr="00400E5C">
      <w:rPr>
        <w:b/>
        <w:color w:val="49176D"/>
        <w:sz w:val="22"/>
        <w:szCs w:val="22"/>
      </w:rPr>
      <w:t xml:space="preserve"> of </w:t>
    </w:r>
    <w:r w:rsidR="000B615C" w:rsidRPr="00400E5C">
      <w:rPr>
        <w:b/>
        <w:color w:val="49176D"/>
        <w:sz w:val="22"/>
        <w:szCs w:val="22"/>
      </w:rPr>
      <w:fldChar w:fldCharType="begin"/>
    </w:r>
    <w:r w:rsidR="000B615C" w:rsidRPr="00400E5C">
      <w:rPr>
        <w:b/>
        <w:color w:val="49176D"/>
        <w:sz w:val="22"/>
        <w:szCs w:val="22"/>
      </w:rPr>
      <w:instrText xml:space="preserve"> NUMPAGES </w:instrText>
    </w:r>
    <w:r w:rsidR="000B615C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0B615C" w:rsidRPr="00400E5C">
      <w:rPr>
        <w:b/>
        <w:color w:val="49176D"/>
        <w:sz w:val="22"/>
        <w:szCs w:val="22"/>
      </w:rPr>
      <w:fldChar w:fldCharType="end"/>
    </w:r>
  </w:p>
  <w:p w:rsidR="000B615C" w:rsidRPr="0002415D" w:rsidRDefault="000B615C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(Queensla</w:t>
    </w:r>
    <w:r>
      <w:rPr>
        <w:color w:val="49176D"/>
      </w:rPr>
      <w:t>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6B" w:rsidRDefault="0064396B">
      <w:r>
        <w:separator/>
      </w:r>
    </w:p>
  </w:footnote>
  <w:footnote w:type="continuationSeparator" w:id="0">
    <w:p w:rsidR="0064396B" w:rsidRDefault="0064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5C" w:rsidRPr="00400E5C" w:rsidRDefault="000B615C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5C" w:rsidRPr="00400E5C" w:rsidRDefault="000B615C" w:rsidP="00FB3C4E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0B615C" w:rsidRDefault="000B6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B615C"/>
    <w:rsid w:val="000D3BE4"/>
    <w:rsid w:val="000E39B5"/>
    <w:rsid w:val="000E443B"/>
    <w:rsid w:val="000F368E"/>
    <w:rsid w:val="000F3BBB"/>
    <w:rsid w:val="000F4815"/>
    <w:rsid w:val="000F5587"/>
    <w:rsid w:val="001106BF"/>
    <w:rsid w:val="0013210A"/>
    <w:rsid w:val="001741F0"/>
    <w:rsid w:val="0019040E"/>
    <w:rsid w:val="001B50EC"/>
    <w:rsid w:val="001E5B30"/>
    <w:rsid w:val="001E6C0A"/>
    <w:rsid w:val="00206B52"/>
    <w:rsid w:val="0022633E"/>
    <w:rsid w:val="002475D1"/>
    <w:rsid w:val="002635D9"/>
    <w:rsid w:val="00265645"/>
    <w:rsid w:val="002B028B"/>
    <w:rsid w:val="002B2929"/>
    <w:rsid w:val="002B4205"/>
    <w:rsid w:val="002C0440"/>
    <w:rsid w:val="002C26B9"/>
    <w:rsid w:val="00306311"/>
    <w:rsid w:val="00333DE5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5B9B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4396B"/>
    <w:rsid w:val="006534A6"/>
    <w:rsid w:val="00664426"/>
    <w:rsid w:val="00670DD2"/>
    <w:rsid w:val="00687DF7"/>
    <w:rsid w:val="006967BB"/>
    <w:rsid w:val="006D1D0E"/>
    <w:rsid w:val="00734080"/>
    <w:rsid w:val="007733D9"/>
    <w:rsid w:val="007C0A46"/>
    <w:rsid w:val="007D526F"/>
    <w:rsid w:val="007E1656"/>
    <w:rsid w:val="007E79F0"/>
    <w:rsid w:val="007F2157"/>
    <w:rsid w:val="008008BA"/>
    <w:rsid w:val="00802DF9"/>
    <w:rsid w:val="00823CC2"/>
    <w:rsid w:val="0083048E"/>
    <w:rsid w:val="00842489"/>
    <w:rsid w:val="00853229"/>
    <w:rsid w:val="00855D9B"/>
    <w:rsid w:val="00857F89"/>
    <w:rsid w:val="00872C39"/>
    <w:rsid w:val="00880598"/>
    <w:rsid w:val="008A23B4"/>
    <w:rsid w:val="0090114C"/>
    <w:rsid w:val="00902162"/>
    <w:rsid w:val="00922562"/>
    <w:rsid w:val="00925BD3"/>
    <w:rsid w:val="00934419"/>
    <w:rsid w:val="0094519F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24A33"/>
    <w:rsid w:val="00C42296"/>
    <w:rsid w:val="00C5211A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B3C4E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HEALTH &amp; PHYSICAL EDUCATION (HPE)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2008-04-08T00:33:00Z</cp:lastPrinted>
  <dcterms:created xsi:type="dcterms:W3CDTF">2014-06-18T07:19:00Z</dcterms:created>
  <dcterms:modified xsi:type="dcterms:W3CDTF">2014-06-18T07:19:00Z</dcterms:modified>
</cp:coreProperties>
</file>