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76"/>
        <w:gridCol w:w="11"/>
        <w:gridCol w:w="5387"/>
        <w:gridCol w:w="5387"/>
      </w:tblGrid>
      <w:tr w:rsidR="00583D2A" w:rsidRPr="004D0D36">
        <w:trPr>
          <w:tblHeader/>
        </w:trPr>
        <w:tc>
          <w:tcPr>
            <w:tcW w:w="10761" w:type="dxa"/>
            <w:gridSpan w:val="2"/>
            <w:shd w:val="clear" w:color="auto" w:fill="FFF797"/>
          </w:tcPr>
          <w:p w:rsidR="00583D2A" w:rsidRPr="001E5B30" w:rsidRDefault="00583D2A" w:rsidP="0090114C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9E495C">
              <w:rPr>
                <w:rFonts w:ascii="Arial Bold" w:hAnsi="Arial Bold" w:cs="Arial"/>
                <w:b/>
                <w:caps/>
                <w:color w:val="49176D"/>
                <w:sz w:val="32"/>
                <w:szCs w:val="32"/>
              </w:rPr>
              <w:t>Health &amp; Physical Education</w:t>
            </w:r>
            <w:r w:rsidRPr="00FF3879">
              <w:rPr>
                <w:rStyle w:val="Heading1Char"/>
              </w:rPr>
              <w:t xml:space="preserve"> (HPE)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83D2A" w:rsidRPr="001E5B30" w:rsidRDefault="00583D2A" w:rsidP="0090114C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3D2A" w:rsidRPr="001E5B30" w:rsidRDefault="00583D2A" w:rsidP="0090114C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2475D1" w:rsidRPr="004D0D36">
        <w:trPr>
          <w:tblHeader/>
        </w:trPr>
        <w:tc>
          <w:tcPr>
            <w:tcW w:w="5385" w:type="dxa"/>
            <w:shd w:val="clear" w:color="auto" w:fill="EBE8F1"/>
          </w:tcPr>
          <w:p w:rsidR="002475D1" w:rsidRPr="001E5B30" w:rsidRDefault="002475D1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6A72F9">
              <w:rPr>
                <w:b/>
              </w:rPr>
              <w:t>Year 3</w:t>
            </w:r>
          </w:p>
        </w:tc>
        <w:tc>
          <w:tcPr>
            <w:tcW w:w="5387" w:type="dxa"/>
            <w:gridSpan w:val="2"/>
            <w:shd w:val="clear" w:color="auto" w:fill="EBE8F1"/>
          </w:tcPr>
          <w:p w:rsidR="002475D1" w:rsidRPr="001E5B30" w:rsidRDefault="002475D1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6A72F9">
              <w:rPr>
                <w:b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2475D1" w:rsidRPr="001E5B30" w:rsidRDefault="002475D1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6A72F9">
              <w:rPr>
                <w:b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2475D1" w:rsidRPr="001E5B30" w:rsidRDefault="002475D1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6A72F9">
              <w:rPr>
                <w:b/>
              </w:rPr>
              <w:t>Year 9</w:t>
            </w:r>
          </w:p>
        </w:tc>
      </w:tr>
      <w:tr w:rsidR="002475D1" w:rsidRPr="004D0D36">
        <w:tc>
          <w:tcPr>
            <w:tcW w:w="5385" w:type="dxa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Health</w:t>
            </w:r>
          </w:p>
          <w:p w:rsidR="002475D1" w:rsidRPr="00F73C3A" w:rsidRDefault="002475D1" w:rsidP="000F5587">
            <w:pPr>
              <w:spacing w:line="240" w:lineRule="auto"/>
              <w:rPr>
                <w:b/>
              </w:rPr>
            </w:pPr>
            <w:r w:rsidRPr="00F73C3A">
              <w:rPr>
                <w:b/>
              </w:rPr>
              <w:t>Health is multidimensional and influenced by everyday actions and environments.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 xml:space="preserve">The dimensions of health include physical (relating to the body), social (relating to relationships) and emotional (relating to feelings) </w:t>
            </w:r>
          </w:p>
          <w:p w:rsidR="002475D1" w:rsidRPr="00F73C3A" w:rsidRDefault="000F5587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="002475D1" w:rsidRPr="00F73C3A">
              <w:rPr>
                <w:i/>
              </w:rPr>
              <w:tab/>
              <w:t>working cooperatively with peers in active recreational pursuits can improve relationships and physical health and make people feel contented.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Health behaviours and choices are influenced by personal factors, people and environments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personal likes and dislikes, and family, influence what people eat and when; community facilities and geographic location influence the types of activities that people participate in.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 xml:space="preserve">Individual behaviour and actions, including adopting safe strategies at home, on and near roads, near water, and in relation to the sun, can promote health and wellbeing and safety 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wearing a helmet when cycling and crossing the road sensibly; using protective actions such as “no, go, tell’ in situations that don’t feel right; wearing a hat and sunscreen when outdoors are SunSmart strategies; always swimming with a buddy.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A selection of foods from the five food groups is necessary to support growth, energy needs, physical activity and health and wellbeing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eating a variety of fresh foods every day, as suggested in the Australian Guide to Healthy Eating, can promote healthy teeth and bone growth, and boost energy</w:t>
            </w:r>
            <w:r w:rsidR="00F73C3A" w:rsidRPr="00F73C3A">
              <w:rPr>
                <w:i/>
              </w:rPr>
              <w:t>.</w:t>
            </w:r>
          </w:p>
        </w:tc>
        <w:tc>
          <w:tcPr>
            <w:tcW w:w="5387" w:type="dxa"/>
            <w:gridSpan w:val="2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Health</w:t>
            </w:r>
          </w:p>
          <w:p w:rsidR="002475D1" w:rsidRPr="00F73C3A" w:rsidRDefault="002475D1" w:rsidP="000F5587">
            <w:pPr>
              <w:spacing w:line="240" w:lineRule="auto"/>
              <w:rPr>
                <w:b/>
              </w:rPr>
            </w:pPr>
            <w:r w:rsidRPr="00F73C3A">
              <w:rPr>
                <w:b/>
              </w:rPr>
              <w:t>Health is multidimensional and influenced by individual and group actions and environments.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Health includes physical, social, emotional and cognitive (relating to thought processes, reasoning and intuition) dimensions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thinking a situation through rather than acting impulsively can help make choices that have better health outcomes.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Personal, social, cultural and environmental factors influence behaviours and choices including eating and physical activity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 xml:space="preserve">eating a particular food because people like the taste, their friends eat it and their family buys it; people participating in a sporting or recreational activity because people enjoy it, their friends participate, it is culturally accepted, they can access facilities, and participation makes them feel energetic.  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Individual and group action can promote health and wellbeing, including safety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being active for 30 minutes per day; wearing a bicycle helmet when cycling to protect the head from injury; providing playground shade structures to protect children from sunburn.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Energy balance can be achieved by selecting a range of foods from the five food groups, in amounts that reflect personal factors, age and activity levels.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eating vegetables, fruit, dairy products, cereals, legumes and meats in appropriate amounts, and limiting “extra” foods.</w:t>
            </w:r>
          </w:p>
        </w:tc>
        <w:tc>
          <w:tcPr>
            <w:tcW w:w="5387" w:type="dxa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Health</w:t>
            </w:r>
          </w:p>
          <w:p w:rsidR="002475D1" w:rsidRPr="00F73C3A" w:rsidRDefault="002475D1" w:rsidP="000F5587">
            <w:pPr>
              <w:spacing w:line="240" w:lineRule="auto"/>
              <w:rPr>
                <w:b/>
              </w:rPr>
            </w:pPr>
            <w:r w:rsidRPr="00F73C3A">
              <w:rPr>
                <w:b/>
              </w:rPr>
              <w:t>Health is multidimensional and influenced by individual, group and community actions, and environments.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Health has physical, social, emotional, cognitive and spiritual (relating to beliefs) dimensions, which are interrelated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a system of beliefs can create a sense of calm and a less anxious response in social and emotional situations, which impacts positively on health.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Family, peers and the media influence health behaviours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advertisements and celebrity endorsements can influence adolescents to eat a food product or join a sports program.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Individuals, groups and communities act on the advice in health promotion campaigns to promote health and wellbeing, including safety, and contribute to management of health risks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individuals using assertive refusal skills if offered drugs;</w:t>
            </w:r>
          </w:p>
          <w:p w:rsidR="002475D1" w:rsidRPr="00F73C3A" w:rsidRDefault="000F5587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ab/>
            </w:r>
            <w:r w:rsidR="002475D1" w:rsidRPr="00F73C3A">
              <w:rPr>
                <w:i/>
              </w:rPr>
              <w:t>communities advocating for and implementing smoking bans;</w:t>
            </w:r>
          </w:p>
          <w:p w:rsidR="002475D1" w:rsidRPr="00E42CA8" w:rsidRDefault="000F5587" w:rsidP="000F5587">
            <w:pPr>
              <w:pStyle w:val="example"/>
              <w:spacing w:line="240" w:lineRule="auto"/>
            </w:pPr>
            <w:r w:rsidRPr="00F73C3A">
              <w:rPr>
                <w:i/>
              </w:rPr>
              <w:tab/>
            </w:r>
            <w:r w:rsidR="002475D1" w:rsidRPr="00F73C3A">
              <w:rPr>
                <w:i/>
              </w:rPr>
              <w:t>provision of “kids help” lines</w:t>
            </w:r>
            <w:r w:rsidR="002475D1" w:rsidRPr="00E42CA8">
              <w:t xml:space="preserve">. 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Food groups are rich in particular nutrients, and food intake can be adapted to meet changing needs during adolescence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puberty is a time of significant change when individuals have different energy and food needs, specific to gender and activity levels, which can be met through eating a balanced diet;</w:t>
            </w:r>
          </w:p>
          <w:p w:rsidR="002475D1" w:rsidRDefault="000F5587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ab/>
            </w:r>
            <w:r w:rsidR="002475D1" w:rsidRPr="00F73C3A">
              <w:rPr>
                <w:i/>
              </w:rPr>
              <w:t>adolescents need to eat specified quantities of fruit and vegetables every day, because these foods are rich in vitamins, minerals and fibre.</w:t>
            </w:r>
          </w:p>
          <w:p w:rsidR="006A72F9" w:rsidRPr="004D0D36" w:rsidRDefault="006A72F9" w:rsidP="000F5587">
            <w:pPr>
              <w:pStyle w:val="example"/>
              <w:spacing w:line="240" w:lineRule="auto"/>
            </w:pPr>
          </w:p>
        </w:tc>
        <w:tc>
          <w:tcPr>
            <w:tcW w:w="5387" w:type="dxa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Health</w:t>
            </w:r>
          </w:p>
          <w:p w:rsidR="002475D1" w:rsidRPr="00F73C3A" w:rsidRDefault="002475D1" w:rsidP="000F5587">
            <w:pPr>
              <w:spacing w:line="240" w:lineRule="auto"/>
              <w:rPr>
                <w:b/>
              </w:rPr>
            </w:pPr>
            <w:r w:rsidRPr="00F73C3A">
              <w:rPr>
                <w:b/>
              </w:rPr>
              <w:t>Health is multidimensional and dynamic, and influenced by actions and environments.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Health has physical, social, emotional, cognitive and spiritual dimensions, which are dynamic, interrelated and interdependent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social experiences can trigger emotional and cognitive responses that impact on physical health; an individual’s health and wellbeing status can fluctuate.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The interaction between personal, social, cultural and environmental factors influences health behaviours, including nutrition and physical activity choices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 xml:space="preserve">the media, marketing and social trends can influence adolescent choices when selecting where to eat and what to do when socialising with friends; historical, social and cultural influences have impacted on the health of Aboriginal people and </w:t>
            </w:r>
            <w:smartTag w:uri="urn:schemas-microsoft-com:office:smarttags" w:element="place">
              <w:r w:rsidRPr="00F73C3A">
                <w:rPr>
                  <w:i/>
                </w:rPr>
                <w:t>Torres Strait</w:t>
              </w:r>
            </w:smartTag>
            <w:r w:rsidRPr="00F73C3A">
              <w:rPr>
                <w:i/>
              </w:rPr>
              <w:t xml:space="preserve"> Islander people.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Individual, group and community action, that enables people to adopt health promotion strategies, can address inequities and promote health and wellbeing, including safety</w:t>
            </w:r>
          </w:p>
          <w:p w:rsidR="002475D1" w:rsidRPr="00F73C3A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strategies advocated in drug, anti-violence and sexual health campaigns, and access to resources and support, can help people manage health risks.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 xml:space="preserve">Adolescents can meet their specific nutritional needs through eating foods that reflect the dietary guidelines </w:t>
            </w:r>
          </w:p>
          <w:p w:rsidR="002475D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73C3A">
              <w:rPr>
                <w:i/>
              </w:rPr>
              <w:t>e.g.</w:t>
            </w:r>
            <w:r w:rsidRPr="00F73C3A">
              <w:rPr>
                <w:i/>
              </w:rPr>
              <w:tab/>
              <w:t>adolescents should select foods that deliver the essential nutrients needed for bone formation and density, skin growth and repair, normal body function, metabolism and growth; saturated fats, total fats and sugar intake should be limited.</w:t>
            </w:r>
          </w:p>
          <w:p w:rsidR="006A72F9" w:rsidRPr="00F73C3A" w:rsidRDefault="006A72F9" w:rsidP="000F5587">
            <w:pPr>
              <w:pStyle w:val="example"/>
              <w:spacing w:line="240" w:lineRule="auto"/>
              <w:rPr>
                <w:i/>
              </w:rPr>
            </w:pPr>
          </w:p>
        </w:tc>
      </w:tr>
      <w:tr w:rsidR="002475D1" w:rsidRPr="004D0D36">
        <w:tc>
          <w:tcPr>
            <w:tcW w:w="5385" w:type="dxa"/>
          </w:tcPr>
          <w:p w:rsidR="002475D1" w:rsidRPr="00E42CA8" w:rsidRDefault="002475D1" w:rsidP="000F5587">
            <w:pPr>
              <w:pStyle w:val="Heading3"/>
              <w:pageBreakBefore/>
              <w:spacing w:line="240" w:lineRule="auto"/>
              <w:outlineLvl w:val="2"/>
            </w:pPr>
            <w:r w:rsidRPr="00E42CA8">
              <w:lastRenderedPageBreak/>
              <w:t>Physical activity</w:t>
            </w:r>
          </w:p>
          <w:p w:rsidR="002475D1" w:rsidRPr="00FE75C1" w:rsidRDefault="002475D1" w:rsidP="000F5587">
            <w:pPr>
              <w:spacing w:line="240" w:lineRule="auto"/>
              <w:rPr>
                <w:b/>
              </w:rPr>
            </w:pPr>
            <w:r w:rsidRPr="00FE75C1">
              <w:rPr>
                <w:b/>
              </w:rPr>
              <w:t>Fundamental movement skills are foundations of physical activity.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Development of body and spatial awareness improves movement and confidence in a variety of physical activities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using simple movements to “make a triangle” or “crouch low and then spin to the sky” involves knowing how, where and at what level and which body parts to move.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Development of locomotor and non-locomotor movements and manipulative skills can improve the quality of physical performance and support participation in physical activities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experiencing movement and manipulative skills such as twisting and turning, throwing a bean bag up and catching it, kicking a ball at a target or striking a balloon to keep it afloat, enables movement from place to place, and makes activity fun.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Regular participation in physical activity develops movement capacity and promotes health and wellbeing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playing games every day helps develop movement skills for an active life, have fun with peers and develop confidence.</w:t>
            </w:r>
          </w:p>
        </w:tc>
        <w:tc>
          <w:tcPr>
            <w:tcW w:w="5387" w:type="dxa"/>
            <w:gridSpan w:val="2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Physical activity</w:t>
            </w:r>
          </w:p>
          <w:p w:rsidR="002475D1" w:rsidRPr="00FE75C1" w:rsidRDefault="002475D1" w:rsidP="000F5587">
            <w:pPr>
              <w:spacing w:line="240" w:lineRule="auto"/>
              <w:rPr>
                <w:b/>
              </w:rPr>
            </w:pPr>
            <w:r w:rsidRPr="00FE75C1">
              <w:rPr>
                <w:b/>
              </w:rPr>
              <w:t>Fundamental and simple specialised movement skills are elements of physical activity.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Application of appropriate techniques for fundamental and simple specialised movement skills can enhance physical performance and participation in physical activities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running efficiently, throwing competently, gripping a bat or racquet correctly and landing safely after jumping facilitates active inclusion in games.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Working cooperatively, and being aware of others and fair play, can enhance the experience of physical activities for individuals and groups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demonstrating respect for others, being inclusive and playing by the agreed rules make games and recreational activities enjoyable.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Regular participation in physical activity can improve movement capacities, personal development and health and wellbeing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walking to school, learning to dance and playing games can provide opportunities to make friends, develop confidence in movement skills for an active life and build strong bones and muscles.</w:t>
            </w:r>
          </w:p>
          <w:p w:rsidR="002475D1" w:rsidRPr="004D0D36" w:rsidRDefault="002475D1" w:rsidP="000F5587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Physical activity</w:t>
            </w:r>
          </w:p>
          <w:p w:rsidR="002475D1" w:rsidRPr="00FE75C1" w:rsidRDefault="002475D1" w:rsidP="000F5587">
            <w:pPr>
              <w:spacing w:line="240" w:lineRule="auto"/>
              <w:rPr>
                <w:b/>
              </w:rPr>
            </w:pPr>
            <w:r w:rsidRPr="00FE75C1">
              <w:rPr>
                <w:b/>
              </w:rPr>
              <w:t>Fundamental and specialised movement skills, movement concepts, tactics and strategies are elements of physical activity.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Modifying techniques and selectively applying movement concepts can enhance physical performance and increase enjoyment in physical activities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transferring weight appropriately when batting enables the batter to hit the ball with greater force.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Refining teamwork, tactics and strategies in a variety of contexts improves movement capacities, and physical performance, and enhances participation in physical activity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coordinating timing when paddling a canoe or dancing, in team defence in touch football or water polo, and in offensive passing in tag ball, makes the activity more enjoyable.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Regular participation in physical activity can enhance cardio-respiratory endurance, muscular strength and endurance, flexibility, and health and wellbeing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surfing or skateboarding for an hour a day can improve skill performance, increase energy to undertake everyday tasks and provide an opportunity to relax and have fun with friends.</w:t>
            </w:r>
          </w:p>
        </w:tc>
        <w:tc>
          <w:tcPr>
            <w:tcW w:w="5387" w:type="dxa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Physical activity</w:t>
            </w:r>
          </w:p>
          <w:p w:rsidR="002475D1" w:rsidRPr="00FE75C1" w:rsidRDefault="002475D1" w:rsidP="000F5587">
            <w:pPr>
              <w:spacing w:line="240" w:lineRule="auto"/>
              <w:rPr>
                <w:b/>
              </w:rPr>
            </w:pPr>
            <w:r w:rsidRPr="00FE75C1">
              <w:rPr>
                <w:b/>
              </w:rPr>
              <w:t>Regular active and purposeful participation in physical activity promotes health and wellbeing, and supports the achievement of goals.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Developing and refining specialised movement skills through applying movement concepts supports improved physical performance and participation in physical activities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developing controlled, coordinated and efficient movement specific to aerobics or swimming enables more active participation and increases health benefits.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Developing teamwork, tactical knowledge and strategic thinking supports and enhances physical performance and participation in physical activities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encouraging, communicating and coordinating with a partner or team in orienteering or rock-climbing can make participation more enjoyable.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Individual physical activity programs that reflect personal interests and goals, and the principles of training, can enhance performance capacities and health and wellbeing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 xml:space="preserve">choosing physical activities that are personally enjoyable sustains motivation to be active; </w:t>
            </w:r>
            <w:r w:rsidRPr="00FE75C1">
              <w:rPr>
                <w:i/>
              </w:rPr>
              <w:br/>
              <w:t>the frequency, intensity, duration and type of physical activity or work-out influence health and wellbeing outcomes.</w:t>
            </w:r>
          </w:p>
        </w:tc>
      </w:tr>
      <w:tr w:rsidR="002475D1" w:rsidRPr="004D0D36">
        <w:tc>
          <w:tcPr>
            <w:tcW w:w="5385" w:type="dxa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Personal development</w:t>
            </w:r>
          </w:p>
          <w:p w:rsidR="002475D1" w:rsidRPr="00FE75C1" w:rsidRDefault="002475D1" w:rsidP="000F5587">
            <w:pPr>
              <w:spacing w:line="240" w:lineRule="auto"/>
              <w:rPr>
                <w:b/>
              </w:rPr>
            </w:pPr>
            <w:r w:rsidRPr="00FE75C1">
              <w:rPr>
                <w:b/>
              </w:rPr>
              <w:t>Personal identity, self-management and relationships develop through interactions in family and social contexts and shape personal development.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Identity is shaped by personal characteristics and experiences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gaining satisfaction from completing a task; having a sense of belonging from being a part of a group or team.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Establishing and maintaining relationships involves effective communication, being considerate of others and respecting differences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listening, sharing and showing concern, being kind and patient, and respecting rules, customs and traditions, help people to get along with peers.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Everyday experiences and relationships give rise to different emotions in self and others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having friends can foster happiness; feeling left out can cause sadness.</w:t>
            </w:r>
          </w:p>
        </w:tc>
        <w:tc>
          <w:tcPr>
            <w:tcW w:w="5387" w:type="dxa"/>
            <w:gridSpan w:val="2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Personal development</w:t>
            </w:r>
          </w:p>
          <w:p w:rsidR="002475D1" w:rsidRPr="00FE75C1" w:rsidRDefault="002475D1" w:rsidP="000F5587">
            <w:pPr>
              <w:spacing w:line="240" w:lineRule="auto"/>
              <w:rPr>
                <w:b/>
              </w:rPr>
            </w:pPr>
            <w:r w:rsidRPr="00FE75C1">
              <w:rPr>
                <w:b/>
              </w:rPr>
              <w:t>Personal identity, relationships and self-management are influenced by beliefs, behaviours and social factors, and shape personal development.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Identity is influenced by personality traits, responses in a variety of social contexts, responsibilities and accomplishments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having positive experiences with others, fulfilling responsibilities and achieving aspirations enhance self-image and self-esteem.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Representations of people, including stereotypes, influence the beliefs and attitudes that people develop about themselves and others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stereotypical images influence the way boys and girls think they should express emotions.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Positive interpersonal behaviours and respecting cultural protocols promote effective interactions and relationships in groups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interactions with others can be enhanced by being assertive without being aggressive, by expressing feelings in a manner that does not offend or bully, and by respecting cultural celebrations.</w:t>
            </w:r>
          </w:p>
        </w:tc>
        <w:tc>
          <w:tcPr>
            <w:tcW w:w="5387" w:type="dxa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Personal development</w:t>
            </w:r>
          </w:p>
          <w:p w:rsidR="002475D1" w:rsidRPr="00FE75C1" w:rsidRDefault="002475D1" w:rsidP="000F5587">
            <w:pPr>
              <w:spacing w:line="240" w:lineRule="auto"/>
              <w:rPr>
                <w:b/>
              </w:rPr>
            </w:pPr>
            <w:r w:rsidRPr="00FE75C1">
              <w:rPr>
                <w:b/>
              </w:rPr>
              <w:t>Beliefs, behaviours and social and environmental factors influence relationships and self-management and shape personal development.</w:t>
            </w:r>
          </w:p>
          <w:p w:rsidR="002475D1" w:rsidRPr="00E42CA8" w:rsidRDefault="002475D1" w:rsidP="006A72F9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E42CA8">
              <w:t>Identity and self-image are influenced by environmental factors, including the media, and social expectations of age, gender and culture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dressing and other behaviours to achieve an image or to conform with or rebel against expectations.</w:t>
            </w:r>
          </w:p>
          <w:p w:rsidR="002475D1" w:rsidRPr="00E42CA8" w:rsidRDefault="002475D1" w:rsidP="006A72F9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E42CA8">
              <w:t>Assuming roles and responsibilities, experiencing leadership opportunities, respecting cultural protocols and differences and working well with others, develops positive identity and self-esteem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looking after younger siblings, mentoring peers, learning leadership skills and contributing to a team effort are experiences that help students develop confidence and a positive image of self.</w:t>
            </w:r>
          </w:p>
          <w:p w:rsidR="002475D1" w:rsidRPr="00E42CA8" w:rsidRDefault="002475D1" w:rsidP="006A72F9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E42CA8">
              <w:t>Life events and transitions can be dealt with through meaning-making, resilience strategies, and use of personal and community resources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 xml:space="preserve">family and friends can help students manage the transition from primary to secondary school; </w:t>
            </w:r>
            <w:r w:rsidRPr="00FE75C1">
              <w:rPr>
                <w:i/>
              </w:rPr>
              <w:br/>
              <w:t xml:space="preserve">beliefs can give meaning to life events such as the death of a loved one. </w:t>
            </w:r>
          </w:p>
        </w:tc>
        <w:tc>
          <w:tcPr>
            <w:tcW w:w="5387" w:type="dxa"/>
          </w:tcPr>
          <w:p w:rsidR="002475D1" w:rsidRPr="00E42CA8" w:rsidRDefault="002475D1" w:rsidP="000F5587">
            <w:pPr>
              <w:pStyle w:val="Heading3"/>
              <w:spacing w:line="240" w:lineRule="auto"/>
              <w:outlineLvl w:val="2"/>
            </w:pPr>
            <w:r w:rsidRPr="00E42CA8">
              <w:t>Personal development</w:t>
            </w:r>
          </w:p>
          <w:p w:rsidR="002475D1" w:rsidRPr="00FE75C1" w:rsidRDefault="002475D1" w:rsidP="000F5587">
            <w:pPr>
              <w:spacing w:line="240" w:lineRule="auto"/>
              <w:rPr>
                <w:b/>
              </w:rPr>
            </w:pPr>
            <w:r w:rsidRPr="00FE75C1">
              <w:rPr>
                <w:b/>
              </w:rPr>
              <w:t>Diverse social, cultural and environmental factors, values, beliefs and behaviours influence relationships and self-management, and shape personal development.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Identity, health and wellbeing are interdependent and influenced by social and cultural factors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the interaction between social experiences and the way a person perceives their place in the world can influence emotional and physical wellbeing.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Effective communication skills, including reflective listening, considering alternative views, respecting cultural protocols and expressing ideas in a way that is sensitive to others, help people establish and maintain relationships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when composing an email, careful consideration of the impact on all recipients may prevent misinterpretation of the tone or intent causing offence.</w:t>
            </w:r>
          </w:p>
          <w:p w:rsidR="002475D1" w:rsidRPr="00E42CA8" w:rsidRDefault="002475D1" w:rsidP="000F558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E42CA8">
              <w:t>Conflict resolution strategies, including negotiation, are used to manage intrapersonal and interpersonal situations</w:t>
            </w:r>
          </w:p>
          <w:p w:rsidR="002475D1" w:rsidRPr="00FE75C1" w:rsidRDefault="002475D1" w:rsidP="000F5587">
            <w:pPr>
              <w:pStyle w:val="example"/>
              <w:spacing w:line="240" w:lineRule="auto"/>
              <w:rPr>
                <w:i/>
              </w:rPr>
            </w:pPr>
            <w:r w:rsidRPr="00FE75C1">
              <w:rPr>
                <w:i/>
              </w:rPr>
              <w:t>e.g.</w:t>
            </w:r>
            <w:r w:rsidRPr="00FE75C1">
              <w:rPr>
                <w:i/>
              </w:rPr>
              <w:tab/>
              <w:t>negotiation strategies are used in the classroom to establish guidelines for smooth functioning and to facilitate discussion.</w:t>
            </w:r>
          </w:p>
        </w:tc>
      </w:tr>
    </w:tbl>
    <w:p w:rsidR="00206B52" w:rsidRPr="006A72F9" w:rsidRDefault="00206B52" w:rsidP="00583D2A">
      <w:pPr>
        <w:rPr>
          <w:sz w:val="4"/>
          <w:szCs w:val="4"/>
        </w:rPr>
      </w:pPr>
    </w:p>
    <w:sectPr w:rsidR="00206B52" w:rsidRPr="006A72F9" w:rsidSect="0090114C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 w:code="8"/>
      <w:pgMar w:top="130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58" w:rsidRDefault="000C0B58">
      <w:r>
        <w:separator/>
      </w:r>
    </w:p>
  </w:endnote>
  <w:endnote w:type="continuationSeparator" w:id="0">
    <w:p w:rsidR="000C0B58" w:rsidRDefault="000C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F9" w:rsidRPr="00400E5C" w:rsidRDefault="004C7E50" w:rsidP="006A72F9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6" name="Picture 6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2F9" w:rsidRPr="00400E5C">
      <w:rPr>
        <w:b/>
        <w:color w:val="49176D"/>
        <w:sz w:val="22"/>
        <w:szCs w:val="22"/>
      </w:rPr>
      <w:t xml:space="preserve">Page </w:t>
    </w:r>
    <w:r w:rsidR="006A72F9" w:rsidRPr="00400E5C">
      <w:rPr>
        <w:b/>
        <w:color w:val="49176D"/>
        <w:sz w:val="22"/>
        <w:szCs w:val="22"/>
      </w:rPr>
      <w:fldChar w:fldCharType="begin"/>
    </w:r>
    <w:r w:rsidR="006A72F9" w:rsidRPr="00400E5C">
      <w:rPr>
        <w:b/>
        <w:color w:val="49176D"/>
        <w:sz w:val="22"/>
        <w:szCs w:val="22"/>
      </w:rPr>
      <w:instrText xml:space="preserve"> PAGE </w:instrText>
    </w:r>
    <w:r w:rsidR="006A72F9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2</w:t>
    </w:r>
    <w:r w:rsidR="006A72F9" w:rsidRPr="00400E5C">
      <w:rPr>
        <w:b/>
        <w:color w:val="49176D"/>
        <w:sz w:val="22"/>
        <w:szCs w:val="22"/>
      </w:rPr>
      <w:fldChar w:fldCharType="end"/>
    </w:r>
    <w:r w:rsidR="006A72F9" w:rsidRPr="00400E5C">
      <w:rPr>
        <w:b/>
        <w:color w:val="49176D"/>
        <w:sz w:val="22"/>
        <w:szCs w:val="22"/>
      </w:rPr>
      <w:t xml:space="preserve"> of </w:t>
    </w:r>
    <w:r w:rsidR="006A72F9" w:rsidRPr="00400E5C">
      <w:rPr>
        <w:b/>
        <w:color w:val="49176D"/>
        <w:sz w:val="22"/>
        <w:szCs w:val="22"/>
      </w:rPr>
      <w:fldChar w:fldCharType="begin"/>
    </w:r>
    <w:r w:rsidR="006A72F9" w:rsidRPr="00400E5C">
      <w:rPr>
        <w:b/>
        <w:color w:val="49176D"/>
        <w:sz w:val="22"/>
        <w:szCs w:val="22"/>
      </w:rPr>
      <w:instrText xml:space="preserve"> NUMPAGES </w:instrText>
    </w:r>
    <w:r w:rsidR="006A72F9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2</w:t>
    </w:r>
    <w:r w:rsidR="006A72F9" w:rsidRPr="00400E5C">
      <w:rPr>
        <w:b/>
        <w:color w:val="49176D"/>
        <w:sz w:val="22"/>
        <w:szCs w:val="22"/>
      </w:rPr>
      <w:fldChar w:fldCharType="end"/>
    </w:r>
  </w:p>
  <w:p w:rsidR="006A72F9" w:rsidRPr="0002415D" w:rsidRDefault="006A72F9" w:rsidP="006A72F9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F9" w:rsidRPr="00400E5C" w:rsidRDefault="004C7E50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2F9" w:rsidRPr="00400E5C">
      <w:rPr>
        <w:b/>
        <w:color w:val="49176D"/>
        <w:sz w:val="22"/>
        <w:szCs w:val="22"/>
      </w:rPr>
      <w:t xml:space="preserve">Page </w:t>
    </w:r>
    <w:r w:rsidR="006A72F9" w:rsidRPr="00400E5C">
      <w:rPr>
        <w:b/>
        <w:color w:val="49176D"/>
        <w:sz w:val="22"/>
        <w:szCs w:val="22"/>
      </w:rPr>
      <w:fldChar w:fldCharType="begin"/>
    </w:r>
    <w:r w:rsidR="006A72F9" w:rsidRPr="00400E5C">
      <w:rPr>
        <w:b/>
        <w:color w:val="49176D"/>
        <w:sz w:val="22"/>
        <w:szCs w:val="22"/>
      </w:rPr>
      <w:instrText xml:space="preserve"> PAGE </w:instrText>
    </w:r>
    <w:r w:rsidR="006A72F9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6A72F9" w:rsidRPr="00400E5C">
      <w:rPr>
        <w:b/>
        <w:color w:val="49176D"/>
        <w:sz w:val="22"/>
        <w:szCs w:val="22"/>
      </w:rPr>
      <w:fldChar w:fldCharType="end"/>
    </w:r>
    <w:r w:rsidR="006A72F9" w:rsidRPr="00400E5C">
      <w:rPr>
        <w:b/>
        <w:color w:val="49176D"/>
        <w:sz w:val="22"/>
        <w:szCs w:val="22"/>
      </w:rPr>
      <w:t xml:space="preserve"> of </w:t>
    </w:r>
    <w:r w:rsidR="006A72F9" w:rsidRPr="00400E5C">
      <w:rPr>
        <w:b/>
        <w:color w:val="49176D"/>
        <w:sz w:val="22"/>
        <w:szCs w:val="22"/>
      </w:rPr>
      <w:fldChar w:fldCharType="begin"/>
    </w:r>
    <w:r w:rsidR="006A72F9" w:rsidRPr="00400E5C">
      <w:rPr>
        <w:b/>
        <w:color w:val="49176D"/>
        <w:sz w:val="22"/>
        <w:szCs w:val="22"/>
      </w:rPr>
      <w:instrText xml:space="preserve"> NUMPAGES </w:instrText>
    </w:r>
    <w:r w:rsidR="006A72F9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6A72F9" w:rsidRPr="00400E5C">
      <w:rPr>
        <w:b/>
        <w:color w:val="49176D"/>
        <w:sz w:val="22"/>
        <w:szCs w:val="22"/>
      </w:rPr>
      <w:fldChar w:fldCharType="end"/>
    </w:r>
  </w:p>
  <w:p w:rsidR="006A72F9" w:rsidRPr="0002415D" w:rsidRDefault="006A72F9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58" w:rsidRDefault="000C0B58">
      <w:r>
        <w:separator/>
      </w:r>
    </w:p>
  </w:footnote>
  <w:footnote w:type="continuationSeparator" w:id="0">
    <w:p w:rsidR="000C0B58" w:rsidRDefault="000C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F9" w:rsidRPr="00400E5C" w:rsidRDefault="006A72F9" w:rsidP="00583D2A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Knowledge and understanding</w:t>
    </w:r>
    <w:r>
      <w:rPr>
        <w:i/>
        <w:color w:val="49176D"/>
      </w:rPr>
      <w:tab/>
    </w:r>
    <w:smartTag w:uri="urn:schemas-microsoft-com:office:smarttags" w:element="State">
      <w:smartTag w:uri="urn:schemas-microsoft-com:office:smarttags" w:element="plac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6A72F9" w:rsidRPr="00583D2A" w:rsidRDefault="006A72F9" w:rsidP="00583D2A">
    <w:pPr>
      <w:pStyle w:val="Header"/>
      <w:rPr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F9" w:rsidRPr="00400E5C" w:rsidRDefault="006A72F9" w:rsidP="00583D2A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Knowledge and understanding</w:t>
    </w:r>
    <w:r>
      <w:rPr>
        <w:i/>
        <w:color w:val="49176D"/>
      </w:rPr>
      <w:tab/>
    </w:r>
    <w:smartTag w:uri="urn:schemas-microsoft-com:office:smarttags" w:element="State">
      <w:smartTag w:uri="urn:schemas-microsoft-com:office:smarttags" w:element="plac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6A72F9" w:rsidRDefault="006A72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C0B58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A4AD7"/>
    <w:rsid w:val="001B50EC"/>
    <w:rsid w:val="001E5B30"/>
    <w:rsid w:val="001E6C0A"/>
    <w:rsid w:val="00206B52"/>
    <w:rsid w:val="0022633E"/>
    <w:rsid w:val="002475D1"/>
    <w:rsid w:val="00255423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C7E50"/>
    <w:rsid w:val="004D2F2D"/>
    <w:rsid w:val="004E6E7B"/>
    <w:rsid w:val="00500F08"/>
    <w:rsid w:val="0051749B"/>
    <w:rsid w:val="0052187D"/>
    <w:rsid w:val="0053106F"/>
    <w:rsid w:val="0055799A"/>
    <w:rsid w:val="00583D2A"/>
    <w:rsid w:val="005A7B22"/>
    <w:rsid w:val="005C16A3"/>
    <w:rsid w:val="005E6E8E"/>
    <w:rsid w:val="00611DE7"/>
    <w:rsid w:val="00632D2A"/>
    <w:rsid w:val="006534A6"/>
    <w:rsid w:val="00664426"/>
    <w:rsid w:val="00670DD2"/>
    <w:rsid w:val="00687DF7"/>
    <w:rsid w:val="006967BB"/>
    <w:rsid w:val="006A72F9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80598"/>
    <w:rsid w:val="008A23B4"/>
    <w:rsid w:val="0090114C"/>
    <w:rsid w:val="00902162"/>
    <w:rsid w:val="00922562"/>
    <w:rsid w:val="00925BD3"/>
    <w:rsid w:val="00934419"/>
    <w:rsid w:val="00962D4D"/>
    <w:rsid w:val="009D60C7"/>
    <w:rsid w:val="009E495C"/>
    <w:rsid w:val="00A0475B"/>
    <w:rsid w:val="00A4062D"/>
    <w:rsid w:val="00A53947"/>
    <w:rsid w:val="00A61124"/>
    <w:rsid w:val="00A71726"/>
    <w:rsid w:val="00A82BA3"/>
    <w:rsid w:val="00A9771B"/>
    <w:rsid w:val="00AC77F4"/>
    <w:rsid w:val="00AD4F7E"/>
    <w:rsid w:val="00AE1B49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028F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and understanding - HEALTH &amp; PHYSICAL EDUCATION (HPE)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2008-04-15T06:30:00Z</cp:lastPrinted>
  <dcterms:created xsi:type="dcterms:W3CDTF">2014-06-18T07:19:00Z</dcterms:created>
  <dcterms:modified xsi:type="dcterms:W3CDTF">2014-06-18T07:19:00Z</dcterms:modified>
</cp:coreProperties>
</file>