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rsidTr="008A06D7">
        <w:trPr>
          <w:trHeight w:val="1615"/>
        </w:trPr>
        <w:tc>
          <w:tcPr>
            <w:tcW w:w="956" w:type="dxa"/>
            <w:tcBorders>
              <w:bottom w:val="nil"/>
            </w:tcBorders>
            <w:tcMar>
              <w:left w:w="0" w:type="dxa"/>
              <w:bottom w:w="0" w:type="dxa"/>
              <w:right w:w="0" w:type="dxa"/>
            </w:tcMar>
            <w:vAlign w:val="bottom"/>
          </w:tcPr>
          <w:p w:rsidR="00ED1561" w:rsidRPr="00F57CBD" w:rsidRDefault="00ED1561" w:rsidP="002B63FF">
            <w:pPr>
              <w:pStyle w:val="Subtitle"/>
            </w:pPr>
            <w:bookmarkStart w:id="0" w:name="_Toc234219367"/>
          </w:p>
        </w:tc>
        <w:tc>
          <w:tcPr>
            <w:tcW w:w="10226" w:type="dxa"/>
            <w:tcBorders>
              <w:bottom w:val="single" w:sz="12" w:space="0" w:color="D52B1E"/>
            </w:tcBorders>
            <w:vAlign w:val="bottom"/>
          </w:tcPr>
          <w:sdt>
            <w:sdtPr>
              <w:alias w:val="Document title"/>
              <w:tag w:val="Document title"/>
              <w:id w:val="1744602064"/>
              <w:placeholder>
                <w:docPart w:val="D9C0F901320C4FDBAB7BE25CF97C87BF"/>
              </w:placeholder>
              <w:dataBinding w:prefixMappings="xmlns:ns0='http://schemas.microsoft.com/office/2006/coverPageProps' " w:xpath="/ns0:CoverPageProperties[1]/ns0:Abstract[1]" w:storeItemID="{55AF091B-3C7A-41E3-B477-F2FDAA23CFDA}"/>
              <w:text/>
            </w:sdtPr>
            <w:sdtEndPr/>
            <w:sdtContent>
              <w:p w:rsidR="00FF06E6" w:rsidRDefault="007A2ED2" w:rsidP="00FF06E6">
                <w:pPr>
                  <w:pStyle w:val="Title"/>
                  <w:spacing w:before="400"/>
                </w:pPr>
                <w:r w:rsidRPr="007A2ED2">
                  <w:t>Special educational needs</w:t>
                </w:r>
              </w:p>
            </w:sdtContent>
          </w:sdt>
          <w:sdt>
            <w:sdtPr>
              <w:rPr>
                <w:rStyle w:val="SubtitleChar"/>
              </w:rPr>
              <w:alias w:val="Document subtitle"/>
              <w:tag w:val="Document subtitle"/>
              <w:id w:val="-1706172723"/>
              <w:placeholder>
                <w:docPart w:val="BC2E45ED92E84797AF329EE234072A48"/>
              </w:placeholder>
              <w:dataBinding w:prefixMappings="xmlns:ns0='http://schemas.openxmlformats.org/officeDocument/2006/extended-properties' " w:xpath="/ns0:Properties[1]/ns0:Manager[1]" w:storeItemID="{6668398D-A668-4E3E-A5EB-62B293D839F1}"/>
              <w:text/>
            </w:sdtPr>
            <w:sdtEndPr>
              <w:rPr>
                <w:rStyle w:val="SubtitleChar"/>
              </w:rPr>
            </w:sdtEndPr>
            <w:sdtContent>
              <w:p w:rsidR="00ED1561" w:rsidRPr="000F044B" w:rsidRDefault="007A2ED2" w:rsidP="00CF2615">
                <w:pPr>
                  <w:pStyle w:val="Subtitle"/>
                </w:pPr>
                <w:r w:rsidRPr="007A2ED2">
                  <w:rPr>
                    <w:rStyle w:val="SubtitleChar"/>
                  </w:rPr>
                  <w:t>Ways to gather and record evidence of student learning</w:t>
                </w:r>
              </w:p>
            </w:sdtContent>
          </w:sdt>
        </w:tc>
      </w:tr>
    </w:tbl>
    <w:p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rsidR="00950CB6" w:rsidRDefault="00950CB6" w:rsidP="00C24DD5">
      <w:pPr>
        <w:pStyle w:val="Heading1"/>
        <w:spacing w:before="720"/>
        <w:sectPr w:rsidR="00950CB6" w:rsidSect="00671B6C">
          <w:footerReference w:type="even" r:id="rId14"/>
          <w:footerReference w:type="default" r:id="rId15"/>
          <w:type w:val="continuous"/>
          <w:pgSz w:w="11907" w:h="16840" w:code="9"/>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3C2042" w:rsidRDefault="003C2042" w:rsidP="003C2042">
      <w:pPr>
        <w:pStyle w:val="BodyText"/>
      </w:pPr>
    </w:p>
    <w:p w:rsidR="007A2ED2" w:rsidRPr="004D25B8" w:rsidRDefault="007A2ED2" w:rsidP="007A2ED2">
      <w:pPr>
        <w:pStyle w:val="Heading1"/>
      </w:pPr>
      <w:r w:rsidRPr="007A2ED2">
        <w:t>Background</w:t>
      </w:r>
    </w:p>
    <w:p w:rsidR="007A2ED2" w:rsidRDefault="007A2ED2" w:rsidP="007A2ED2">
      <w:pPr>
        <w:pStyle w:val="BodyText"/>
        <w:rPr>
          <w:lang w:eastAsia="zh-CN"/>
        </w:rPr>
      </w:pPr>
      <w:r>
        <w:rPr>
          <w:lang w:eastAsia="zh-CN"/>
        </w:rPr>
        <w:t xml:space="preserve">Please read this resource in conjunction with the Queensland </w:t>
      </w:r>
      <w:r w:rsidR="002426F4">
        <w:rPr>
          <w:lang w:eastAsia="zh-CN"/>
        </w:rPr>
        <w:t>Curriculum and Assessment</w:t>
      </w:r>
      <w:r>
        <w:rPr>
          <w:lang w:eastAsia="zh-CN"/>
        </w:rPr>
        <w:t xml:space="preserve"> Authority (Q</w:t>
      </w:r>
      <w:r w:rsidR="002426F4">
        <w:rPr>
          <w:lang w:eastAsia="zh-CN"/>
        </w:rPr>
        <w:t>CA</w:t>
      </w:r>
      <w:r>
        <w:rPr>
          <w:lang w:eastAsia="zh-CN"/>
        </w:rPr>
        <w:t xml:space="preserve">A) </w:t>
      </w:r>
      <w:r w:rsidRPr="004D25B8">
        <w:rPr>
          <w:i/>
          <w:lang w:eastAsia="zh-CN"/>
        </w:rPr>
        <w:t>Inclusive strategies</w:t>
      </w:r>
      <w:r>
        <w:rPr>
          <w:lang w:eastAsia="zh-CN"/>
        </w:rPr>
        <w:t xml:space="preserve"> documents.</w:t>
      </w:r>
    </w:p>
    <w:p w:rsidR="007A2ED2" w:rsidRPr="007A2ED2" w:rsidRDefault="007A2ED2" w:rsidP="007A2ED2">
      <w:pPr>
        <w:pStyle w:val="Heading2"/>
      </w:pPr>
      <w:r w:rsidRPr="007A2ED2">
        <w:t>Ways of gathering and recording eviden</w:t>
      </w:r>
      <w:bookmarkStart w:id="5" w:name="_GoBack"/>
      <w:bookmarkEnd w:id="5"/>
      <w:r w:rsidRPr="007A2ED2">
        <w:t>ce</w:t>
      </w:r>
    </w:p>
    <w:tbl>
      <w:tblPr>
        <w:tblStyle w:val="QCAAtablestyle4"/>
        <w:tblW w:w="9493" w:type="dxa"/>
        <w:tblLook w:val="01E0" w:firstRow="1" w:lastRow="1" w:firstColumn="1" w:lastColumn="1" w:noHBand="0" w:noVBand="0"/>
      </w:tblPr>
      <w:tblGrid>
        <w:gridCol w:w="2972"/>
        <w:gridCol w:w="3686"/>
        <w:gridCol w:w="2835"/>
      </w:tblGrid>
      <w:tr w:rsidR="007A2ED2" w:rsidRPr="00250EB3" w:rsidTr="007A2ED2">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72" w:type="dxa"/>
          </w:tcPr>
          <w:p w:rsidR="007A2ED2" w:rsidRPr="00250EB3" w:rsidRDefault="007A2ED2" w:rsidP="007A2ED2">
            <w:pPr>
              <w:pStyle w:val="TableHeading"/>
            </w:pPr>
            <w:r w:rsidRPr="00250EB3">
              <w:t>Sources of evidence</w:t>
            </w:r>
          </w:p>
        </w:tc>
        <w:tc>
          <w:tcPr>
            <w:tcW w:w="3686" w:type="dxa"/>
          </w:tcPr>
          <w:p w:rsidR="007A2ED2" w:rsidRPr="00250EB3" w:rsidRDefault="007A2ED2" w:rsidP="007A2ED2">
            <w:pPr>
              <w:pStyle w:val="TableHeading"/>
              <w:cnfStyle w:val="100000000000" w:firstRow="1" w:lastRow="0" w:firstColumn="0" w:lastColumn="0" w:oddVBand="0" w:evenVBand="0" w:oddHBand="0" w:evenHBand="0" w:firstRowFirstColumn="0" w:firstRowLastColumn="0" w:lastRowFirstColumn="0" w:lastRowLastColumn="0"/>
            </w:pPr>
            <w:r w:rsidRPr="00250EB3">
              <w:t>Assessment techniques</w:t>
            </w:r>
          </w:p>
        </w:tc>
        <w:tc>
          <w:tcPr>
            <w:tcW w:w="2835" w:type="dxa"/>
          </w:tcPr>
          <w:p w:rsidR="007A2ED2" w:rsidRPr="00250EB3" w:rsidRDefault="007A2ED2" w:rsidP="007A2ED2">
            <w:pPr>
              <w:pStyle w:val="TableHeading"/>
              <w:cnfStyle w:val="100000000000" w:firstRow="1" w:lastRow="0" w:firstColumn="0" w:lastColumn="0" w:oddVBand="0" w:evenVBand="0" w:oddHBand="0" w:evenHBand="0" w:firstRowFirstColumn="0" w:firstRowLastColumn="0" w:lastRowFirstColumn="0" w:lastRowLastColumn="0"/>
            </w:pPr>
            <w:r w:rsidRPr="00250EB3">
              <w:t>Recording instruments</w:t>
            </w:r>
          </w:p>
        </w:tc>
      </w:tr>
      <w:tr w:rsidR="007A2ED2" w:rsidRPr="00250EB3" w:rsidTr="007A2ED2">
        <w:trPr>
          <w:trHeight w:val="42"/>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rsidR="007A2ED2" w:rsidRPr="004D25B8" w:rsidRDefault="007A2ED2" w:rsidP="007A2ED2">
            <w:pPr>
              <w:pStyle w:val="TableBullet"/>
            </w:pPr>
            <w:r w:rsidRPr="004D25B8">
              <w:t>computer-generated presentations</w:t>
            </w:r>
          </w:p>
          <w:p w:rsidR="007A2ED2" w:rsidRPr="004D25B8" w:rsidRDefault="007A2ED2" w:rsidP="007A2ED2">
            <w:pPr>
              <w:pStyle w:val="TableBullet"/>
            </w:pPr>
            <w:r w:rsidRPr="004D25B8">
              <w:t xml:space="preserve">debates </w:t>
            </w:r>
          </w:p>
          <w:p w:rsidR="007A2ED2" w:rsidRPr="004D25B8" w:rsidRDefault="007A2ED2" w:rsidP="007A2ED2">
            <w:pPr>
              <w:pStyle w:val="TableBullet"/>
            </w:pPr>
            <w:r w:rsidRPr="004D25B8">
              <w:t>design briefs and plans</w:t>
            </w:r>
          </w:p>
          <w:p w:rsidR="007A2ED2" w:rsidRPr="004D25B8" w:rsidRDefault="007A2ED2" w:rsidP="007A2ED2">
            <w:pPr>
              <w:pStyle w:val="TableBullet"/>
            </w:pPr>
            <w:r w:rsidRPr="004D25B8">
              <w:t>discussion with students</w:t>
            </w:r>
          </w:p>
          <w:p w:rsidR="007A2ED2" w:rsidRPr="004D25B8" w:rsidRDefault="007A2ED2" w:rsidP="007A2ED2">
            <w:pPr>
              <w:pStyle w:val="TableBullet"/>
            </w:pPr>
            <w:r w:rsidRPr="004D25B8">
              <w:t>folios</w:t>
            </w:r>
          </w:p>
          <w:p w:rsidR="007A2ED2" w:rsidRPr="004D25B8" w:rsidRDefault="007A2ED2" w:rsidP="007A2ED2">
            <w:pPr>
              <w:pStyle w:val="TableBullet"/>
            </w:pPr>
            <w:r w:rsidRPr="004D25B8">
              <w:t>games</w:t>
            </w:r>
          </w:p>
          <w:p w:rsidR="007A2ED2" w:rsidRPr="004D25B8" w:rsidRDefault="007A2ED2" w:rsidP="007A2ED2">
            <w:pPr>
              <w:pStyle w:val="TableBullet"/>
            </w:pPr>
            <w:r w:rsidRPr="004D25B8">
              <w:t>individual and group performances</w:t>
            </w:r>
          </w:p>
          <w:p w:rsidR="007A2ED2" w:rsidRPr="004D25B8" w:rsidRDefault="007A2ED2" w:rsidP="007A2ED2">
            <w:pPr>
              <w:pStyle w:val="TableBullet"/>
            </w:pPr>
            <w:r w:rsidRPr="004D25B8">
              <w:t xml:space="preserve">teacher/student interviews </w:t>
            </w:r>
          </w:p>
          <w:p w:rsidR="007A2ED2" w:rsidRPr="004D25B8" w:rsidRDefault="007A2ED2" w:rsidP="007A2ED2">
            <w:pPr>
              <w:pStyle w:val="TableBullet"/>
            </w:pPr>
            <w:r w:rsidRPr="004D25B8">
              <w:t>journals</w:t>
            </w:r>
          </w:p>
          <w:p w:rsidR="007A2ED2" w:rsidRPr="004D25B8" w:rsidRDefault="007A2ED2" w:rsidP="007A2ED2">
            <w:pPr>
              <w:pStyle w:val="TableBullet"/>
            </w:pPr>
            <w:r w:rsidRPr="004D25B8">
              <w:t>movement sequences</w:t>
            </w:r>
          </w:p>
          <w:p w:rsidR="007A2ED2" w:rsidRPr="004D25B8" w:rsidRDefault="007A2ED2" w:rsidP="007A2ED2">
            <w:pPr>
              <w:pStyle w:val="TableBullet"/>
            </w:pPr>
            <w:r w:rsidRPr="004D25B8">
              <w:t>observation of written work in progress</w:t>
            </w:r>
          </w:p>
          <w:p w:rsidR="007A2ED2" w:rsidRPr="004D25B8" w:rsidRDefault="007A2ED2" w:rsidP="007A2ED2">
            <w:pPr>
              <w:pStyle w:val="TableBullet"/>
            </w:pPr>
            <w:r w:rsidRPr="004D25B8">
              <w:t>persuasive speeches</w:t>
            </w:r>
          </w:p>
          <w:p w:rsidR="007A2ED2" w:rsidRPr="004D25B8" w:rsidRDefault="007A2ED2" w:rsidP="007A2ED2">
            <w:pPr>
              <w:pStyle w:val="TableBullet"/>
            </w:pPr>
            <w:r w:rsidRPr="004D25B8">
              <w:t>production proposals</w:t>
            </w:r>
          </w:p>
          <w:p w:rsidR="007A2ED2" w:rsidRPr="004D25B8" w:rsidRDefault="007A2ED2" w:rsidP="007A2ED2">
            <w:pPr>
              <w:pStyle w:val="TableBullet"/>
            </w:pPr>
            <w:r w:rsidRPr="004D25B8">
              <w:t>questioning led by the teacher or student</w:t>
            </w:r>
          </w:p>
          <w:p w:rsidR="007A2ED2" w:rsidRPr="004D25B8" w:rsidRDefault="007A2ED2" w:rsidP="007A2ED2">
            <w:pPr>
              <w:pStyle w:val="TableBullet"/>
            </w:pPr>
            <w:r w:rsidRPr="004D25B8">
              <w:t>reports (e.g. on investigations, excursions)</w:t>
            </w:r>
          </w:p>
          <w:p w:rsidR="007A2ED2" w:rsidRPr="004D25B8" w:rsidRDefault="007A2ED2" w:rsidP="007A2ED2">
            <w:pPr>
              <w:pStyle w:val="TableBullet"/>
            </w:pPr>
            <w:r w:rsidRPr="004D25B8">
              <w:t xml:space="preserve">research projects </w:t>
            </w:r>
          </w:p>
          <w:p w:rsidR="007A2ED2" w:rsidRPr="004D25B8" w:rsidRDefault="007A2ED2" w:rsidP="007A2ED2">
            <w:pPr>
              <w:pStyle w:val="TableBullet"/>
            </w:pPr>
            <w:r w:rsidRPr="004D25B8">
              <w:t>roleplays</w:t>
            </w:r>
          </w:p>
          <w:p w:rsidR="007A2ED2" w:rsidRPr="004D25B8" w:rsidRDefault="007A2ED2" w:rsidP="007A2ED2">
            <w:pPr>
              <w:pStyle w:val="TableBullet"/>
            </w:pPr>
            <w:r w:rsidRPr="004D25B8">
              <w:t>short and extended written responses to stimuli</w:t>
            </w:r>
          </w:p>
          <w:p w:rsidR="007A2ED2" w:rsidRPr="004D25B8" w:rsidRDefault="007A2ED2" w:rsidP="007A2ED2">
            <w:pPr>
              <w:pStyle w:val="TableBullet"/>
            </w:pPr>
            <w:r w:rsidRPr="004D25B8">
              <w:t>sketches and drawings of design ideas and products</w:t>
            </w:r>
          </w:p>
          <w:p w:rsidR="007A2ED2" w:rsidRPr="004D25B8" w:rsidRDefault="007A2ED2" w:rsidP="007A2ED2">
            <w:pPr>
              <w:pStyle w:val="TableBullet"/>
            </w:pPr>
            <w:r w:rsidRPr="004D25B8">
              <w:t>skill drills</w:t>
            </w:r>
          </w:p>
          <w:p w:rsidR="007A2ED2" w:rsidRPr="004D25B8" w:rsidRDefault="007A2ED2" w:rsidP="007A2ED2">
            <w:pPr>
              <w:pStyle w:val="TableBullet"/>
            </w:pPr>
            <w:r w:rsidRPr="004D25B8">
              <w:t>structured whole- or small- group discussion</w:t>
            </w:r>
          </w:p>
          <w:p w:rsidR="007A2ED2" w:rsidRPr="004D25B8" w:rsidRDefault="007A2ED2" w:rsidP="007A2ED2">
            <w:pPr>
              <w:pStyle w:val="TableBullet"/>
            </w:pPr>
            <w:r w:rsidRPr="004D25B8">
              <w:t>student explanations of work in progress</w:t>
            </w:r>
          </w:p>
          <w:p w:rsidR="007A2ED2" w:rsidRPr="004D25B8" w:rsidRDefault="007A2ED2" w:rsidP="007A2ED2">
            <w:pPr>
              <w:pStyle w:val="TableBullet"/>
            </w:pPr>
            <w:r w:rsidRPr="004D25B8">
              <w:t>DVD/video productions</w:t>
            </w:r>
          </w:p>
          <w:p w:rsidR="007A2ED2" w:rsidRPr="004D25B8" w:rsidRDefault="007A2ED2" w:rsidP="007A2ED2">
            <w:pPr>
              <w:pStyle w:val="TableBullet"/>
            </w:pPr>
            <w:r w:rsidRPr="004D25B8">
              <w:t>workshops</w:t>
            </w:r>
          </w:p>
          <w:p w:rsidR="007A2ED2" w:rsidRPr="004D25B8" w:rsidRDefault="007A2ED2" w:rsidP="00616CA3">
            <w:pPr>
              <w:pStyle w:val="TableBullet"/>
            </w:pPr>
            <w:r w:rsidRPr="004D25B8">
              <w:t>written tests (e.g. N</w:t>
            </w:r>
            <w:r w:rsidR="00616CA3">
              <w:t>APLAN</w:t>
            </w:r>
            <w:r w:rsidRPr="004D25B8">
              <w:t xml:space="preserve"> </w:t>
            </w:r>
            <w:r w:rsidR="00616CA3">
              <w:br/>
            </w:r>
            <w:r>
              <w:t>Year</w:t>
            </w:r>
            <w:r w:rsidRPr="004D25B8">
              <w:t xml:space="preserve"> 3, 5 and 7 tests</w:t>
            </w:r>
            <w:r>
              <w:t>)</w:t>
            </w:r>
          </w:p>
        </w:tc>
        <w:tc>
          <w:tcPr>
            <w:tcW w:w="3686" w:type="dxa"/>
          </w:tcPr>
          <w:p w:rsidR="007A2ED2" w:rsidRPr="004D25B8" w:rsidRDefault="007A2ED2" w:rsidP="00102281">
            <w:pPr>
              <w:pStyle w:val="TableText"/>
              <w:spacing w:after="60"/>
              <w:ind w:left="57"/>
              <w:cnfStyle w:val="000000000000" w:firstRow="0" w:lastRow="0" w:firstColumn="0" w:lastColumn="0" w:oddVBand="0" w:evenVBand="0" w:oddHBand="0" w:evenHBand="0" w:firstRowFirstColumn="0" w:firstRowLastColumn="0" w:lastRowFirstColumn="0" w:lastRowLastColumn="0"/>
              <w:rPr>
                <w:szCs w:val="19"/>
              </w:rPr>
            </w:pPr>
            <w:r w:rsidRPr="00616CA3">
              <w:rPr>
                <w:b/>
                <w:szCs w:val="19"/>
              </w:rPr>
              <w:t>Observation</w:t>
            </w:r>
            <w:r w:rsidRPr="00616CA3">
              <w:rPr>
                <w:szCs w:val="19"/>
              </w:rPr>
              <w:t xml:space="preserve"> </w:t>
            </w:r>
            <w:r w:rsidRPr="004D25B8">
              <w:rPr>
                <w:szCs w:val="19"/>
              </w:rPr>
              <w:t xml:space="preserve">involves teachers observing students as they participate in planned activities. Teacher observation occurs continually as a natural part of the learning and teaching process and can be used to gather a broad range of information about students’ demonstrations of learning. Teacher observations can also be structured to gather particular kinds of information in relation to learning. </w:t>
            </w:r>
          </w:p>
          <w:p w:rsidR="007A2ED2" w:rsidRPr="004D25B8" w:rsidRDefault="007A2ED2" w:rsidP="00102281">
            <w:pPr>
              <w:pStyle w:val="TableText"/>
              <w:spacing w:after="60"/>
              <w:ind w:left="57"/>
              <w:cnfStyle w:val="000000000000" w:firstRow="0" w:lastRow="0" w:firstColumn="0" w:lastColumn="0" w:oddVBand="0" w:evenVBand="0" w:oddHBand="0" w:evenHBand="0" w:firstRowFirstColumn="0" w:firstRowLastColumn="0" w:lastRowFirstColumn="0" w:lastRowLastColumn="0"/>
              <w:rPr>
                <w:szCs w:val="19"/>
              </w:rPr>
            </w:pPr>
            <w:r w:rsidRPr="00616CA3">
              <w:rPr>
                <w:b/>
                <w:szCs w:val="19"/>
              </w:rPr>
              <w:t>Consultation</w:t>
            </w:r>
            <w:r w:rsidRPr="004D25B8">
              <w:rPr>
                <w:szCs w:val="19"/>
              </w:rPr>
              <w:t xml:space="preserve"> involves teachers discussing student work with students, colleagues, parents, carers or other paraprofessionals. The varying perspectives of the participants in consultations can help enrich the evidence gathered about students’ demonstrations of learning. Consultation can be used to verify the evidence gathered using other techniques. Some consultations may reveal a need for more detailed assessment. </w:t>
            </w:r>
          </w:p>
          <w:p w:rsidR="007A2ED2" w:rsidRPr="004D25B8" w:rsidRDefault="007A2ED2" w:rsidP="00102281">
            <w:pPr>
              <w:pStyle w:val="TableText"/>
              <w:spacing w:after="60"/>
              <w:ind w:left="57"/>
              <w:cnfStyle w:val="000000000000" w:firstRow="0" w:lastRow="0" w:firstColumn="0" w:lastColumn="0" w:oddVBand="0" w:evenVBand="0" w:oddHBand="0" w:evenHBand="0" w:firstRowFirstColumn="0" w:firstRowLastColumn="0" w:lastRowFirstColumn="0" w:lastRowLastColumn="0"/>
              <w:rPr>
                <w:szCs w:val="19"/>
              </w:rPr>
            </w:pPr>
            <w:r w:rsidRPr="00616CA3">
              <w:rPr>
                <w:b/>
                <w:szCs w:val="19"/>
              </w:rPr>
              <w:t>Focused analysis</w:t>
            </w:r>
            <w:r w:rsidRPr="004D25B8">
              <w:rPr>
                <w:szCs w:val="19"/>
              </w:rPr>
              <w:t xml:space="preserve"> involves teachers in examining in detail student responses to tasks or activities (e.g. roleplays, group discussions, tests, debates or research projects, dramatic presentations, video presentations, responses to stimulus). This technique provides detailed evidence about students’ demonstrations of learning.</w:t>
            </w:r>
          </w:p>
          <w:p w:rsidR="007A2ED2" w:rsidRPr="004D25B8" w:rsidRDefault="007A2ED2" w:rsidP="00102281">
            <w:pPr>
              <w:pStyle w:val="TableText"/>
              <w:spacing w:after="60"/>
              <w:ind w:left="57"/>
              <w:cnfStyle w:val="000000000000" w:firstRow="0" w:lastRow="0" w:firstColumn="0" w:lastColumn="0" w:oddVBand="0" w:evenVBand="0" w:oddHBand="0" w:evenHBand="0" w:firstRowFirstColumn="0" w:firstRowLastColumn="0" w:lastRowFirstColumn="0" w:lastRowLastColumn="0"/>
              <w:rPr>
                <w:szCs w:val="19"/>
              </w:rPr>
            </w:pPr>
            <w:r w:rsidRPr="00616CA3">
              <w:rPr>
                <w:b/>
                <w:szCs w:val="19"/>
              </w:rPr>
              <w:t>Peer and self-assessment</w:t>
            </w:r>
            <w:r w:rsidRPr="004D25B8">
              <w:rPr>
                <w:szCs w:val="19"/>
              </w:rPr>
              <w:t xml:space="preserve"> involve students in using the above techniques to assess their own work and the work of their peers. Peer and self-assessment allow teachers to take account of students’ perceptions when gathering evidence.</w:t>
            </w:r>
          </w:p>
        </w:tc>
        <w:tc>
          <w:tcPr>
            <w:tcW w:w="2835" w:type="dxa"/>
          </w:tcPr>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anecdotal records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teacher/student journals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visual folios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checklists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 xml:space="preserve">anticipated evidence statements or criteria sheets </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annotated work samples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audio (including video/DVD) recordings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 xml:space="preserve">photographs </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worksheets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reports of test results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reflection sheets/diaries, scrapbooks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learning logs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conference logs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 xml:space="preserve">observation notes </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progress charts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feedback sheets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peer and self-assessment sheets</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interview with student</w:t>
            </w:r>
          </w:p>
          <w:p w:rsidR="007A2ED2" w:rsidRPr="004D25B8" w:rsidRDefault="007A2ED2" w:rsidP="007A2ED2">
            <w:pPr>
              <w:pStyle w:val="TableBullet"/>
              <w:cnfStyle w:val="000000000000" w:firstRow="0" w:lastRow="0" w:firstColumn="0" w:lastColumn="0" w:oddVBand="0" w:evenVBand="0" w:oddHBand="0" w:evenHBand="0" w:firstRowFirstColumn="0" w:firstRowLastColumn="0" w:lastRowFirstColumn="0" w:lastRowLastColumn="0"/>
            </w:pPr>
            <w:r w:rsidRPr="004D25B8">
              <w:t>self and peer reflective journals</w:t>
            </w:r>
          </w:p>
        </w:tc>
      </w:tr>
    </w:tbl>
    <w:p w:rsidR="00500078" w:rsidRDefault="00500078" w:rsidP="009A442E">
      <w:pPr>
        <w:pStyle w:val="BodyText"/>
      </w:pPr>
    </w:p>
    <w:sectPr w:rsidR="00500078" w:rsidSect="00FF067C">
      <w:footerReference w:type="default" r:id="rId16"/>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CE" w:rsidRDefault="005838CE">
      <w:r>
        <w:separator/>
      </w:r>
    </w:p>
    <w:p w:rsidR="005838CE" w:rsidRDefault="005838CE"/>
  </w:endnote>
  <w:endnote w:type="continuationSeparator" w:id="0">
    <w:p w:rsidR="005838CE" w:rsidRDefault="005838CE">
      <w:r>
        <w:continuationSeparator/>
      </w:r>
    </w:p>
    <w:p w:rsidR="005838CE" w:rsidRDefault="00583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541590" w:rsidRPr="007165FF"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rsidR="00541590" w:rsidRDefault="007A2ED2" w:rsidP="0093255E">
              <w:pPr>
                <w:pStyle w:val="Footer"/>
              </w:pPr>
              <w:r>
                <w:t xml:space="preserve"> Special educational needs</w:t>
              </w:r>
            </w:p>
          </w:sdtContent>
        </w:sdt>
        <w:p w:rsidR="00541590" w:rsidRPr="00FD561F" w:rsidRDefault="00BB66AF"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7A2ED2">
                <w:t xml:space="preserve"> Ways to gather and record evidence of student learning</w:t>
              </w:r>
            </w:sdtContent>
          </w:sdt>
          <w:r w:rsidR="00541590">
            <w:tab/>
          </w:r>
        </w:p>
      </w:tc>
      <w:tc>
        <w:tcPr>
          <w:tcW w:w="2911" w:type="pct"/>
        </w:tcPr>
        <w:p w:rsidR="00541590" w:rsidRDefault="00541590" w:rsidP="0093255E">
          <w:pPr>
            <w:pStyle w:val="Footer"/>
            <w:ind w:left="284"/>
            <w:jc w:val="right"/>
            <w:rPr>
              <w:rFonts w:eastAsia="SimSun"/>
            </w:rPr>
          </w:pPr>
          <w:r w:rsidRPr="0055152A">
            <w:rPr>
              <w:rFonts w:eastAsia="SimSun"/>
            </w:rPr>
            <w:t>Queensland Curriculum &amp; Assessment Authority</w:t>
          </w:r>
        </w:p>
        <w:p w:rsidR="00541590" w:rsidRPr="000F044B" w:rsidRDefault="00BB66AF" w:rsidP="0093255E">
          <w:pPr>
            <w:pStyle w:val="footersubtitle"/>
            <w:jc w:val="right"/>
            <w:rPr>
              <w:rStyle w:val="Footerbold"/>
              <w:b w:val="0"/>
              <w:color w:val="6F7378" w:themeColor="background2" w:themeShade="80"/>
            </w:rPr>
          </w:pPr>
          <w:sdt>
            <w:sdtPr>
              <w:alias w:val="Publication Date"/>
              <w:tag w:val=""/>
              <w:id w:val="-657851979"/>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sdtContent>
              <w:r w:rsidR="00CF2615">
                <w:t>July 2014</w:t>
              </w:r>
            </w:sdtContent>
          </w:sdt>
          <w:r w:rsidR="00541590" w:rsidRPr="000F044B">
            <w:t xml:space="preserve"> </w:t>
          </w:r>
        </w:p>
      </w:tc>
    </w:tr>
    <w:tr w:rsidR="00541590"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541590" w:rsidRPr="00914504" w:rsidRDefault="0054159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838CE">
                <w:rPr>
                  <w:b w:val="0"/>
                  <w:noProof/>
                  <w:color w:val="000000" w:themeColor="text1"/>
                </w:rPr>
                <w:t>1</w:t>
              </w:r>
              <w:r w:rsidRPr="00914504">
                <w:rPr>
                  <w:b w:val="0"/>
                  <w:color w:val="000000" w:themeColor="text1"/>
                  <w:sz w:val="24"/>
                  <w:szCs w:val="24"/>
                </w:rPr>
                <w:fldChar w:fldCharType="end"/>
              </w:r>
            </w:p>
          </w:sdtContent>
        </w:sdt>
      </w:tc>
    </w:tr>
  </w:tbl>
  <w:p w:rsidR="00541590" w:rsidRPr="0085726A" w:rsidRDefault="0054159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90" w:rsidRDefault="0035440B">
    <w:pPr>
      <w:pStyle w:val="Footer"/>
    </w:pPr>
    <w:r>
      <w:rPr>
        <w:noProof/>
      </w:rPr>
      <mc:AlternateContent>
        <mc:Choice Requires="wps">
          <w:drawing>
            <wp:anchor distT="0" distB="0" distL="114300" distR="114300" simplePos="0" relativeHeight="251660288" behindDoc="0" locked="0" layoutInCell="1" allowOverlap="1" wp14:anchorId="45CD4D40" wp14:editId="70197C85">
              <wp:simplePos x="0" y="0"/>
              <wp:positionH relativeFrom="page">
                <wp:posOffset>6574316</wp:posOffset>
              </wp:positionH>
              <wp:positionV relativeFrom="page">
                <wp:posOffset>9220835</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35440B" w:rsidRDefault="00BB66AF"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87F02">
                                <w:t>r2579</w:t>
                              </w:r>
                            </w:sdtContent>
                          </w:sdt>
                          <w:r w:rsidR="0035440B" w:rsidRPr="00D879BC">
                            <w:t xml:space="preserve"> </w:t>
                          </w:r>
                          <w:sdt>
                            <w:sdtPr>
                              <w:alias w:val="Status"/>
                              <w:tag w:val=""/>
                              <w:id w:val="418758595"/>
                              <w:dataBinding w:prefixMappings="xmlns:ns0='http://purl.org/dc/elements/1.1/' xmlns:ns1='http://schemas.openxmlformats.org/package/2006/metadata/core-properties' " w:xpath="/ns1:coreProperties[1]/ns1:contentStatus[1]" w:storeItemID="{6C3C8BC8-F283-45AE-878A-BAB7291924A1}"/>
                              <w:text/>
                            </w:sdtPr>
                            <w:sdtEndPr/>
                            <w:sdtContent>
                              <w:r w:rsidR="0035440B">
                                <w:t>Rebranded July 2014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65pt;margin-top:726.05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0QZiYd8AAAAPAQAADwAAAGRycy9kb3ducmV2LnhtbEyPzU7DMBCE70i8g7VIXBC1k5ZC&#10;Q5yKHyH12gB3N94mEfE6it0meXu2J7jNaEez3+TbyXXijENoPWlIFgoEUuVtS7WGr8+P+ycQIRqy&#10;pvOEGmYMsC2ur3KTWT/SHs9lrAWXUMiMhibGPpMyVA06Exa+R+Lb0Q/ORLZDLe1gRi53nUyVWktn&#10;WuIPjenxrcHqpzw5DfE9tt5+36mj348Pr/OuDNLNWt/eTC/PICJO8S8MF3xGh4KZDv5ENoiOfbJS&#10;KWdZLVePrC6ZZJMuQRxYrdUmAVnk8v+O4hcAAP//AwBQSwECLQAUAAYACAAAACEAtoM4kv4AAADh&#10;AQAAEwAAAAAAAAAAAAAAAAAAAAAAW0NvbnRlbnRfVHlwZXNdLnhtbFBLAQItABQABgAIAAAAIQA4&#10;/SH/1gAAAJQBAAALAAAAAAAAAAAAAAAAAC8BAABfcmVscy8ucmVsc1BLAQItABQABgAIAAAAIQAc&#10;d4cmEgIAAAIEAAAOAAAAAAAAAAAAAAAAAC4CAABkcnMvZTJvRG9jLnhtbFBLAQItABQABgAIAAAA&#10;IQDRBmJh3wAAAA8BAAAPAAAAAAAAAAAAAAAAAGwEAABkcnMvZG93bnJldi54bWxQSwUGAAAAAAQA&#10;BADzAAAAeAUAAAAA&#10;" filled="f" stroked="f">
              <v:textbox>
                <w:txbxContent>
                  <w:p w:rsidR="0035440B" w:rsidRDefault="00BB66AF"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87F02">
                          <w:t>r2579</w:t>
                        </w:r>
                      </w:sdtContent>
                    </w:sdt>
                    <w:r w:rsidR="0035440B" w:rsidRPr="00D879BC">
                      <w:t xml:space="preserve"> </w:t>
                    </w:r>
                    <w:sdt>
                      <w:sdtPr>
                        <w:alias w:val="Status"/>
                        <w:tag w:val=""/>
                        <w:id w:val="418758595"/>
                        <w:dataBinding w:prefixMappings="xmlns:ns0='http://purl.org/dc/elements/1.1/' xmlns:ns1='http://schemas.openxmlformats.org/package/2006/metadata/core-properties' " w:xpath="/ns1:coreProperties[1]/ns1:contentStatus[1]" w:storeItemID="{6C3C8BC8-F283-45AE-878A-BAB7291924A1}"/>
                        <w:text/>
                      </w:sdtPr>
                      <w:sdtEndPr/>
                      <w:sdtContent>
                        <w:r w:rsidR="0035440B">
                          <w:t>Rebranded July 2014</w:t>
                        </w:r>
                      </w:sdtContent>
                    </w:sdt>
                  </w:p>
                </w:txbxContent>
              </v:textbox>
              <w10:wrap anchorx="page" anchory="page"/>
            </v:shape>
          </w:pict>
        </mc:Fallback>
      </mc:AlternateContent>
    </w:r>
    <w:r w:rsidR="00541590">
      <w:rPr>
        <w:noProof/>
      </w:rPr>
      <w:drawing>
        <wp:anchor distT="0" distB="0" distL="114300" distR="114300" simplePos="0" relativeHeight="251658240" behindDoc="1" locked="0" layoutInCell="1" allowOverlap="1" wp14:anchorId="1CCAE637" wp14:editId="2EEE9509">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41590" w:rsidRPr="007165FF" w:rsidTr="00C10CE7">
      <w:tc>
        <w:tcPr>
          <w:tcW w:w="2500" w:type="pct"/>
          <w:noWrap/>
          <w:tcMar>
            <w:left w:w="0" w:type="dxa"/>
            <w:right w:w="0" w:type="dxa"/>
          </w:tcMar>
        </w:tcPr>
        <w:sdt>
          <w:sdtPr>
            <w:alias w:val="Document title"/>
            <w:tag w:val="Document title"/>
            <w:id w:val="385998271"/>
            <w:dataBinding w:prefixMappings="xmlns:ns0='http://schemas.microsoft.com/office/2006/coverPageProps' " w:xpath="/ns0:CoverPageProperties[1]/ns0:Abstract[1]" w:storeItemID="{55AF091B-3C7A-41E3-B477-F2FDAA23CFDA}"/>
            <w:text/>
          </w:sdtPr>
          <w:sdtEndPr/>
          <w:sdtContent>
            <w:p w:rsidR="00FF06E6" w:rsidRDefault="007A2ED2" w:rsidP="00FF06E6">
              <w:pPr>
                <w:pStyle w:val="Footer"/>
              </w:pPr>
              <w:r>
                <w:t>Special educational needs</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541590" w:rsidRPr="00CF2615" w:rsidRDefault="007A2ED2" w:rsidP="00CF2615">
              <w:pPr>
                <w:pStyle w:val="footersubtitle"/>
                <w:rPr>
                  <w:rFonts w:eastAsia="Times New Roman"/>
                  <w:color w:val="auto"/>
                  <w:sz w:val="21"/>
                  <w:szCs w:val="21"/>
                </w:rPr>
              </w:pPr>
              <w:r>
                <w:t>Ways to gather and record evidence of student learning</w:t>
              </w:r>
            </w:p>
          </w:sdtContent>
        </w:sdt>
      </w:tc>
      <w:tc>
        <w:tcPr>
          <w:tcW w:w="2500" w:type="pct"/>
        </w:tcPr>
        <w:p w:rsidR="00541590" w:rsidRDefault="00541590" w:rsidP="000F044B">
          <w:pPr>
            <w:pStyle w:val="Footer"/>
            <w:ind w:left="284"/>
            <w:jc w:val="right"/>
            <w:rPr>
              <w:rFonts w:eastAsia="SimSun"/>
            </w:rPr>
          </w:pPr>
          <w:r w:rsidRPr="0055152A">
            <w:rPr>
              <w:rFonts w:eastAsia="SimSun"/>
            </w:rPr>
            <w:t>Queensland Curriculum &amp; Assessment Authority</w:t>
          </w:r>
        </w:p>
        <w:p w:rsidR="00541590" w:rsidRPr="000F044B" w:rsidRDefault="00BB66AF" w:rsidP="000F044B">
          <w:pPr>
            <w:pStyle w:val="footersubtitle"/>
            <w:jc w:val="right"/>
            <w:rPr>
              <w:rStyle w:val="Footerbold"/>
              <w:b w:val="0"/>
              <w:color w:val="6F7378" w:themeColor="background2" w:themeShade="80"/>
            </w:rPr>
          </w:pPr>
          <w:sdt>
            <w:sdtPr>
              <w:alias w:val="Publication Date"/>
              <w:tag w:val=""/>
              <w:id w:val="-1094165171"/>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sdtContent>
              <w:r w:rsidR="00CF2615">
                <w:t>July 2014</w:t>
              </w:r>
            </w:sdtContent>
          </w:sdt>
          <w:r w:rsidR="00541590" w:rsidRPr="000F044B">
            <w:t xml:space="preserve"> </w:t>
          </w:r>
        </w:p>
      </w:tc>
    </w:tr>
    <w:tr w:rsidR="00541590" w:rsidRPr="007165FF"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541590" w:rsidRPr="00914504" w:rsidRDefault="00541590" w:rsidP="00F36ED8">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A2ED2">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A2ED2">
                <w:rPr>
                  <w:b w:val="0"/>
                  <w:noProof/>
                  <w:color w:val="000000" w:themeColor="text1"/>
                </w:rPr>
                <w:t>2</w:t>
              </w:r>
              <w:r w:rsidRPr="00914504">
                <w:rPr>
                  <w:b w:val="0"/>
                  <w:color w:val="000000" w:themeColor="text1"/>
                  <w:sz w:val="24"/>
                  <w:szCs w:val="24"/>
                </w:rPr>
                <w:fldChar w:fldCharType="end"/>
              </w:r>
            </w:p>
          </w:sdtContent>
        </w:sdt>
      </w:tc>
    </w:tr>
  </w:tbl>
  <w:p w:rsidR="00541590" w:rsidRDefault="00541590" w:rsidP="0085726A">
    <w:pPr>
      <w:pStyle w:val="Smallspace"/>
    </w:pPr>
  </w:p>
  <w:p w:rsidR="00541590" w:rsidRDefault="00541590"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CE" w:rsidRPr="00E95E3F" w:rsidRDefault="005838CE" w:rsidP="00B3438C">
      <w:pPr>
        <w:pStyle w:val="footnoteseparator"/>
      </w:pPr>
    </w:p>
  </w:footnote>
  <w:footnote w:type="continuationSeparator" w:id="0">
    <w:p w:rsidR="005838CE" w:rsidRDefault="005838CE">
      <w:r>
        <w:continuationSeparator/>
      </w:r>
    </w:p>
    <w:p w:rsidR="005838CE" w:rsidRDefault="005838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70418D0"/>
    <w:multiLevelType w:val="singleLevel"/>
    <w:tmpl w:val="9CAAA146"/>
    <w:lvl w:ilvl="0">
      <w:start w:val="1"/>
      <w:numFmt w:val="bullet"/>
      <w:pStyle w:val="Tablestyle3"/>
      <w:lvlText w:val=""/>
      <w:lvlJc w:val="left"/>
      <w:pPr>
        <w:tabs>
          <w:tab w:val="num" w:pos="284"/>
        </w:tabs>
        <w:ind w:left="284" w:hanging="284"/>
      </w:pPr>
      <w:rPr>
        <w:rFonts w:ascii="Symbol" w:hAnsi="Symbol" w:hint="default"/>
        <w:color w:val="00928F"/>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1"/>
  </w:num>
  <w:num w:numId="2">
    <w:abstractNumId w:val="22"/>
  </w:num>
  <w:num w:numId="3">
    <w:abstractNumId w:val="24"/>
  </w:num>
  <w:num w:numId="4">
    <w:abstractNumId w:val="18"/>
  </w:num>
  <w:num w:numId="5">
    <w:abstractNumId w:val="9"/>
  </w:num>
  <w:num w:numId="6">
    <w:abstractNumId w:val="13"/>
  </w:num>
  <w:num w:numId="7">
    <w:abstractNumId w:val="7"/>
  </w:num>
  <w:num w:numId="8">
    <w:abstractNumId w:val="13"/>
  </w:num>
  <w:num w:numId="9">
    <w:abstractNumId w:val="8"/>
  </w:num>
  <w:num w:numId="10">
    <w:abstractNumId w:val="9"/>
  </w:num>
  <w:num w:numId="11">
    <w:abstractNumId w:val="3"/>
  </w:num>
  <w:num w:numId="12">
    <w:abstractNumId w:val="2"/>
  </w:num>
  <w:num w:numId="13">
    <w:abstractNumId w:val="1"/>
  </w:num>
  <w:num w:numId="14">
    <w:abstractNumId w:val="0"/>
  </w:num>
  <w:num w:numId="15">
    <w:abstractNumId w:val="6"/>
  </w:num>
  <w:num w:numId="16">
    <w:abstractNumId w:val="14"/>
  </w:num>
  <w:num w:numId="17">
    <w:abstractNumId w:val="20"/>
  </w:num>
  <w:num w:numId="18">
    <w:abstractNumId w:val="16"/>
  </w:num>
  <w:num w:numId="19">
    <w:abstractNumId w:val="19"/>
  </w:num>
  <w:num w:numId="20">
    <w:abstractNumId w:val="15"/>
  </w:num>
  <w:num w:numId="21">
    <w:abstractNumId w:val="4"/>
  </w:num>
  <w:num w:numId="22">
    <w:abstractNumId w:val="10"/>
  </w:num>
  <w:num w:numId="23">
    <w:abstractNumId w:val="5"/>
  </w:num>
  <w:num w:numId="24">
    <w:abstractNumId w:val="25"/>
  </w:num>
  <w:num w:numId="25">
    <w:abstractNumId w:val="11"/>
  </w:num>
  <w:num w:numId="26">
    <w:abstractNumId w:val="22"/>
  </w:num>
  <w:num w:numId="27">
    <w:abstractNumId w:val="24"/>
  </w:num>
  <w:num w:numId="28">
    <w:abstractNumId w:val="18"/>
  </w:num>
  <w:num w:numId="29">
    <w:abstractNumId w:val="17"/>
  </w:num>
  <w:num w:numId="30">
    <w:abstractNumId w:val="2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1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CE"/>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CD8"/>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26F4"/>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2F1F"/>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440B"/>
    <w:rsid w:val="0035706E"/>
    <w:rsid w:val="00357650"/>
    <w:rsid w:val="0036038D"/>
    <w:rsid w:val="003637BE"/>
    <w:rsid w:val="0036483A"/>
    <w:rsid w:val="003703FD"/>
    <w:rsid w:val="00372E92"/>
    <w:rsid w:val="0037352C"/>
    <w:rsid w:val="00374B3F"/>
    <w:rsid w:val="003836CE"/>
    <w:rsid w:val="00386766"/>
    <w:rsid w:val="00387F02"/>
    <w:rsid w:val="0039039F"/>
    <w:rsid w:val="0039306E"/>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5A6"/>
    <w:rsid w:val="003D1F62"/>
    <w:rsid w:val="003D258C"/>
    <w:rsid w:val="003D43BD"/>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4374"/>
    <w:rsid w:val="004E5562"/>
    <w:rsid w:val="004F11E4"/>
    <w:rsid w:val="004F2561"/>
    <w:rsid w:val="004F3B8B"/>
    <w:rsid w:val="00500078"/>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8CE"/>
    <w:rsid w:val="00583E4D"/>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12C8E"/>
    <w:rsid w:val="00614325"/>
    <w:rsid w:val="006159C5"/>
    <w:rsid w:val="00616CA3"/>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A3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2ED2"/>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406"/>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576B"/>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74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66AF"/>
    <w:rsid w:val="00BC1CBD"/>
    <w:rsid w:val="00BC2B30"/>
    <w:rsid w:val="00BC35CA"/>
    <w:rsid w:val="00BC7C9C"/>
    <w:rsid w:val="00BD2E58"/>
    <w:rsid w:val="00BD5D05"/>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2615"/>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D39"/>
    <w:rsid w:val="00E71123"/>
    <w:rsid w:val="00E73328"/>
    <w:rsid w:val="00E74088"/>
    <w:rsid w:val="00E74A59"/>
    <w:rsid w:val="00E75C3B"/>
    <w:rsid w:val="00E75C56"/>
    <w:rsid w:val="00E80E8B"/>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48BE"/>
    <w:rsid w:val="00FA5016"/>
    <w:rsid w:val="00FA5660"/>
    <w:rsid w:val="00FA6158"/>
    <w:rsid w:val="00FB085B"/>
    <w:rsid w:val="00FB1D8F"/>
    <w:rsid w:val="00FB3234"/>
    <w:rsid w:val="00FB3438"/>
    <w:rsid w:val="00FB3BDF"/>
    <w:rsid w:val="00FB62FD"/>
    <w:rsid w:val="00FB6B59"/>
    <w:rsid w:val="00FB79B3"/>
    <w:rsid w:val="00FC33F4"/>
    <w:rsid w:val="00FC650F"/>
    <w:rsid w:val="00FC7907"/>
    <w:rsid w:val="00FD2C34"/>
    <w:rsid w:val="00FD561F"/>
    <w:rsid w:val="00FD7D74"/>
    <w:rsid w:val="00FD7EFF"/>
    <w:rsid w:val="00FE0434"/>
    <w:rsid w:val="00FE0F8E"/>
    <w:rsid w:val="00FE32E1"/>
    <w:rsid w:val="00FE3657"/>
    <w:rsid w:val="00FE6899"/>
    <w:rsid w:val="00FE6E7C"/>
    <w:rsid w:val="00FF067C"/>
    <w:rsid w:val="00FF06E6"/>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table" w:customStyle="1" w:styleId="Tablestyle3">
    <w:name w:val="Table style 3"/>
    <w:basedOn w:val="TableNormal"/>
    <w:rsid w:val="007A2ED2"/>
    <w:pPr>
      <w:numPr>
        <w:numId w:val="33"/>
      </w:numPr>
      <w:tabs>
        <w:tab w:val="clear" w:pos="284"/>
      </w:tabs>
      <w:spacing w:line="240" w:lineRule="auto"/>
      <w:ind w:left="57" w:firstLine="0"/>
    </w:pPr>
    <w:rPr>
      <w:sz w:val="20"/>
      <w:szCs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table" w:customStyle="1" w:styleId="Tablestyle3">
    <w:name w:val="Table style 3"/>
    <w:basedOn w:val="TableNormal"/>
    <w:rsid w:val="007A2ED2"/>
    <w:pPr>
      <w:numPr>
        <w:numId w:val="33"/>
      </w:numPr>
      <w:tabs>
        <w:tab w:val="clear" w:pos="284"/>
      </w:tabs>
      <w:spacing w:line="240" w:lineRule="auto"/>
      <w:ind w:left="57" w:firstLine="0"/>
    </w:pPr>
    <w:rPr>
      <w:sz w:val="20"/>
      <w:szCs w:val="20"/>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20PUBLISHING%20RESOURCES\QCAA%20templates\Template%20rebuild\Rebrand%20templates\Reports%20and%20factsheets\Rep_Factsheet_A4_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C0F901320C4FDBAB7BE25CF97C87BF"/>
        <w:category>
          <w:name w:val="General"/>
          <w:gallery w:val="placeholder"/>
        </w:category>
        <w:types>
          <w:type w:val="bbPlcHdr"/>
        </w:types>
        <w:behaviors>
          <w:behavior w:val="content"/>
        </w:behaviors>
        <w:guid w:val="{941F097A-74C6-40E1-9267-71AC3785E54F}"/>
      </w:docPartPr>
      <w:docPartBody>
        <w:p w:rsidR="006D5968" w:rsidRDefault="006D5968">
          <w:pPr>
            <w:pStyle w:val="D9C0F901320C4FDBAB7BE25CF97C87BF"/>
          </w:pPr>
          <w:r>
            <w:rPr>
              <w:shd w:val="clear" w:color="auto" w:fill="F7EA9F"/>
            </w:rPr>
            <w:t>[Title]</w:t>
          </w:r>
        </w:p>
      </w:docPartBody>
    </w:docPart>
    <w:docPart>
      <w:docPartPr>
        <w:name w:val="BC2E45ED92E84797AF329EE234072A48"/>
        <w:category>
          <w:name w:val="General"/>
          <w:gallery w:val="placeholder"/>
        </w:category>
        <w:types>
          <w:type w:val="bbPlcHdr"/>
        </w:types>
        <w:behaviors>
          <w:behavior w:val="content"/>
        </w:behaviors>
        <w:guid w:val="{AA8ED94A-AAAB-401A-AF65-D8ED59B2AF42}"/>
      </w:docPartPr>
      <w:docPartBody>
        <w:p w:rsidR="006D5968" w:rsidRDefault="006D5968">
          <w:pPr>
            <w:pStyle w:val="BC2E45ED92E84797AF329EE234072A48"/>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68"/>
    <w:rsid w:val="006D5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C0F901320C4FDBAB7BE25CF97C87BF">
    <w:name w:val="D9C0F901320C4FDBAB7BE25CF97C87BF"/>
  </w:style>
  <w:style w:type="paragraph" w:customStyle="1" w:styleId="BC2E45ED92E84797AF329EE234072A48">
    <w:name w:val="BC2E45ED92E84797AF329EE234072A48"/>
  </w:style>
  <w:style w:type="paragraph" w:customStyle="1" w:styleId="1E34B16CBDC94916862357C3943B7F60">
    <w:name w:val="1E34B16CBDC94916862357C3943B7F60"/>
  </w:style>
  <w:style w:type="paragraph" w:customStyle="1" w:styleId="772F65144436437D857605ACDE0AE84B">
    <w:name w:val="772F65144436437D857605ACDE0AE84B"/>
  </w:style>
  <w:style w:type="paragraph" w:customStyle="1" w:styleId="FBD956B6607F43169A47475366C3BD7E">
    <w:name w:val="FBD956B6607F43169A47475366C3BD7E"/>
  </w:style>
  <w:style w:type="paragraph" w:customStyle="1" w:styleId="2CDFB13A6A3F4B2B86848E66E7331926">
    <w:name w:val="2CDFB13A6A3F4B2B86848E66E73319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C0F901320C4FDBAB7BE25CF97C87BF">
    <w:name w:val="D9C0F901320C4FDBAB7BE25CF97C87BF"/>
  </w:style>
  <w:style w:type="paragraph" w:customStyle="1" w:styleId="BC2E45ED92E84797AF329EE234072A48">
    <w:name w:val="BC2E45ED92E84797AF329EE234072A48"/>
  </w:style>
  <w:style w:type="paragraph" w:customStyle="1" w:styleId="1E34B16CBDC94916862357C3943B7F60">
    <w:name w:val="1E34B16CBDC94916862357C3943B7F60"/>
  </w:style>
  <w:style w:type="paragraph" w:customStyle="1" w:styleId="772F65144436437D857605ACDE0AE84B">
    <w:name w:val="772F65144436437D857605ACDE0AE84B"/>
  </w:style>
  <w:style w:type="paragraph" w:customStyle="1" w:styleId="FBD956B6607F43169A47475366C3BD7E">
    <w:name w:val="FBD956B6607F43169A47475366C3BD7E"/>
  </w:style>
  <w:style w:type="paragraph" w:customStyle="1" w:styleId="2CDFB13A6A3F4B2B86848E66E7331926">
    <w:name w:val="2CDFB13A6A3F4B2B86848E66E7331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Special educational needs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78c0712b-c315-463b-80c2-228949093bd8"/>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3BFB935F-1D52-4E1C-938A-9AC28F71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Rep_Factsheet_A4_portrait.dotx</Template>
  <TotalTime>8</TotalTime>
  <Pages>1</Pages>
  <Words>369</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Ways to gather and record evidence of student learning</Manager>
  <Company>Queensland Curriculum and Assessment Authority</Company>
  <LinksUpToDate>false</LinksUpToDate>
  <CharactersWithSpaces>2826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Special educational needs</dc:title>
  <dc:subject> Ways to gather and record evidence of student learning</dc:subject>
  <dc:creator>Queensland Curriculum and Assessment Authority</dc:creator>
  <cp:lastModifiedBy>CMED</cp:lastModifiedBy>
  <cp:revision>7</cp:revision>
  <cp:lastPrinted>2014-02-26T00:54:00Z</cp:lastPrinted>
  <dcterms:created xsi:type="dcterms:W3CDTF">2014-05-29T04:41:00Z</dcterms:created>
  <dcterms:modified xsi:type="dcterms:W3CDTF">2014-06-03T04:38:00Z</dcterms:modified>
  <cp:category>r2579</cp:category>
  <cp:contentStatus>Rebranded July 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