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72" w:rsidRDefault="005D7AEB">
      <w:pPr>
        <w:pStyle w:val="Heading2"/>
        <w:rPr>
          <w:sz w:val="28"/>
        </w:rPr>
      </w:pPr>
      <w:bookmarkStart w:id="0" w:name="_GoBack"/>
      <w:bookmarkEnd w:id="0"/>
      <w:r>
        <w:rPr>
          <w:noProof/>
          <w:sz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-205740</wp:posOffset>
            </wp:positionV>
            <wp:extent cx="953770" cy="732790"/>
            <wp:effectExtent l="0" t="0" r="0" b="0"/>
            <wp:wrapNone/>
            <wp:docPr id="83" name="Picture 83" descr="Queensland Studies Authority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Queensland Studies Authority 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72">
        <w:rPr>
          <w:sz w:val="28"/>
        </w:rPr>
        <w:t xml:space="preserve">Studies of Society and Environment Years 1 to 10 Syllabus </w:t>
      </w:r>
    </w:p>
    <w:p w:rsidR="00E03272" w:rsidRDefault="00E03272">
      <w:pPr>
        <w:pStyle w:val="Heading2"/>
        <w:rPr>
          <w:sz w:val="28"/>
        </w:rPr>
      </w:pPr>
      <w:r>
        <w:rPr>
          <w:sz w:val="28"/>
        </w:rPr>
        <w:t>(SOSE)</w:t>
      </w:r>
    </w:p>
    <w:p w:rsidR="00E03272" w:rsidRDefault="00E03272">
      <w:pPr>
        <w:rPr>
          <w:rFonts w:ascii="Arial" w:hAnsi="Arial" w:cs="Arial"/>
          <w:sz w:val="16"/>
        </w:rPr>
      </w:pPr>
    </w:p>
    <w:p w:rsidR="00E03272" w:rsidRDefault="00E03272">
      <w:pPr>
        <w:pStyle w:val="Heading2"/>
        <w:spacing w:before="240" w:after="120"/>
        <w:rPr>
          <w:sz w:val="22"/>
        </w:rPr>
      </w:pPr>
      <w:r>
        <w:rPr>
          <w:sz w:val="22"/>
        </w:rPr>
        <w:t>Nature of the Studies of Society and Environment key learning area</w:t>
      </w:r>
    </w:p>
    <w:p w:rsidR="00E03272" w:rsidRDefault="00E03272">
      <w:pPr>
        <w:pStyle w:val="BodyafterHead"/>
        <w:widowControl/>
        <w:ind w:left="0"/>
        <w:jc w:val="both"/>
        <w:rPr>
          <w:rFonts w:ascii="Arial" w:hAnsi="Arial" w:cs="Arial"/>
          <w:color w:val="auto"/>
          <w:sz w:val="20"/>
          <w:lang w:val="en-AU"/>
        </w:rPr>
      </w:pPr>
      <w:r>
        <w:rPr>
          <w:rFonts w:ascii="Arial" w:hAnsi="Arial" w:cs="Arial"/>
          <w:color w:val="000000"/>
          <w:sz w:val="20"/>
          <w:lang w:val="en-AU"/>
        </w:rPr>
        <w:t xml:space="preserve">The Years 1 to 10 Studies of Society and Environment key learning area centres on human fascination with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>the way people interact with each other and with environments</w:t>
      </w:r>
      <w:r>
        <w:rPr>
          <w:rFonts w:ascii="Arial" w:hAnsi="Arial" w:cs="Arial"/>
          <w:color w:val="000000"/>
          <w:sz w:val="20"/>
          <w:lang w:val="en-AU"/>
        </w:rPr>
        <w:t xml:space="preserve">. Studies of Society and Environment involve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 xml:space="preserve">investigations of controversial and challenging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>issues</w:t>
      </w:r>
      <w:r>
        <w:rPr>
          <w:rFonts w:ascii="Arial" w:hAnsi="Arial" w:cs="Arial"/>
          <w:b/>
          <w:bCs/>
          <w:color w:val="000000"/>
          <w:sz w:val="20"/>
          <w:lang w:val="en-AU"/>
        </w:rPr>
        <w:t xml:space="preserve"> </w:t>
      </w:r>
      <w:r>
        <w:rPr>
          <w:rFonts w:ascii="Arial" w:hAnsi="Arial" w:cs="Arial"/>
          <w:color w:val="000000"/>
          <w:sz w:val="20"/>
          <w:lang w:val="en-AU"/>
        </w:rPr>
        <w:t xml:space="preserve">and promote critical thinking in the development of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>optimistic future visions</w:t>
      </w:r>
      <w:r>
        <w:rPr>
          <w:rFonts w:ascii="Arial" w:hAnsi="Arial" w:cs="Arial"/>
          <w:color w:val="000000"/>
          <w:sz w:val="20"/>
          <w:lang w:val="en-AU"/>
        </w:rPr>
        <w:t xml:space="preserve">. This </w:t>
      </w:r>
      <w:r>
        <w:rPr>
          <w:rFonts w:ascii="Arial" w:hAnsi="Arial" w:cs="Arial"/>
          <w:color w:val="000000"/>
          <w:sz w:val="20"/>
          <w:lang w:val="en-AU"/>
        </w:rPr>
        <w:t xml:space="preserve">key learning area encourages young people to be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>active participants in their world</w:t>
      </w:r>
      <w:r>
        <w:rPr>
          <w:rFonts w:ascii="Arial" w:hAnsi="Arial" w:cs="Arial"/>
          <w:color w:val="000000"/>
          <w:sz w:val="20"/>
          <w:lang w:val="en-AU"/>
        </w:rPr>
        <w:t xml:space="preserve">. Students bring to Studies of Society and Environment their understandings about what it means to be young at this time. They appreciate and </w:t>
      </w:r>
      <w:r>
        <w:rPr>
          <w:rFonts w:ascii="Arial" w:hAnsi="Arial" w:cs="Arial"/>
          <w:b/>
          <w:bCs/>
          <w:i/>
          <w:iCs/>
          <w:color w:val="000000"/>
          <w:sz w:val="20"/>
          <w:lang w:val="en-AU"/>
        </w:rPr>
        <w:t>apply different perspectives</w:t>
      </w:r>
      <w:r>
        <w:rPr>
          <w:rFonts w:ascii="Arial" w:hAnsi="Arial" w:cs="Arial"/>
          <w:color w:val="000000"/>
          <w:sz w:val="20"/>
          <w:lang w:val="en-AU"/>
        </w:rPr>
        <w:t xml:space="preserve"> to deepen their understandings. Students </w:t>
      </w:r>
      <w:r>
        <w:rPr>
          <w:rFonts w:ascii="Arial" w:hAnsi="Arial" w:cs="Arial"/>
          <w:color w:val="auto"/>
          <w:sz w:val="20"/>
          <w:lang w:val="en-AU"/>
        </w:rPr>
        <w:t xml:space="preserve">develop abilities to </w:t>
      </w:r>
      <w:r>
        <w:rPr>
          <w:rFonts w:ascii="Arial" w:hAnsi="Arial" w:cs="Arial"/>
          <w:b/>
          <w:bCs/>
          <w:i/>
          <w:iCs/>
          <w:color w:val="auto"/>
          <w:sz w:val="20"/>
          <w:lang w:val="en-AU"/>
        </w:rPr>
        <w:t>reflect on the values</w:t>
      </w:r>
      <w:r>
        <w:rPr>
          <w:rFonts w:ascii="Arial" w:hAnsi="Arial" w:cs="Arial"/>
          <w:color w:val="auto"/>
          <w:sz w:val="20"/>
          <w:lang w:val="en-AU"/>
        </w:rPr>
        <w:t xml:space="preserve"> of democratic process, social justice, economic and ecological sustainability and peace to </w:t>
      </w:r>
      <w:r>
        <w:rPr>
          <w:rFonts w:ascii="Arial" w:hAnsi="Arial" w:cs="Arial"/>
          <w:b/>
          <w:bCs/>
          <w:i/>
          <w:iCs/>
          <w:color w:val="auto"/>
          <w:sz w:val="20"/>
          <w:lang w:val="en-AU"/>
        </w:rPr>
        <w:t>make decisions about issues related to societies and environments</w:t>
      </w:r>
      <w:r>
        <w:rPr>
          <w:rFonts w:ascii="Arial" w:hAnsi="Arial" w:cs="Arial"/>
          <w:color w:val="auto"/>
          <w:sz w:val="20"/>
          <w:lang w:val="en-AU"/>
        </w:rPr>
        <w:t>.</w:t>
      </w:r>
    </w:p>
    <w:p w:rsidR="00E03272" w:rsidRDefault="00E03272">
      <w:pPr>
        <w:pStyle w:val="Body"/>
        <w:widowControl/>
        <w:ind w:left="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A range of interrelated </w:t>
      </w:r>
      <w:r>
        <w:rPr>
          <w:rFonts w:ascii="Arial" w:hAnsi="Arial" w:cs="Arial"/>
          <w:b/>
          <w:bCs/>
          <w:color w:val="auto"/>
          <w:sz w:val="20"/>
        </w:rPr>
        <w:t>concepts</w:t>
      </w:r>
      <w:r>
        <w:rPr>
          <w:rFonts w:ascii="Arial" w:hAnsi="Arial" w:cs="Arial"/>
          <w:color w:val="auto"/>
          <w:sz w:val="20"/>
        </w:rPr>
        <w:t xml:space="preserve"> associated with particular</w:t>
      </w:r>
      <w:r>
        <w:rPr>
          <w:rFonts w:ascii="Arial" w:hAnsi="Arial" w:cs="Arial"/>
          <w:b/>
          <w:bCs/>
          <w:color w:val="auto"/>
          <w:sz w:val="20"/>
        </w:rPr>
        <w:t xml:space="preserve"> key values</w:t>
      </w:r>
      <w:r>
        <w:rPr>
          <w:rFonts w:ascii="Arial" w:hAnsi="Arial" w:cs="Arial"/>
          <w:color w:val="auto"/>
          <w:sz w:val="20"/>
        </w:rPr>
        <w:t xml:space="preserve"> and </w:t>
      </w:r>
      <w:r>
        <w:rPr>
          <w:rFonts w:ascii="Arial" w:hAnsi="Arial" w:cs="Arial"/>
          <w:b/>
          <w:bCs/>
          <w:color w:val="auto"/>
          <w:sz w:val="20"/>
        </w:rPr>
        <w:t>processes</w:t>
      </w:r>
      <w:r>
        <w:rPr>
          <w:rFonts w:ascii="Arial" w:hAnsi="Arial" w:cs="Arial"/>
          <w:color w:val="auto"/>
          <w:sz w:val="20"/>
        </w:rPr>
        <w:t xml:space="preserve"> underpins the Studies of Society and Environment key learning area. These are drawn from 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disciplines</w:t>
      </w:r>
      <w:r>
        <w:rPr>
          <w:rFonts w:ascii="Arial" w:hAnsi="Arial" w:cs="Arial"/>
          <w:color w:val="auto"/>
          <w:sz w:val="20"/>
        </w:rPr>
        <w:t xml:space="preserve"> including history, geography, economics, politics, sociology, anthropology, law, psychology and ethics; and 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studies</w:t>
      </w:r>
      <w:r>
        <w:rPr>
          <w:rFonts w:ascii="Arial" w:hAnsi="Arial" w:cs="Arial"/>
          <w:color w:val="auto"/>
          <w:sz w:val="20"/>
        </w:rPr>
        <w:t>, such as Aboriginal, Torres Strait Islander, Asian, Australian, civics and citizenship, enterprise, environmental, futures, gender, global, media, rural, peace, and others.</w:t>
      </w:r>
    </w:p>
    <w:p w:rsidR="00E03272" w:rsidRDefault="00E03272">
      <w:pPr>
        <w:rPr>
          <w:rFonts w:ascii="Arial" w:hAnsi="Arial" w:cs="Arial"/>
          <w:sz w:val="16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E03272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E03272" w:rsidRDefault="00E03272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Key values </w:t>
            </w:r>
          </w:p>
          <w:p w:rsidR="00E03272" w:rsidRDefault="00E03272">
            <w:pPr>
              <w:pStyle w:val="BodyafterHead"/>
              <w:ind w:left="0"/>
              <w:rPr>
                <w:rFonts w:ascii="Arial" w:hAnsi="Arial" w:cs="Arial"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lang w:val="en-AU"/>
              </w:rPr>
              <w:t>The key values of Studies of Society and Environment are:</w:t>
            </w:r>
          </w:p>
          <w:p w:rsidR="00E03272" w:rsidRDefault="00E03272">
            <w:pPr>
              <w:pStyle w:val="BodyafterHea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democratic process;</w:t>
            </w:r>
          </w:p>
          <w:p w:rsidR="00E03272" w:rsidRDefault="00E03272">
            <w:pPr>
              <w:pStyle w:val="BodyafterHea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social justice;</w:t>
            </w:r>
          </w:p>
          <w:p w:rsidR="00E03272" w:rsidRDefault="00E03272">
            <w:pPr>
              <w:pStyle w:val="BodyafterHea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ecological and economic sustainability;</w:t>
            </w:r>
          </w:p>
          <w:p w:rsidR="00E03272" w:rsidRDefault="00E0327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peace.</w:t>
            </w:r>
          </w:p>
          <w:p w:rsidR="00E03272" w:rsidRDefault="00E0327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03272" w:rsidRDefault="00E0327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03272" w:rsidRDefault="00E03272">
            <w:pPr>
              <w:pStyle w:val="Heading2"/>
              <w:rPr>
                <w:rFonts w:eastAsia="Arial Unicode MS"/>
                <w:sz w:val="22"/>
              </w:rPr>
            </w:pPr>
            <w:r>
              <w:rPr>
                <w:sz w:val="22"/>
              </w:rPr>
              <w:t>Processes</w:t>
            </w:r>
          </w:p>
          <w:p w:rsidR="00E03272" w:rsidRDefault="00E03272">
            <w:pPr>
              <w:pStyle w:val="BodyafterHead"/>
              <w:ind w:left="56"/>
              <w:rPr>
                <w:rFonts w:ascii="Arial" w:hAnsi="Arial" w:cs="Arial"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lang w:val="en-AU"/>
              </w:rPr>
              <w:t>Social and environmental inquiry processes are the essence of Studies of Society and Environment. These processes of Social and environmental Inquiries, derived from various disciplines and studies, are expressed as:</w:t>
            </w:r>
          </w:p>
          <w:p w:rsidR="00E03272" w:rsidRDefault="00E03272">
            <w:pPr>
              <w:pStyle w:val="BodyafterHead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investigating;</w:t>
            </w:r>
          </w:p>
          <w:p w:rsidR="00E03272" w:rsidRDefault="00E03272">
            <w:pPr>
              <w:pStyle w:val="BodyafterHead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creating;</w:t>
            </w:r>
          </w:p>
          <w:p w:rsidR="00E03272" w:rsidRDefault="00E03272">
            <w:pPr>
              <w:pStyle w:val="BodyafterHead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participating;</w:t>
            </w:r>
          </w:p>
          <w:p w:rsidR="00E03272" w:rsidRDefault="00E03272">
            <w:pPr>
              <w:pStyle w:val="BodyafterHead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communicating;</w:t>
            </w:r>
          </w:p>
          <w:p w:rsidR="00E03272" w:rsidRDefault="00E03272">
            <w:pPr>
              <w:pStyle w:val="BodyafterHead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en-AU"/>
              </w:rPr>
              <w:t>reflecting.</w:t>
            </w:r>
          </w:p>
          <w:p w:rsidR="00E03272" w:rsidRDefault="005D7AEB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599440</wp:posOffset>
                  </wp:positionV>
                  <wp:extent cx="1990725" cy="1759585"/>
                  <wp:effectExtent l="0" t="0" r="9525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5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272">
              <w:rPr>
                <w:rFonts w:ascii="Arial" w:hAnsi="Arial" w:cs="Arial"/>
                <w:sz w:val="20"/>
              </w:rPr>
              <w:t xml:space="preserve">These processes and their utility for planning and assessing using outcomes are explained under the heading </w:t>
            </w:r>
            <w:r w:rsidR="00E03272">
              <w:rPr>
                <w:rFonts w:ascii="Arial" w:hAnsi="Arial" w:cs="Arial"/>
                <w:b/>
                <w:bCs/>
                <w:sz w:val="20"/>
              </w:rPr>
              <w:t>‘Social and environmental inquiries’</w:t>
            </w:r>
            <w:r w:rsidR="00E03272">
              <w:rPr>
                <w:rFonts w:ascii="Arial" w:hAnsi="Arial" w:cs="Arial"/>
                <w:sz w:val="20"/>
              </w:rPr>
              <w:t xml:space="preserve"> in the Outcomes section.</w:t>
            </w:r>
          </w:p>
        </w:tc>
        <w:tc>
          <w:tcPr>
            <w:tcW w:w="4860" w:type="dxa"/>
          </w:tcPr>
          <w:p w:rsidR="00E03272" w:rsidRDefault="00E03272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Concepts</w:t>
            </w:r>
          </w:p>
          <w:p w:rsidR="00E03272" w:rsidRDefault="00E03272">
            <w:pPr>
              <w:pStyle w:val="BodyafterHead"/>
              <w:widowControl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The learning outcomes for the Studies of Society and Environment key learning area are </w:t>
            </w:r>
            <w:r>
              <w:rPr>
                <w:rFonts w:ascii="Arial" w:hAnsi="Arial" w:cs="Arial"/>
                <w:color w:val="000000"/>
                <w:sz w:val="20"/>
                <w:lang w:val="en-AU"/>
              </w:rPr>
              <w:t>organised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into strands. Each of these strands makes an equivalent contribution to this key learning area. There are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four strands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Each strand develops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five key concepts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  <w:p w:rsidR="00E03272" w:rsidRDefault="00E03272">
            <w:pPr>
              <w:pStyle w:val="Bullet"/>
              <w:widowControl/>
              <w:spacing w:before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Time, Continuity and Change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 evidence over time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 changes and continuities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people and contributions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causes and effects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heritages </w:t>
            </w:r>
          </w:p>
          <w:p w:rsidR="00E03272" w:rsidRDefault="00E03272">
            <w:pPr>
              <w:pStyle w:val="Bullet"/>
              <w:widowControl/>
              <w:spacing w:before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Place and Space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 human–environment relationships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 processes and environments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stewardship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spatial patterns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significance of place</w:t>
            </w:r>
          </w:p>
          <w:p w:rsidR="00E03272" w:rsidRDefault="00E03272">
            <w:pPr>
              <w:pStyle w:val="Bullet"/>
              <w:widowControl/>
              <w:spacing w:before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Culture and Identity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 cultural diversity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 cultural perceptions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belonging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cultural change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constructions of identity</w:t>
            </w:r>
          </w:p>
          <w:p w:rsidR="00E03272" w:rsidRDefault="00E03272">
            <w:pPr>
              <w:pStyle w:val="Bullet"/>
              <w:widowControl/>
              <w:spacing w:before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Systems, Resources and Power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 interactions between ecological and other systems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 economy and business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participation in decision making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citizenship and government</w:t>
            </w:r>
          </w:p>
          <w:p w:rsidR="00E03272" w:rsidRDefault="00E03272">
            <w:pPr>
              <w:pStyle w:val="Body"/>
              <w:widowControl/>
              <w:tabs>
                <w:tab w:val="left" w:pos="2381"/>
              </w:tabs>
              <w:spacing w:before="0"/>
              <w:ind w:left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access to power</w:t>
            </w:r>
          </w:p>
          <w:p w:rsidR="00E03272" w:rsidRDefault="00E03272">
            <w:pPr>
              <w:pStyle w:val="BodyafterHead"/>
              <w:ind w:left="0"/>
              <w:rPr>
                <w:rFonts w:ascii="Arial" w:hAnsi="Arial" w:cs="Arial"/>
                <w:sz w:val="20"/>
                <w:lang w:val="en-AU"/>
              </w:rPr>
            </w:pPr>
          </w:p>
        </w:tc>
      </w:tr>
    </w:tbl>
    <w:p w:rsidR="00E03272" w:rsidRDefault="00E03272">
      <w:pPr>
        <w:pStyle w:val="BodyafterHead"/>
        <w:ind w:left="0"/>
      </w:pPr>
    </w:p>
    <w:sectPr w:rsidR="00E03272">
      <w:pgSz w:w="11907" w:h="16840" w:code="9"/>
      <w:pgMar w:top="851" w:right="1134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261F"/>
    <w:multiLevelType w:val="hybridMultilevel"/>
    <w:tmpl w:val="46C093C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402DD"/>
    <w:multiLevelType w:val="hybridMultilevel"/>
    <w:tmpl w:val="F790E06A"/>
    <w:lvl w:ilvl="0" w:tplc="FFFFFFFF">
      <w:start w:val="1"/>
      <w:numFmt w:val="bullet"/>
      <w:lvlText w:val=""/>
      <w:legacy w:legacy="1" w:legacySpace="0" w:legacyIndent="283"/>
      <w:lvlJc w:val="left"/>
      <w:pPr>
        <w:ind w:left="33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52"/>
    <w:rsid w:val="005D7AEB"/>
    <w:rsid w:val="00E03272"/>
    <w:rsid w:val="00E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pPr>
      <w:widowControl w:val="0"/>
      <w:autoSpaceDE w:val="0"/>
      <w:autoSpaceDN w:val="0"/>
      <w:spacing w:before="120"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odyafterHead">
    <w:name w:val="Body after Head"/>
    <w:pPr>
      <w:widowControl w:val="0"/>
      <w:autoSpaceDE w:val="0"/>
      <w:autoSpaceDN w:val="0"/>
      <w:spacing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Head2Orange">
    <w:name w:val="Head 2 Orange"/>
    <w:pPr>
      <w:widowControl w:val="0"/>
      <w:autoSpaceDE w:val="0"/>
      <w:autoSpaceDN w:val="0"/>
      <w:spacing w:line="339" w:lineRule="exact"/>
    </w:pPr>
    <w:rPr>
      <w:rFonts w:ascii="Gill Sans" w:hAnsi="Gill Sans"/>
      <w:b/>
      <w:bCs/>
      <w:color w:val="FFFFFF"/>
      <w:sz w:val="25"/>
      <w:szCs w:val="25"/>
      <w:lang w:val="en-US" w:eastAsia="en-US"/>
    </w:rPr>
  </w:style>
  <w:style w:type="paragraph" w:customStyle="1" w:styleId="Head3Pink">
    <w:name w:val="Head 3 Pink"/>
    <w:pPr>
      <w:widowControl w:val="0"/>
      <w:autoSpaceDE w:val="0"/>
      <w:autoSpaceDN w:val="0"/>
      <w:spacing w:before="320" w:after="60" w:line="280" w:lineRule="exact"/>
      <w:ind w:left="1700"/>
    </w:pPr>
    <w:rPr>
      <w:rFonts w:ascii="Gill Sans" w:hAnsi="Gill Sans"/>
      <w:b/>
      <w:bCs/>
      <w:color w:val="FFFFFF"/>
      <w:sz w:val="24"/>
      <w:szCs w:val="24"/>
      <w:lang w:val="en-US" w:eastAsia="en-US"/>
    </w:rPr>
  </w:style>
  <w:style w:type="paragraph" w:customStyle="1" w:styleId="CellBody">
    <w:name w:val="CellBody"/>
    <w:pPr>
      <w:widowControl w:val="0"/>
      <w:autoSpaceDE w:val="0"/>
      <w:autoSpaceDN w:val="0"/>
      <w:spacing w:line="280" w:lineRule="atLeast"/>
    </w:pPr>
    <w:rPr>
      <w:rFonts w:ascii="Times" w:hAnsi="Times"/>
      <w:sz w:val="24"/>
      <w:szCs w:val="24"/>
      <w:lang w:val="en-US" w:eastAsia="en-US"/>
    </w:rPr>
  </w:style>
  <w:style w:type="paragraph" w:customStyle="1" w:styleId="Bullet">
    <w:name w:val="Bullet"/>
    <w:pPr>
      <w:widowControl w:val="0"/>
      <w:tabs>
        <w:tab w:val="left" w:pos="2040"/>
      </w:tabs>
      <w:autoSpaceDE w:val="0"/>
      <w:autoSpaceDN w:val="0"/>
      <w:spacing w:before="60" w:line="259" w:lineRule="exact"/>
      <w:ind w:left="2040" w:hanging="341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diagram">
    <w:name w:val="diagram"/>
    <w:basedOn w:val="Normal"/>
    <w:rPr>
      <w:rFonts w:ascii="Arial" w:hAnsi="Arial"/>
      <w:sz w:val="18"/>
      <w:szCs w:val="20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pPr>
      <w:widowControl w:val="0"/>
      <w:autoSpaceDE w:val="0"/>
      <w:autoSpaceDN w:val="0"/>
      <w:spacing w:before="120"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odyafterHead">
    <w:name w:val="Body after Head"/>
    <w:pPr>
      <w:widowControl w:val="0"/>
      <w:autoSpaceDE w:val="0"/>
      <w:autoSpaceDN w:val="0"/>
      <w:spacing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Head2Orange">
    <w:name w:val="Head 2 Orange"/>
    <w:pPr>
      <w:widowControl w:val="0"/>
      <w:autoSpaceDE w:val="0"/>
      <w:autoSpaceDN w:val="0"/>
      <w:spacing w:line="339" w:lineRule="exact"/>
    </w:pPr>
    <w:rPr>
      <w:rFonts w:ascii="Gill Sans" w:hAnsi="Gill Sans"/>
      <w:b/>
      <w:bCs/>
      <w:color w:val="FFFFFF"/>
      <w:sz w:val="25"/>
      <w:szCs w:val="25"/>
      <w:lang w:val="en-US" w:eastAsia="en-US"/>
    </w:rPr>
  </w:style>
  <w:style w:type="paragraph" w:customStyle="1" w:styleId="Head3Pink">
    <w:name w:val="Head 3 Pink"/>
    <w:pPr>
      <w:widowControl w:val="0"/>
      <w:autoSpaceDE w:val="0"/>
      <w:autoSpaceDN w:val="0"/>
      <w:spacing w:before="320" w:after="60" w:line="280" w:lineRule="exact"/>
      <w:ind w:left="1700"/>
    </w:pPr>
    <w:rPr>
      <w:rFonts w:ascii="Gill Sans" w:hAnsi="Gill Sans"/>
      <w:b/>
      <w:bCs/>
      <w:color w:val="FFFFFF"/>
      <w:sz w:val="24"/>
      <w:szCs w:val="24"/>
      <w:lang w:val="en-US" w:eastAsia="en-US"/>
    </w:rPr>
  </w:style>
  <w:style w:type="paragraph" w:customStyle="1" w:styleId="CellBody">
    <w:name w:val="CellBody"/>
    <w:pPr>
      <w:widowControl w:val="0"/>
      <w:autoSpaceDE w:val="0"/>
      <w:autoSpaceDN w:val="0"/>
      <w:spacing w:line="280" w:lineRule="atLeast"/>
    </w:pPr>
    <w:rPr>
      <w:rFonts w:ascii="Times" w:hAnsi="Times"/>
      <w:sz w:val="24"/>
      <w:szCs w:val="24"/>
      <w:lang w:val="en-US" w:eastAsia="en-US"/>
    </w:rPr>
  </w:style>
  <w:style w:type="paragraph" w:customStyle="1" w:styleId="Bullet">
    <w:name w:val="Bullet"/>
    <w:pPr>
      <w:widowControl w:val="0"/>
      <w:tabs>
        <w:tab w:val="left" w:pos="2040"/>
      </w:tabs>
      <w:autoSpaceDE w:val="0"/>
      <w:autoSpaceDN w:val="0"/>
      <w:spacing w:before="60" w:line="259" w:lineRule="exact"/>
      <w:ind w:left="2040" w:hanging="341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diagram">
    <w:name w:val="diagram"/>
    <w:basedOn w:val="Normal"/>
    <w:rPr>
      <w:rFonts w:ascii="Arial" w:hAnsi="Arial"/>
      <w:sz w:val="18"/>
      <w:szCs w:val="20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 Years 1 to 10 Syllabus (2000)</vt:lpstr>
    </vt:vector>
  </TitlesOfParts>
  <Company>Queensland Studies Authority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 Years 1 to 10 Syllabus (2000)</dc:title>
  <dc:subject>Nature of the Key Learning Area</dc:subject>
  <dc:creator>Queensland Studies Authority</dc:creator>
  <cp:keywords/>
  <dc:description/>
  <cp:lastModifiedBy>QSA</cp:lastModifiedBy>
  <cp:revision>2</cp:revision>
  <cp:lastPrinted>2003-09-18T01:58:00Z</cp:lastPrinted>
  <dcterms:created xsi:type="dcterms:W3CDTF">2014-06-18T07:16:00Z</dcterms:created>
  <dcterms:modified xsi:type="dcterms:W3CDTF">2014-06-18T07:16:00Z</dcterms:modified>
</cp:coreProperties>
</file>