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C7" w:rsidRDefault="00E647C7">
      <w:pPr>
        <w:pStyle w:val="BodyText"/>
        <w:rPr>
          <w:sz w:val="20"/>
        </w:rPr>
      </w:pPr>
      <w:bookmarkStart w:id="0" w:name="_GoBack"/>
      <w:bookmarkEnd w:id="0"/>
    </w:p>
    <w:p w:rsidR="00E647C7" w:rsidRDefault="00E647C7">
      <w:pPr>
        <w:pStyle w:val="BodyText"/>
        <w:rPr>
          <w:sz w:val="20"/>
        </w:rPr>
      </w:pPr>
      <w:r>
        <w:rPr>
          <w:sz w:val="20"/>
        </w:rPr>
        <w:t xml:space="preserve">The </w:t>
      </w:r>
      <w:r>
        <w:rPr>
          <w:i/>
          <w:iCs/>
          <w:sz w:val="20"/>
        </w:rPr>
        <w:t>Years 1 to 10 Mathematics Syllabus</w:t>
      </w:r>
      <w:r>
        <w:rPr>
          <w:sz w:val="20"/>
        </w:rPr>
        <w:t xml:space="preserve"> is designed to help teachers provide students with opportunities to develop Mathematical knowledge, procedures and strategies that will inform the way they approach relevant problems now and in the future. Mathematical knowledge includes </w:t>
      </w:r>
      <w:r>
        <w:rPr>
          <w:b/>
          <w:bCs/>
          <w:sz w:val="20"/>
        </w:rPr>
        <w:t xml:space="preserve">knowing about </w:t>
      </w:r>
      <w:r>
        <w:rPr>
          <w:sz w:val="20"/>
        </w:rPr>
        <w:t xml:space="preserve">mathematics, </w:t>
      </w:r>
      <w:r>
        <w:rPr>
          <w:b/>
          <w:bCs/>
          <w:sz w:val="20"/>
        </w:rPr>
        <w:t>knowing how to do</w:t>
      </w:r>
      <w:r>
        <w:rPr>
          <w:sz w:val="20"/>
        </w:rPr>
        <w:t xml:space="preserve"> mathematics, and </w:t>
      </w:r>
      <w:r>
        <w:rPr>
          <w:b/>
          <w:bCs/>
          <w:sz w:val="20"/>
        </w:rPr>
        <w:t>knowing when and where to use</w:t>
      </w:r>
      <w:r>
        <w:rPr>
          <w:sz w:val="20"/>
        </w:rPr>
        <w:t xml:space="preserve"> mathematics. </w:t>
      </w:r>
    </w:p>
    <w:p w:rsidR="00E647C7" w:rsidRDefault="00E647C7">
      <w:pPr>
        <w:pStyle w:val="BodyText"/>
        <w:rPr>
          <w:sz w:val="20"/>
        </w:rPr>
      </w:pPr>
      <w:r>
        <w:rPr>
          <w:sz w:val="20"/>
        </w:rPr>
        <w:t xml:space="preserve">The elements of mathematical knowledge have been organised into strands in the syllabus. The topics within the strands are interconnected. The </w:t>
      </w:r>
      <w:r>
        <w:rPr>
          <w:b/>
          <w:bCs/>
          <w:sz w:val="20"/>
        </w:rPr>
        <w:t>Strands</w:t>
      </w:r>
      <w:r>
        <w:rPr>
          <w:sz w:val="20"/>
        </w:rPr>
        <w:t xml:space="preserve"> and </w:t>
      </w:r>
      <w:r>
        <w:rPr>
          <w:b/>
          <w:bCs/>
          <w:sz w:val="20"/>
        </w:rPr>
        <w:t>Topics</w:t>
      </w:r>
      <w:r>
        <w:rPr>
          <w:sz w:val="20"/>
        </w:rPr>
        <w:t xml:space="preserve"> are described below.</w:t>
      </w:r>
    </w:p>
    <w:p w:rsidR="00E647C7" w:rsidRDefault="00E647C7">
      <w:pPr>
        <w:pStyle w:val="BodyText"/>
        <w:rPr>
          <w:sz w:val="20"/>
        </w:rPr>
      </w:pPr>
    </w:p>
    <w:p w:rsidR="00E647C7" w:rsidRDefault="00E647C7">
      <w:pPr>
        <w:pStyle w:val="BodyText"/>
      </w:pPr>
    </w:p>
    <w:p w:rsidR="00E647C7" w:rsidRDefault="008114E0">
      <w:pPr>
        <w:pStyle w:val="MathsNormal"/>
        <w:jc w:val="center"/>
        <w:rPr>
          <w:b/>
          <w:bCs/>
        </w:rPr>
      </w:pPr>
      <w:r>
        <w:rPr>
          <w:noProof/>
          <w:sz w:val="20"/>
          <w:lang w:val="en-AU" w:eastAsia="en-AU"/>
        </w:rPr>
        <w:drawing>
          <wp:anchor distT="0" distB="0" distL="114300" distR="114300" simplePos="0" relativeHeight="251657728" behindDoc="1" locked="0" layoutInCell="1" allowOverlap="1">
            <wp:simplePos x="0" y="0"/>
            <wp:positionH relativeFrom="column">
              <wp:posOffset>2099310</wp:posOffset>
            </wp:positionH>
            <wp:positionV relativeFrom="paragraph">
              <wp:posOffset>5080</wp:posOffset>
            </wp:positionV>
            <wp:extent cx="1828800" cy="1209675"/>
            <wp:effectExtent l="19050" t="19050" r="19050" b="28575"/>
            <wp:wrapTight wrapText="bothSides">
              <wp:wrapPolygon edited="0">
                <wp:start x="-225" y="-340"/>
                <wp:lineTo x="-225" y="21770"/>
                <wp:lineTo x="21600" y="21770"/>
                <wp:lineTo x="21600" y="-340"/>
                <wp:lineTo x="-225" y="-340"/>
              </wp:wrapPolygon>
            </wp:wrapTight>
            <wp:docPr id="4" name="Picture 3" descr="measuring the plant po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asuring the plant pot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209675"/>
                    </a:xfrm>
                    <a:prstGeom prst="rect">
                      <a:avLst/>
                    </a:prstGeom>
                    <a:noFill/>
                    <a:ln w="9525">
                      <a:solidFill>
                        <a:srgbClr val="333333"/>
                      </a:solidFill>
                      <a:miter lim="800000"/>
                      <a:headEnd/>
                      <a:tailEnd/>
                    </a:ln>
                  </pic:spPr>
                </pic:pic>
              </a:graphicData>
            </a:graphic>
            <wp14:sizeRelH relativeFrom="page">
              <wp14:pctWidth>0</wp14:pctWidth>
            </wp14:sizeRelH>
            <wp14:sizeRelV relativeFrom="page">
              <wp14:pctHeight>0</wp14:pctHeight>
            </wp14:sizeRelV>
          </wp:anchor>
        </w:drawing>
      </w:r>
    </w:p>
    <w:p w:rsidR="00E647C7" w:rsidRDefault="00E647C7">
      <w:pPr>
        <w:pStyle w:val="MathsNormal"/>
        <w:rPr>
          <w:b/>
          <w:bCs/>
        </w:rPr>
        <w:sectPr w:rsidR="00E647C7">
          <w:headerReference w:type="default" r:id="rId9"/>
          <w:pgSz w:w="11906" w:h="16838"/>
          <w:pgMar w:top="1985" w:right="1134" w:bottom="284" w:left="1134" w:header="567" w:footer="567" w:gutter="0"/>
          <w:cols w:space="708"/>
          <w:docGrid w:linePitch="360"/>
        </w:sectPr>
      </w:pPr>
    </w:p>
    <w:p w:rsidR="00E647C7" w:rsidRDefault="00E647C7">
      <w:pPr>
        <w:pStyle w:val="BodyText"/>
        <w:rPr>
          <w:sz w:val="20"/>
        </w:rPr>
      </w:pPr>
      <w:r>
        <w:rPr>
          <w:b/>
          <w:bCs/>
          <w:sz w:val="20"/>
        </w:rPr>
        <w:lastRenderedPageBreak/>
        <w:t xml:space="preserve">Number </w:t>
      </w:r>
      <w:smartTag w:uri="urn:schemas-microsoft-com:office:smarttags" w:element="place">
        <w:r>
          <w:rPr>
            <w:b/>
            <w:bCs/>
            <w:sz w:val="20"/>
          </w:rPr>
          <w:t>Strand</w:t>
        </w:r>
      </w:smartTag>
    </w:p>
    <w:p w:rsidR="00E647C7" w:rsidRDefault="00E647C7">
      <w:pPr>
        <w:pStyle w:val="BodyText"/>
        <w:rPr>
          <w:sz w:val="20"/>
        </w:rPr>
      </w:pPr>
      <w:r>
        <w:rPr>
          <w:b/>
          <w:bCs/>
          <w:sz w:val="20"/>
        </w:rPr>
        <w:t xml:space="preserve">Number concepts </w:t>
      </w:r>
      <w:r>
        <w:rPr>
          <w:sz w:val="20"/>
        </w:rPr>
        <w:t>— develops numeration and number sense, including the subsets of numbers within the set of rational numbers, the base ten system and the uses and purposes of money in our society.</w:t>
      </w:r>
    </w:p>
    <w:p w:rsidR="00E647C7" w:rsidRDefault="00E647C7">
      <w:pPr>
        <w:pStyle w:val="BodyText"/>
        <w:rPr>
          <w:sz w:val="20"/>
        </w:rPr>
      </w:pPr>
      <w:r>
        <w:rPr>
          <w:b/>
          <w:bCs/>
          <w:sz w:val="20"/>
        </w:rPr>
        <w:t xml:space="preserve">Addition and subtraction </w:t>
      </w:r>
      <w:r>
        <w:rPr>
          <w:sz w:val="20"/>
        </w:rPr>
        <w:t>— promotes the connections between these concepts, and develops understandings of number that support mental computation strategies and other computation methods.</w:t>
      </w:r>
    </w:p>
    <w:p w:rsidR="00E647C7" w:rsidRDefault="00E647C7">
      <w:pPr>
        <w:pStyle w:val="BodyText"/>
        <w:rPr>
          <w:sz w:val="22"/>
        </w:rPr>
      </w:pPr>
      <w:r>
        <w:rPr>
          <w:b/>
          <w:bCs/>
          <w:sz w:val="20"/>
        </w:rPr>
        <w:t xml:space="preserve">Multiplication and division </w:t>
      </w:r>
      <w:r>
        <w:rPr>
          <w:sz w:val="20"/>
        </w:rPr>
        <w:t>— promotes the connections between these concepts, and develops understandings of number that support mental computation strategies, fractional and proportional thinking and other computation methods.</w:t>
      </w:r>
    </w:p>
    <w:p w:rsidR="00E647C7" w:rsidRDefault="008114E0">
      <w:pPr>
        <w:pStyle w:val="BodyText"/>
        <w:jc w:val="center"/>
        <w:rPr>
          <w:b/>
          <w:bCs/>
          <w:sz w:val="22"/>
        </w:rPr>
      </w:pPr>
      <w:r>
        <w:rPr>
          <w:b/>
          <w:bCs/>
          <w:noProof/>
          <w:sz w:val="22"/>
          <w:lang w:eastAsia="en-AU"/>
        </w:rPr>
        <w:drawing>
          <wp:inline distT="0" distB="0" distL="0" distR="0">
            <wp:extent cx="1247775" cy="1857375"/>
            <wp:effectExtent l="19050" t="19050" r="28575" b="28575"/>
            <wp:docPr id="3" name="Picture 1" descr="girl on carpet playing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 on carpet playing g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857375"/>
                    </a:xfrm>
                    <a:prstGeom prst="rect">
                      <a:avLst/>
                    </a:prstGeom>
                    <a:noFill/>
                    <a:ln w="6350" cmpd="sng">
                      <a:solidFill>
                        <a:srgbClr val="000000"/>
                      </a:solidFill>
                      <a:miter lim="800000"/>
                      <a:headEnd/>
                      <a:tailEnd/>
                    </a:ln>
                    <a:effectLst/>
                  </pic:spPr>
                </pic:pic>
              </a:graphicData>
            </a:graphic>
          </wp:inline>
        </w:drawing>
      </w:r>
    </w:p>
    <w:p w:rsidR="00E647C7" w:rsidRDefault="00E647C7">
      <w:pPr>
        <w:pStyle w:val="BodyText"/>
        <w:spacing w:before="240" w:after="120"/>
        <w:rPr>
          <w:b/>
          <w:bCs/>
          <w:sz w:val="20"/>
          <w:szCs w:val="23"/>
        </w:rPr>
      </w:pPr>
      <w:r>
        <w:rPr>
          <w:b/>
          <w:bCs/>
          <w:sz w:val="20"/>
          <w:szCs w:val="23"/>
        </w:rPr>
        <w:t xml:space="preserve">Patterns and Algebra </w:t>
      </w:r>
      <w:smartTag w:uri="urn:schemas-microsoft-com:office:smarttags" w:element="place">
        <w:r>
          <w:rPr>
            <w:b/>
            <w:bCs/>
            <w:sz w:val="20"/>
            <w:szCs w:val="23"/>
          </w:rPr>
          <w:t>Strand</w:t>
        </w:r>
      </w:smartTag>
    </w:p>
    <w:p w:rsidR="00E647C7" w:rsidRDefault="00E647C7">
      <w:pPr>
        <w:pStyle w:val="BodyText"/>
        <w:rPr>
          <w:sz w:val="20"/>
        </w:rPr>
      </w:pPr>
      <w:r>
        <w:rPr>
          <w:b/>
          <w:bCs/>
          <w:sz w:val="20"/>
        </w:rPr>
        <w:t>Patterns and functions</w:t>
      </w:r>
      <w:r>
        <w:rPr>
          <w:sz w:val="20"/>
        </w:rPr>
        <w:t xml:space="preserve"> — develops understandings of consistent change and relationships.</w:t>
      </w:r>
    </w:p>
    <w:p w:rsidR="00E647C7" w:rsidRDefault="00E647C7">
      <w:pPr>
        <w:pStyle w:val="BodyText"/>
        <w:rPr>
          <w:sz w:val="20"/>
        </w:rPr>
      </w:pPr>
      <w:r>
        <w:rPr>
          <w:b/>
          <w:bCs/>
          <w:sz w:val="20"/>
        </w:rPr>
        <w:t xml:space="preserve">Equivalence and equations </w:t>
      </w:r>
      <w:r>
        <w:rPr>
          <w:sz w:val="20"/>
        </w:rPr>
        <w:t>— develops understandings of methods, symbol systems and language associated with balancing and solving equations.</w:t>
      </w:r>
    </w:p>
    <w:p w:rsidR="00E647C7" w:rsidRDefault="00E647C7">
      <w:pPr>
        <w:pStyle w:val="BodyText"/>
        <w:rPr>
          <w:sz w:val="20"/>
          <w:szCs w:val="23"/>
        </w:rPr>
      </w:pPr>
    </w:p>
    <w:p w:rsidR="00E647C7" w:rsidRDefault="00E647C7">
      <w:pPr>
        <w:pStyle w:val="BodyText"/>
        <w:spacing w:after="120"/>
        <w:rPr>
          <w:sz w:val="20"/>
        </w:rPr>
      </w:pPr>
      <w:r>
        <w:rPr>
          <w:b/>
          <w:bCs/>
          <w:sz w:val="20"/>
        </w:rPr>
        <w:t xml:space="preserve">Measurement </w:t>
      </w:r>
      <w:smartTag w:uri="urn:schemas-microsoft-com:office:smarttags" w:element="place">
        <w:r>
          <w:rPr>
            <w:b/>
            <w:bCs/>
            <w:sz w:val="20"/>
          </w:rPr>
          <w:t>Strand</w:t>
        </w:r>
      </w:smartTag>
    </w:p>
    <w:p w:rsidR="00E647C7" w:rsidRDefault="00E647C7">
      <w:pPr>
        <w:pStyle w:val="BodyText"/>
        <w:rPr>
          <w:sz w:val="20"/>
        </w:rPr>
      </w:pPr>
      <w:r>
        <w:rPr>
          <w:b/>
          <w:bCs/>
          <w:sz w:val="20"/>
        </w:rPr>
        <w:t>Length, mass, area and volume</w:t>
      </w:r>
      <w:r>
        <w:rPr>
          <w:sz w:val="20"/>
        </w:rPr>
        <w:t xml:space="preserve"> — develops estimation and measurement strategies of these attributes and understandings of units of measurement and relationships between them.</w:t>
      </w:r>
    </w:p>
    <w:p w:rsidR="00E647C7" w:rsidRDefault="00E647C7">
      <w:pPr>
        <w:pStyle w:val="BodyText"/>
      </w:pPr>
      <w:r>
        <w:rPr>
          <w:b/>
          <w:bCs/>
          <w:sz w:val="20"/>
        </w:rPr>
        <w:t xml:space="preserve">Time </w:t>
      </w:r>
      <w:r>
        <w:rPr>
          <w:sz w:val="20"/>
        </w:rPr>
        <w:t>— develops understandings of units and conventions associated with measuring and recording the passage and duration of time.</w:t>
      </w:r>
    </w:p>
    <w:p w:rsidR="00E647C7" w:rsidRDefault="00E647C7">
      <w:pPr>
        <w:pStyle w:val="BodyText"/>
        <w:rPr>
          <w:b/>
          <w:bCs/>
          <w:sz w:val="20"/>
        </w:rPr>
      </w:pPr>
      <w:r>
        <w:rPr>
          <w:b/>
          <w:bCs/>
          <w:sz w:val="22"/>
        </w:rPr>
        <w:br w:type="column"/>
      </w:r>
      <w:r>
        <w:rPr>
          <w:b/>
          <w:bCs/>
          <w:sz w:val="22"/>
        </w:rPr>
        <w:lastRenderedPageBreak/>
        <w:t>C</w:t>
      </w:r>
      <w:r>
        <w:rPr>
          <w:b/>
          <w:bCs/>
          <w:sz w:val="20"/>
        </w:rPr>
        <w:t xml:space="preserve">hance and Data </w:t>
      </w:r>
      <w:smartTag w:uri="urn:schemas-microsoft-com:office:smarttags" w:element="place">
        <w:r>
          <w:rPr>
            <w:b/>
            <w:bCs/>
            <w:sz w:val="20"/>
          </w:rPr>
          <w:t>Strand</w:t>
        </w:r>
      </w:smartTag>
    </w:p>
    <w:p w:rsidR="00E647C7" w:rsidRDefault="00E647C7">
      <w:pPr>
        <w:pStyle w:val="BodyText"/>
        <w:rPr>
          <w:sz w:val="20"/>
        </w:rPr>
      </w:pPr>
      <w:r>
        <w:rPr>
          <w:b/>
          <w:bCs/>
          <w:sz w:val="20"/>
        </w:rPr>
        <w:t xml:space="preserve">Chance — </w:t>
      </w:r>
      <w:r>
        <w:rPr>
          <w:sz w:val="20"/>
        </w:rPr>
        <w:t>develops understandings of likelihood and the use of experimental and theoretical approaches to estimate or determine numerical probability to make judgments and decisions.</w:t>
      </w:r>
    </w:p>
    <w:p w:rsidR="00E647C7" w:rsidRDefault="00E647C7">
      <w:pPr>
        <w:pStyle w:val="BodyText"/>
        <w:rPr>
          <w:sz w:val="20"/>
        </w:rPr>
      </w:pPr>
      <w:r>
        <w:rPr>
          <w:b/>
          <w:bCs/>
          <w:sz w:val="20"/>
        </w:rPr>
        <w:t>Data —</w:t>
      </w:r>
      <w:r>
        <w:rPr>
          <w:sz w:val="20"/>
        </w:rPr>
        <w:t xml:space="preserve"> develops understandings related to collecting and handling data, exploring and displaying data, and identifying and interpreting variation.</w:t>
      </w:r>
    </w:p>
    <w:p w:rsidR="00E647C7" w:rsidRDefault="00E647C7">
      <w:pPr>
        <w:pStyle w:val="BodyText"/>
        <w:rPr>
          <w:sz w:val="20"/>
        </w:rPr>
      </w:pPr>
    </w:p>
    <w:p w:rsidR="00E647C7" w:rsidRDefault="00E647C7">
      <w:pPr>
        <w:pStyle w:val="BodyText"/>
        <w:rPr>
          <w:b/>
          <w:bCs/>
          <w:sz w:val="20"/>
        </w:rPr>
      </w:pPr>
      <w:r>
        <w:rPr>
          <w:b/>
          <w:bCs/>
          <w:sz w:val="20"/>
        </w:rPr>
        <w:t xml:space="preserve">Space </w:t>
      </w:r>
      <w:smartTag w:uri="urn:schemas-microsoft-com:office:smarttags" w:element="place">
        <w:r>
          <w:rPr>
            <w:b/>
            <w:bCs/>
            <w:sz w:val="20"/>
          </w:rPr>
          <w:t>Strand</w:t>
        </w:r>
      </w:smartTag>
    </w:p>
    <w:p w:rsidR="00E647C7" w:rsidRDefault="00E647C7">
      <w:pPr>
        <w:pStyle w:val="BodyText"/>
        <w:rPr>
          <w:sz w:val="20"/>
        </w:rPr>
      </w:pPr>
      <w:r>
        <w:rPr>
          <w:b/>
          <w:bCs/>
          <w:sz w:val="20"/>
        </w:rPr>
        <w:t>Shape and line —</w:t>
      </w:r>
      <w:r>
        <w:rPr>
          <w:sz w:val="20"/>
        </w:rPr>
        <w:t xml:space="preserve"> promotes understandings of the geometric terms and properties used to identify, visualise and create representations of 3D shapes and objects and 2D shapes.</w:t>
      </w:r>
    </w:p>
    <w:p w:rsidR="00E647C7" w:rsidRDefault="00E647C7">
      <w:pPr>
        <w:pStyle w:val="BodyText"/>
        <w:rPr>
          <w:sz w:val="20"/>
        </w:rPr>
      </w:pPr>
      <w:r>
        <w:rPr>
          <w:b/>
          <w:bCs/>
          <w:sz w:val="20"/>
        </w:rPr>
        <w:t>Location, direction and movement —</w:t>
      </w:r>
      <w:r>
        <w:rPr>
          <w:sz w:val="20"/>
        </w:rPr>
        <w:t xml:space="preserve"> promotes understandings of the construction and interpretation of maps, grids and plans, and the identification and description of locations, directions and movements through familiar and other environments.</w:t>
      </w:r>
    </w:p>
    <w:p w:rsidR="00E647C7" w:rsidRDefault="00E647C7">
      <w:pPr>
        <w:pStyle w:val="BodyText"/>
        <w:rPr>
          <w:sz w:val="22"/>
        </w:rPr>
      </w:pPr>
    </w:p>
    <w:p w:rsidR="00E647C7" w:rsidRDefault="008114E0">
      <w:pPr>
        <w:pStyle w:val="BodyText"/>
        <w:jc w:val="center"/>
        <w:rPr>
          <w:sz w:val="20"/>
        </w:rPr>
      </w:pPr>
      <w:r>
        <w:rPr>
          <w:noProof/>
          <w:sz w:val="20"/>
          <w:lang w:eastAsia="en-AU"/>
        </w:rPr>
        <w:drawing>
          <wp:inline distT="0" distB="0" distL="0" distR="0">
            <wp:extent cx="1885950" cy="1247775"/>
            <wp:effectExtent l="19050" t="19050" r="19050" b="28575"/>
            <wp:docPr id="2" name="Picture 2" descr="four around table with calcul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r around table with calculato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247775"/>
                    </a:xfrm>
                    <a:prstGeom prst="rect">
                      <a:avLst/>
                    </a:prstGeom>
                    <a:noFill/>
                    <a:ln w="6350" cmpd="sng">
                      <a:solidFill>
                        <a:srgbClr val="000000"/>
                      </a:solidFill>
                      <a:miter lim="800000"/>
                      <a:headEnd/>
                      <a:tailEnd/>
                    </a:ln>
                    <a:effectLst/>
                  </pic:spPr>
                </pic:pic>
              </a:graphicData>
            </a:graphic>
          </wp:inline>
        </w:drawing>
      </w:r>
    </w:p>
    <w:p w:rsidR="00E647C7" w:rsidRDefault="00E647C7">
      <w:pPr>
        <w:pStyle w:val="BodyText"/>
        <w:jc w:val="center"/>
        <w:rPr>
          <w:sz w:val="20"/>
        </w:rPr>
      </w:pPr>
    </w:p>
    <w:p w:rsidR="00E647C7" w:rsidRDefault="00E647C7">
      <w:pPr>
        <w:pStyle w:val="BodyText"/>
        <w:spacing w:before="120" w:after="120"/>
        <w:rPr>
          <w:b/>
          <w:bCs/>
          <w:sz w:val="20"/>
          <w:szCs w:val="23"/>
        </w:rPr>
      </w:pPr>
      <w:r>
        <w:rPr>
          <w:b/>
          <w:bCs/>
          <w:sz w:val="20"/>
          <w:szCs w:val="23"/>
        </w:rPr>
        <w:t>Thinking</w:t>
      </w:r>
      <w:r>
        <w:rPr>
          <w:b/>
          <w:bCs/>
          <w:sz w:val="20"/>
        </w:rPr>
        <w:t xml:space="preserve">, </w:t>
      </w:r>
      <w:r>
        <w:rPr>
          <w:b/>
          <w:bCs/>
          <w:sz w:val="20"/>
          <w:szCs w:val="23"/>
        </w:rPr>
        <w:t>reasoning and working mathematically</w:t>
      </w:r>
    </w:p>
    <w:p w:rsidR="00E647C7" w:rsidRDefault="00E647C7">
      <w:pPr>
        <w:pStyle w:val="BodyText"/>
        <w:rPr>
          <w:sz w:val="20"/>
        </w:rPr>
      </w:pPr>
      <w:r>
        <w:rPr>
          <w:sz w:val="20"/>
        </w:rPr>
        <w:t xml:space="preserve">As students work within and across these strands and topics they develop the skills to think, reason and work mathematically. </w:t>
      </w:r>
    </w:p>
    <w:p w:rsidR="00E647C7" w:rsidRDefault="00E647C7">
      <w:pPr>
        <w:pStyle w:val="BodyText"/>
        <w:rPr>
          <w:sz w:val="20"/>
        </w:rPr>
      </w:pPr>
      <w:r>
        <w:rPr>
          <w:sz w:val="20"/>
        </w:rPr>
        <w:t>Students think, reason and work mathematically when they:</w:t>
      </w:r>
    </w:p>
    <w:p w:rsidR="00E647C7" w:rsidRDefault="00E647C7">
      <w:pPr>
        <w:pStyle w:val="Mathsbullets"/>
        <w:jc w:val="left"/>
        <w:rPr>
          <w:b w:val="0"/>
          <w:bCs w:val="0"/>
          <w:sz w:val="20"/>
        </w:rPr>
      </w:pPr>
      <w:r>
        <w:rPr>
          <w:b w:val="0"/>
          <w:bCs w:val="0"/>
          <w:sz w:val="20"/>
        </w:rPr>
        <w:t>see the mathematics in situations encountered</w:t>
      </w:r>
    </w:p>
    <w:p w:rsidR="00E647C7" w:rsidRDefault="00E647C7">
      <w:pPr>
        <w:pStyle w:val="Mathsbullets"/>
        <w:jc w:val="left"/>
        <w:rPr>
          <w:b w:val="0"/>
          <w:bCs w:val="0"/>
          <w:sz w:val="20"/>
        </w:rPr>
      </w:pPr>
      <w:r>
        <w:rPr>
          <w:b w:val="0"/>
          <w:bCs w:val="0"/>
          <w:sz w:val="20"/>
        </w:rPr>
        <w:t>plan, investigate, conjecture, justify, think critically, generalise, communicate and reflect on mathematical understandings and procedures</w:t>
      </w:r>
    </w:p>
    <w:p w:rsidR="00E647C7" w:rsidRDefault="00E647C7">
      <w:pPr>
        <w:pStyle w:val="Mathsbullets"/>
        <w:jc w:val="left"/>
        <w:rPr>
          <w:sz w:val="20"/>
        </w:rPr>
      </w:pPr>
      <w:r>
        <w:rPr>
          <w:b w:val="0"/>
          <w:bCs w:val="0"/>
          <w:sz w:val="20"/>
        </w:rPr>
        <w:t>select and use relevant mathematical knowledge, procedures, strategies and technologies to analyse information.</w:t>
      </w:r>
    </w:p>
    <w:sectPr w:rsidR="00E647C7">
      <w:type w:val="continuous"/>
      <w:pgSz w:w="11906" w:h="16838"/>
      <w:pgMar w:top="851" w:right="1134" w:bottom="284" w:left="1134" w:header="709" w:footer="709" w:gutter="0"/>
      <w:cols w:num="2" w:space="708" w:equalWidth="0">
        <w:col w:w="4465" w:space="708"/>
        <w:col w:w="446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794" w:rsidRDefault="005F6794">
      <w:r>
        <w:separator/>
      </w:r>
    </w:p>
  </w:endnote>
  <w:endnote w:type="continuationSeparator" w:id="0">
    <w:p w:rsidR="005F6794" w:rsidRDefault="005F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794" w:rsidRDefault="005F6794">
      <w:r>
        <w:separator/>
      </w:r>
    </w:p>
  </w:footnote>
  <w:footnote w:type="continuationSeparator" w:id="0">
    <w:p w:rsidR="005F6794" w:rsidRDefault="005F6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AAA" w:rsidRDefault="007E6AAA">
    <w:pPr>
      <w:pStyle w:val="Header"/>
      <w:spacing w:before="360"/>
      <w:rPr>
        <w:b/>
        <w:bCs/>
      </w:rPr>
    </w:pPr>
    <w:r>
      <w:rPr>
        <w:b/>
        <w:bCs/>
        <w:sz w:val="40"/>
      </w:rPr>
      <w:t>Years 1 to 10 Mathematics Syllabus</w:t>
    </w:r>
    <w:r>
      <w:rPr>
        <w:b/>
        <w:bCs/>
      </w:rPr>
      <w:t xml:space="preserve"> </w:t>
    </w:r>
    <w:r w:rsidR="008114E0">
      <w:rPr>
        <w:b/>
        <w:bCs/>
        <w:noProof/>
        <w:lang w:eastAsia="en-AU"/>
      </w:rPr>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076960" cy="908685"/>
          <wp:effectExtent l="0" t="0" r="889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908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EA6ED8"/>
    <w:lvl w:ilvl="0">
      <w:start w:val="1"/>
      <w:numFmt w:val="decimal"/>
      <w:lvlText w:val="%1."/>
      <w:lvlJc w:val="left"/>
      <w:pPr>
        <w:tabs>
          <w:tab w:val="num" w:pos="1492"/>
        </w:tabs>
        <w:ind w:left="1492" w:hanging="360"/>
      </w:pPr>
    </w:lvl>
  </w:abstractNum>
  <w:abstractNum w:abstractNumId="1">
    <w:nsid w:val="FFFFFF7D"/>
    <w:multiLevelType w:val="singleLevel"/>
    <w:tmpl w:val="FBDCE086"/>
    <w:lvl w:ilvl="0">
      <w:start w:val="1"/>
      <w:numFmt w:val="decimal"/>
      <w:lvlText w:val="%1."/>
      <w:lvlJc w:val="left"/>
      <w:pPr>
        <w:tabs>
          <w:tab w:val="num" w:pos="1209"/>
        </w:tabs>
        <w:ind w:left="1209" w:hanging="360"/>
      </w:pPr>
    </w:lvl>
  </w:abstractNum>
  <w:abstractNum w:abstractNumId="2">
    <w:nsid w:val="FFFFFF7E"/>
    <w:multiLevelType w:val="singleLevel"/>
    <w:tmpl w:val="547A460A"/>
    <w:lvl w:ilvl="0">
      <w:start w:val="1"/>
      <w:numFmt w:val="decimal"/>
      <w:lvlText w:val="%1."/>
      <w:lvlJc w:val="left"/>
      <w:pPr>
        <w:tabs>
          <w:tab w:val="num" w:pos="926"/>
        </w:tabs>
        <w:ind w:left="926" w:hanging="360"/>
      </w:pPr>
    </w:lvl>
  </w:abstractNum>
  <w:abstractNum w:abstractNumId="3">
    <w:nsid w:val="FFFFFF7F"/>
    <w:multiLevelType w:val="singleLevel"/>
    <w:tmpl w:val="027250F2"/>
    <w:lvl w:ilvl="0">
      <w:start w:val="1"/>
      <w:numFmt w:val="decimal"/>
      <w:lvlText w:val="%1."/>
      <w:lvlJc w:val="left"/>
      <w:pPr>
        <w:tabs>
          <w:tab w:val="num" w:pos="643"/>
        </w:tabs>
        <w:ind w:left="643" w:hanging="360"/>
      </w:pPr>
    </w:lvl>
  </w:abstractNum>
  <w:abstractNum w:abstractNumId="4">
    <w:nsid w:val="FFFFFF80"/>
    <w:multiLevelType w:val="singleLevel"/>
    <w:tmpl w:val="DFF434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16B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0ACA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8AC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B819BA"/>
    <w:lvl w:ilvl="0">
      <w:start w:val="1"/>
      <w:numFmt w:val="decimal"/>
      <w:lvlText w:val="%1."/>
      <w:lvlJc w:val="left"/>
      <w:pPr>
        <w:tabs>
          <w:tab w:val="num" w:pos="360"/>
        </w:tabs>
        <w:ind w:left="360" w:hanging="360"/>
      </w:pPr>
    </w:lvl>
  </w:abstractNum>
  <w:abstractNum w:abstractNumId="9">
    <w:nsid w:val="FFFFFF89"/>
    <w:multiLevelType w:val="singleLevel"/>
    <w:tmpl w:val="C8C269AE"/>
    <w:lvl w:ilvl="0">
      <w:start w:val="1"/>
      <w:numFmt w:val="bullet"/>
      <w:lvlText w:val=""/>
      <w:lvlJc w:val="left"/>
      <w:pPr>
        <w:tabs>
          <w:tab w:val="num" w:pos="360"/>
        </w:tabs>
        <w:ind w:left="360" w:hanging="360"/>
      </w:pPr>
      <w:rPr>
        <w:rFonts w:ascii="Symbol" w:hAnsi="Symbol" w:hint="default"/>
      </w:rPr>
    </w:lvl>
  </w:abstractNum>
  <w:abstractNum w:abstractNumId="10">
    <w:nsid w:val="000B6312"/>
    <w:multiLevelType w:val="hybridMultilevel"/>
    <w:tmpl w:val="084CA4EC"/>
    <w:lvl w:ilvl="0" w:tplc="40B6E704">
      <w:start w:val="1"/>
      <w:numFmt w:val="bullet"/>
      <w:pStyle w:val="Tablebullets"/>
      <w:lvlText w:val=""/>
      <w:lvlJc w:val="left"/>
      <w:pPr>
        <w:tabs>
          <w:tab w:val="num" w:pos="360"/>
        </w:tabs>
        <w:ind w:left="142" w:hanging="14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9A3399"/>
    <w:multiLevelType w:val="hybridMultilevel"/>
    <w:tmpl w:val="76621F9E"/>
    <w:lvl w:ilvl="0" w:tplc="64EADE24">
      <w:start w:val="1"/>
      <w:numFmt w:val="bullet"/>
      <w:pStyle w:val="Mathsbullets"/>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1"/>
  </w:num>
  <w:num w:numId="2">
    <w:abstractNumId w:val="10"/>
  </w:num>
  <w:num w:numId="3">
    <w:abstractNumId w:val="11"/>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6F"/>
    <w:rsid w:val="00052326"/>
    <w:rsid w:val="005F6794"/>
    <w:rsid w:val="007E6AAA"/>
    <w:rsid w:val="008114E0"/>
    <w:rsid w:val="00A42F6F"/>
    <w:rsid w:val="00A961B9"/>
    <w:rsid w:val="00D362ED"/>
    <w:rsid w:val="00E64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rFonts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thsNormal">
    <w:name w:val="Maths Normal"/>
    <w:basedOn w:val="BodyText2"/>
    <w:pPr>
      <w:tabs>
        <w:tab w:val="left" w:pos="2160"/>
      </w:tabs>
      <w:spacing w:before="60" w:after="0" w:line="240" w:lineRule="auto"/>
      <w:ind w:right="113"/>
    </w:pPr>
    <w:rPr>
      <w:rFonts w:cs="Arial"/>
      <w:lang w:val="en-US"/>
    </w:rPr>
  </w:style>
  <w:style w:type="paragraph" w:customStyle="1" w:styleId="MathsHeading3">
    <w:name w:val="Maths Heading3"/>
    <w:basedOn w:val="Heading1"/>
    <w:pPr>
      <w:tabs>
        <w:tab w:val="left" w:pos="8505"/>
      </w:tabs>
      <w:spacing w:before="60" w:after="60"/>
    </w:pPr>
    <w:rPr>
      <w:bCs w:val="0"/>
      <w:sz w:val="22"/>
      <w:szCs w:val="20"/>
      <w:lang w:val="en-US"/>
    </w:rPr>
  </w:style>
  <w:style w:type="paragraph" w:customStyle="1" w:styleId="Mathsbullets">
    <w:name w:val="Maths bullets"/>
    <w:basedOn w:val="Normal"/>
    <w:pPr>
      <w:numPr>
        <w:numId w:val="1"/>
      </w:numPr>
      <w:spacing w:before="40"/>
      <w:jc w:val="both"/>
    </w:pPr>
    <w:rPr>
      <w:rFonts w:cs="Arial"/>
      <w:b/>
      <w:bCs/>
      <w:sz w:val="18"/>
      <w:szCs w:val="20"/>
      <w:lang w:val="en-US"/>
    </w:rPr>
  </w:style>
  <w:style w:type="paragraph" w:customStyle="1" w:styleId="Text1">
    <w:name w:val="Text 1"/>
    <w:basedOn w:val="Normal"/>
    <w:rPr>
      <w:szCs w:val="20"/>
    </w:rPr>
  </w:style>
  <w:style w:type="paragraph" w:styleId="Footer">
    <w:name w:val="footer"/>
    <w:basedOn w:val="Normal"/>
    <w:pPr>
      <w:tabs>
        <w:tab w:val="center" w:pos="4153"/>
        <w:tab w:val="right" w:pos="8306"/>
      </w:tabs>
    </w:pPr>
    <w:rPr>
      <w:rFonts w:ascii="Times New Roman" w:hAnsi="Times New Roman"/>
      <w:sz w:val="20"/>
      <w:szCs w:val="20"/>
    </w:rPr>
  </w:style>
  <w:style w:type="paragraph" w:customStyle="1" w:styleId="MathsHeading4">
    <w:name w:val="Maths Heading4"/>
    <w:basedOn w:val="Heading1"/>
    <w:pPr>
      <w:tabs>
        <w:tab w:val="left" w:pos="8505"/>
      </w:tabs>
      <w:spacing w:before="80"/>
    </w:pPr>
    <w:rPr>
      <w:bCs w:val="0"/>
      <w:szCs w:val="20"/>
      <w:lang w:val="en-US"/>
    </w:rPr>
  </w:style>
  <w:style w:type="paragraph" w:styleId="BodyText2">
    <w:name w:val="Body Text 2"/>
    <w:basedOn w:val="Normal"/>
    <w:pPr>
      <w:spacing w:after="120" w:line="480" w:lineRule="auto"/>
    </w:pPr>
  </w:style>
  <w:style w:type="paragraph" w:styleId="BodyText">
    <w:name w:val="Body Text"/>
    <w:basedOn w:val="Normal"/>
    <w:rPr>
      <w:sz w:val="18"/>
    </w:rPr>
  </w:style>
  <w:style w:type="paragraph" w:customStyle="1" w:styleId="Tablebullets">
    <w:name w:val="Table bullets"/>
    <w:basedOn w:val="Normal"/>
    <w:pPr>
      <w:numPr>
        <w:numId w:val="2"/>
      </w:numPr>
    </w:pPr>
  </w:style>
  <w:style w:type="paragraph" w:styleId="Header">
    <w:name w:val="header"/>
    <w:basedOn w:val="Normal"/>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rFonts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thsNormal">
    <w:name w:val="Maths Normal"/>
    <w:basedOn w:val="BodyText2"/>
    <w:pPr>
      <w:tabs>
        <w:tab w:val="left" w:pos="2160"/>
      </w:tabs>
      <w:spacing w:before="60" w:after="0" w:line="240" w:lineRule="auto"/>
      <w:ind w:right="113"/>
    </w:pPr>
    <w:rPr>
      <w:rFonts w:cs="Arial"/>
      <w:lang w:val="en-US"/>
    </w:rPr>
  </w:style>
  <w:style w:type="paragraph" w:customStyle="1" w:styleId="MathsHeading3">
    <w:name w:val="Maths Heading3"/>
    <w:basedOn w:val="Heading1"/>
    <w:pPr>
      <w:tabs>
        <w:tab w:val="left" w:pos="8505"/>
      </w:tabs>
      <w:spacing w:before="60" w:after="60"/>
    </w:pPr>
    <w:rPr>
      <w:bCs w:val="0"/>
      <w:sz w:val="22"/>
      <w:szCs w:val="20"/>
      <w:lang w:val="en-US"/>
    </w:rPr>
  </w:style>
  <w:style w:type="paragraph" w:customStyle="1" w:styleId="Mathsbullets">
    <w:name w:val="Maths bullets"/>
    <w:basedOn w:val="Normal"/>
    <w:pPr>
      <w:numPr>
        <w:numId w:val="1"/>
      </w:numPr>
      <w:spacing w:before="40"/>
      <w:jc w:val="both"/>
    </w:pPr>
    <w:rPr>
      <w:rFonts w:cs="Arial"/>
      <w:b/>
      <w:bCs/>
      <w:sz w:val="18"/>
      <w:szCs w:val="20"/>
      <w:lang w:val="en-US"/>
    </w:rPr>
  </w:style>
  <w:style w:type="paragraph" w:customStyle="1" w:styleId="Text1">
    <w:name w:val="Text 1"/>
    <w:basedOn w:val="Normal"/>
    <w:rPr>
      <w:szCs w:val="20"/>
    </w:rPr>
  </w:style>
  <w:style w:type="paragraph" w:styleId="Footer">
    <w:name w:val="footer"/>
    <w:basedOn w:val="Normal"/>
    <w:pPr>
      <w:tabs>
        <w:tab w:val="center" w:pos="4153"/>
        <w:tab w:val="right" w:pos="8306"/>
      </w:tabs>
    </w:pPr>
    <w:rPr>
      <w:rFonts w:ascii="Times New Roman" w:hAnsi="Times New Roman"/>
      <w:sz w:val="20"/>
      <w:szCs w:val="20"/>
    </w:rPr>
  </w:style>
  <w:style w:type="paragraph" w:customStyle="1" w:styleId="MathsHeading4">
    <w:name w:val="Maths Heading4"/>
    <w:basedOn w:val="Heading1"/>
    <w:pPr>
      <w:tabs>
        <w:tab w:val="left" w:pos="8505"/>
      </w:tabs>
      <w:spacing w:before="80"/>
    </w:pPr>
    <w:rPr>
      <w:bCs w:val="0"/>
      <w:szCs w:val="20"/>
      <w:lang w:val="en-US"/>
    </w:rPr>
  </w:style>
  <w:style w:type="paragraph" w:styleId="BodyText2">
    <w:name w:val="Body Text 2"/>
    <w:basedOn w:val="Normal"/>
    <w:pPr>
      <w:spacing w:after="120" w:line="480" w:lineRule="auto"/>
    </w:pPr>
  </w:style>
  <w:style w:type="paragraph" w:styleId="BodyText">
    <w:name w:val="Body Text"/>
    <w:basedOn w:val="Normal"/>
    <w:rPr>
      <w:sz w:val="18"/>
    </w:rPr>
  </w:style>
  <w:style w:type="paragraph" w:customStyle="1" w:styleId="Tablebullets">
    <w:name w:val="Table bullets"/>
    <w:basedOn w:val="Normal"/>
    <w:pPr>
      <w:numPr>
        <w:numId w:val="2"/>
      </w:numPr>
    </w:pPr>
  </w:style>
  <w:style w:type="paragraph" w:styleId="Header">
    <w:name w:val="head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72"/>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Years 1 to 10 Mathematics Syllabus (2004)</vt:lpstr>
    </vt:vector>
  </TitlesOfParts>
  <Company>Queensland Studies Authority</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 to 10 Mathematics Syllabus (2004)</dc:title>
  <dc:subject>Syllabus at a glance</dc:subject>
  <dc:creator>Queensland Studies Authority</dc:creator>
  <cp:keywords/>
  <dc:description/>
  <cp:lastModifiedBy>QSA</cp:lastModifiedBy>
  <cp:revision>2</cp:revision>
  <cp:lastPrinted>2004-11-03T05:35:00Z</cp:lastPrinted>
  <dcterms:created xsi:type="dcterms:W3CDTF">2014-06-18T07:13:00Z</dcterms:created>
  <dcterms:modified xsi:type="dcterms:W3CDTF">2014-06-18T07:13:00Z</dcterms:modified>
</cp:coreProperties>
</file>