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3A23" w:rsidRDefault="00BA3A23">
      <w:pPr>
        <w:pStyle w:val="Heading1"/>
        <w:tabs>
          <w:tab w:val="right" w:pos="8306"/>
        </w:tabs>
        <w:rPr>
          <w:sz w:val="28"/>
        </w:rPr>
      </w:pPr>
      <w:r>
        <w:rPr>
          <w:noProof/>
          <w:lang w:val="en-AU" w:eastAsia="en-A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Queensland Studies Authority  logo" style="position:absolute;margin-left:6in;margin-top:-9pt;width:55.5pt;height:44.3pt;z-index:251658240">
            <v:imagedata r:id="rId5" o:title=""/>
          </v:shape>
        </w:pict>
      </w:r>
      <w:r>
        <w:rPr>
          <w:noProof/>
          <w:sz w:val="28"/>
        </w:rPr>
        <w:t>Languages Other than English</w:t>
      </w:r>
      <w:r>
        <w:rPr>
          <w:sz w:val="28"/>
        </w:rPr>
        <w:t xml:space="preserve"> Years 4 – 10 Syllabuses</w:t>
      </w:r>
    </w:p>
    <w:p w:rsidR="00BA3A23" w:rsidRDefault="00BA3A23">
      <w:pPr>
        <w:pStyle w:val="Heading3"/>
        <w:spacing w:before="240" w:after="120"/>
      </w:pPr>
      <w:r>
        <w:t>Nature of the Key Learning Area</w:t>
      </w:r>
    </w:p>
    <w:tbl>
      <w:tblPr>
        <w:tblW w:w="10008" w:type="dxa"/>
        <w:tblLook w:val="0000"/>
      </w:tblPr>
      <w:tblGrid>
        <w:gridCol w:w="5004"/>
        <w:gridCol w:w="5004"/>
      </w:tblGrid>
      <w:tr w:rsidR="00BA3A23">
        <w:tblPrEx>
          <w:tblCellMar>
            <w:top w:w="0" w:type="dxa"/>
            <w:bottom w:w="0" w:type="dxa"/>
          </w:tblCellMar>
        </w:tblPrEx>
        <w:trPr>
          <w:cantSplit/>
        </w:trPr>
        <w:tc>
          <w:tcPr>
            <w:tcW w:w="10008" w:type="dxa"/>
            <w:gridSpan w:val="2"/>
          </w:tcPr>
          <w:p w:rsidR="00BA3A23" w:rsidRDefault="00BA3A23">
            <w:pPr>
              <w:pStyle w:val="BodyText3"/>
              <w:rPr>
                <w:sz w:val="20"/>
              </w:rPr>
            </w:pPr>
            <w:r>
              <w:rPr>
                <w:sz w:val="20"/>
              </w:rPr>
              <w:t>Languages other than English are a means of communicating across cultures and promoting inter-cultural understanding and competence.</w:t>
            </w:r>
          </w:p>
          <w:p w:rsidR="00BA3A23" w:rsidRDefault="00BA3A23">
            <w:pPr>
              <w:pStyle w:val="BodyText3"/>
              <w:rPr>
                <w:sz w:val="20"/>
              </w:rPr>
            </w:pPr>
            <w:r>
              <w:rPr>
                <w:sz w:val="20"/>
              </w:rPr>
              <w:t>Languages prepare learners for meaningful, productive lives in a culturally and linguistically diverse society and global community, and help learners relate positively to the richness of human diversity. This is reflected in Languages other than English programs when students communicate by engaging in purposeful and active use of language in tasks that contribute to students’ understanding of many diverse issues and concepts and that involve negotiation and socialisation with peers. Learning a language other than English also promotes:</w:t>
            </w:r>
          </w:p>
          <w:p w:rsidR="00BA3A23" w:rsidRDefault="00BA3A23">
            <w:pPr>
              <w:pStyle w:val="BodyText3"/>
              <w:numPr>
                <w:ilvl w:val="0"/>
                <w:numId w:val="20"/>
              </w:numPr>
              <w:rPr>
                <w:b/>
                <w:bCs/>
                <w:sz w:val="20"/>
              </w:rPr>
            </w:pPr>
            <w:r>
              <w:rPr>
                <w:b/>
                <w:bCs/>
                <w:sz w:val="20"/>
              </w:rPr>
              <w:t>Communication skills</w:t>
            </w:r>
            <w:r>
              <w:rPr>
                <w:sz w:val="20"/>
              </w:rPr>
              <w:t xml:space="preserve"> –using process skills and strategies to deploy linguistic features in culturally appropriate ways;</w:t>
            </w:r>
          </w:p>
          <w:p w:rsidR="00BA3A23" w:rsidRDefault="00BA3A23">
            <w:pPr>
              <w:pStyle w:val="BodyText3"/>
              <w:numPr>
                <w:ilvl w:val="0"/>
                <w:numId w:val="20"/>
              </w:numPr>
              <w:rPr>
                <w:sz w:val="20"/>
              </w:rPr>
            </w:pPr>
            <w:r>
              <w:rPr>
                <w:b/>
                <w:bCs/>
                <w:sz w:val="20"/>
              </w:rPr>
              <w:t>Cognitive development</w:t>
            </w:r>
            <w:r>
              <w:rPr>
                <w:sz w:val="20"/>
              </w:rPr>
              <w:t xml:space="preserve"> – using an alternative linguistic system to make explicit comparisons between languages means students are better able to solve problems, to think logically and to express themselves with clarity;</w:t>
            </w:r>
          </w:p>
          <w:p w:rsidR="00BA3A23" w:rsidRDefault="00BA3A23">
            <w:pPr>
              <w:pStyle w:val="BodyText3"/>
              <w:numPr>
                <w:ilvl w:val="0"/>
                <w:numId w:val="20"/>
              </w:numPr>
              <w:rPr>
                <w:sz w:val="20"/>
              </w:rPr>
            </w:pPr>
            <w:r>
              <w:rPr>
                <w:b/>
                <w:bCs/>
                <w:sz w:val="20"/>
              </w:rPr>
              <w:t>Appreciation of cultures</w:t>
            </w:r>
            <w:r>
              <w:rPr>
                <w:sz w:val="20"/>
              </w:rPr>
              <w:t xml:space="preserve"> –critically appreciating different ways of perceiving and expressing reality gives students a wider perspective from which they might view the world and their place in it.</w:t>
            </w:r>
          </w:p>
          <w:p w:rsidR="00BA3A23" w:rsidRDefault="00BA3A23">
            <w:pPr>
              <w:pStyle w:val="BodyText3"/>
              <w:spacing w:before="60" w:after="60"/>
              <w:rPr>
                <w:sz w:val="20"/>
              </w:rPr>
            </w:pPr>
            <w:r>
              <w:rPr>
                <w:sz w:val="20"/>
              </w:rPr>
              <w:t>Years 4 to 10 LOTE Syllabuses are provided for seven priority languages — Chinese, French, German, Indonesian, Italian, Japanese and Korean. The LOTE Years 1 to 3 Curriculum Guidelines complement these syllabuses by assisting teachers to plan second language programs in the early childhood years.</w:t>
            </w:r>
          </w:p>
          <w:p w:rsidR="00BA3A23" w:rsidRDefault="00BA3A23">
            <w:pPr>
              <w:pStyle w:val="BodyText3"/>
              <w:spacing w:before="60" w:after="60"/>
              <w:rPr>
                <w:sz w:val="18"/>
              </w:rPr>
            </w:pPr>
          </w:p>
        </w:tc>
      </w:tr>
      <w:tr w:rsidR="00BA3A23">
        <w:tblPrEx>
          <w:tblCellMar>
            <w:top w:w="0" w:type="dxa"/>
            <w:bottom w:w="0" w:type="dxa"/>
          </w:tblCellMar>
        </w:tblPrEx>
        <w:trPr>
          <w:cantSplit/>
        </w:trPr>
        <w:tc>
          <w:tcPr>
            <w:tcW w:w="5004" w:type="dxa"/>
          </w:tcPr>
          <w:p w:rsidR="00BA3A23" w:rsidRDefault="00BA3A23">
            <w:pPr>
              <w:pStyle w:val="Heading2"/>
              <w:spacing w:before="60"/>
              <w:rPr>
                <w:sz w:val="22"/>
                <w:lang w:val="en-US"/>
              </w:rPr>
            </w:pPr>
            <w:r>
              <w:rPr>
                <w:sz w:val="22"/>
                <w:lang w:val="en-US"/>
              </w:rPr>
              <w:t>The key messages of the syllabuses</w:t>
            </w:r>
          </w:p>
          <w:p w:rsidR="00BA3A23" w:rsidRDefault="00BA3A23">
            <w:pPr>
              <w:pStyle w:val="BodyText3"/>
              <w:rPr>
                <w:sz w:val="20"/>
              </w:rPr>
            </w:pPr>
            <w:r>
              <w:rPr>
                <w:sz w:val="20"/>
              </w:rPr>
              <w:t xml:space="preserve">Language learning includes learning to use language as well as learning about language and how to use it. The syllabuses integrate the </w:t>
            </w:r>
            <w:r>
              <w:rPr>
                <w:b/>
                <w:sz w:val="20"/>
              </w:rPr>
              <w:t>what</w:t>
            </w:r>
            <w:r>
              <w:rPr>
                <w:sz w:val="20"/>
              </w:rPr>
              <w:t xml:space="preserve"> and the </w:t>
            </w:r>
            <w:r>
              <w:rPr>
                <w:b/>
                <w:sz w:val="20"/>
              </w:rPr>
              <w:t>how</w:t>
            </w:r>
            <w:r>
              <w:rPr>
                <w:bCs/>
                <w:sz w:val="20"/>
              </w:rPr>
              <w:t xml:space="preserve"> in a </w:t>
            </w:r>
            <w:r>
              <w:rPr>
                <w:sz w:val="20"/>
              </w:rPr>
              <w:t xml:space="preserve">holistic view of language, which is realised in a </w:t>
            </w:r>
            <w:r>
              <w:rPr>
                <w:b/>
                <w:bCs/>
                <w:sz w:val="20"/>
              </w:rPr>
              <w:t>task-based approach</w:t>
            </w:r>
            <w:r>
              <w:rPr>
                <w:sz w:val="20"/>
              </w:rPr>
              <w:t xml:space="preserve"> </w:t>
            </w:r>
            <w:r>
              <w:rPr>
                <w:bCs/>
                <w:sz w:val="20"/>
                <w:lang w:val="en-US"/>
              </w:rPr>
              <w:t>(Syllabus p8)</w:t>
            </w:r>
            <w:r>
              <w:rPr>
                <w:sz w:val="20"/>
              </w:rPr>
              <w:t xml:space="preserve">. Tasks engage learners in using real language for real or life-like purposes They are </w:t>
            </w:r>
            <w:r>
              <w:rPr>
                <w:b/>
                <w:bCs/>
                <w:sz w:val="20"/>
              </w:rPr>
              <w:t>sequenced</w:t>
            </w:r>
            <w:r>
              <w:rPr>
                <w:sz w:val="20"/>
              </w:rPr>
              <w:t xml:space="preserve"> to achieve some central purpose within a context that has relevance for students in terms of their social, school and personal lives. This approach is exemplified in the </w:t>
            </w:r>
            <w:r>
              <w:rPr>
                <w:b/>
                <w:bCs/>
                <w:sz w:val="20"/>
              </w:rPr>
              <w:t>sourcebook modules</w:t>
            </w:r>
            <w:r>
              <w:rPr>
                <w:sz w:val="20"/>
              </w:rPr>
              <w:t xml:space="preserve"> which reflect a design-down, deliver up design principle.</w:t>
            </w:r>
          </w:p>
          <w:p w:rsidR="00BA3A23" w:rsidRDefault="00BA3A23">
            <w:pPr>
              <w:pStyle w:val="BodyText3"/>
              <w:rPr>
                <w:sz w:val="20"/>
              </w:rPr>
            </w:pPr>
          </w:p>
          <w:p w:rsidR="00BA3A23" w:rsidRDefault="00BA3A23">
            <w:pPr>
              <w:pStyle w:val="BodyText3"/>
              <w:rPr>
                <w:sz w:val="20"/>
              </w:rPr>
            </w:pPr>
          </w:p>
          <w:p w:rsidR="00BA3A23" w:rsidRDefault="00BA3A23">
            <w:pPr>
              <w:pStyle w:val="BodyText3"/>
              <w:rPr>
                <w:sz w:val="20"/>
              </w:rPr>
            </w:pPr>
          </w:p>
          <w:p w:rsidR="00BA3A23" w:rsidRDefault="00BA3A23">
            <w:pPr>
              <w:pStyle w:val="BodyText3"/>
              <w:rPr>
                <w:sz w:val="20"/>
              </w:rPr>
            </w:pPr>
          </w:p>
          <w:p w:rsidR="00BA3A23" w:rsidRDefault="00BA3A23">
            <w:pPr>
              <w:pStyle w:val="BodyText3"/>
              <w:rPr>
                <w:sz w:val="20"/>
              </w:rPr>
            </w:pPr>
          </w:p>
          <w:p w:rsidR="00BA3A23" w:rsidRDefault="00BA3A23">
            <w:pPr>
              <w:pStyle w:val="BodyText3"/>
              <w:rPr>
                <w:sz w:val="20"/>
              </w:rPr>
            </w:pPr>
          </w:p>
          <w:p w:rsidR="00BA3A23" w:rsidRDefault="00BA3A23">
            <w:pPr>
              <w:pStyle w:val="BodyText3"/>
              <w:rPr>
                <w:sz w:val="20"/>
              </w:rPr>
            </w:pPr>
          </w:p>
          <w:p w:rsidR="00BA3A23" w:rsidRDefault="00BA3A23">
            <w:pPr>
              <w:pStyle w:val="BodyText3"/>
              <w:spacing w:before="60"/>
            </w:pPr>
          </w:p>
        </w:tc>
        <w:tc>
          <w:tcPr>
            <w:tcW w:w="5004" w:type="dxa"/>
          </w:tcPr>
          <w:p w:rsidR="00BA3A23" w:rsidRDefault="00BA3A23">
            <w:pPr>
              <w:pStyle w:val="BodyText3"/>
              <w:spacing w:before="60"/>
              <w:rPr>
                <w:sz w:val="20"/>
              </w:rPr>
            </w:pPr>
            <w:r>
              <w:rPr>
                <w:b/>
                <w:sz w:val="20"/>
              </w:rPr>
              <w:t>Fields of human knowledge and endeavour</w:t>
            </w:r>
            <w:r>
              <w:rPr>
                <w:sz w:val="20"/>
              </w:rPr>
              <w:t xml:space="preserve"> offer a framework for organising the potentially infinite range of content of any language program They are:</w:t>
            </w:r>
          </w:p>
          <w:p w:rsidR="00BA3A23" w:rsidRDefault="00BA3A23">
            <w:pPr>
              <w:pStyle w:val="Point"/>
              <w:rPr>
                <w:sz w:val="20"/>
              </w:rPr>
            </w:pPr>
            <w:r>
              <w:rPr>
                <w:sz w:val="20"/>
              </w:rPr>
              <w:t>Personal and community life</w:t>
            </w:r>
          </w:p>
          <w:p w:rsidR="00BA3A23" w:rsidRDefault="00BA3A23">
            <w:pPr>
              <w:pStyle w:val="Point"/>
              <w:rPr>
                <w:sz w:val="20"/>
              </w:rPr>
            </w:pPr>
            <w:r>
              <w:rPr>
                <w:sz w:val="20"/>
              </w:rPr>
              <w:t>Leisure and recreation</w:t>
            </w:r>
          </w:p>
          <w:p w:rsidR="00BA3A23" w:rsidRDefault="00BA3A23">
            <w:pPr>
              <w:pStyle w:val="Point"/>
              <w:rPr>
                <w:sz w:val="20"/>
              </w:rPr>
            </w:pPr>
            <w:r>
              <w:rPr>
                <w:sz w:val="20"/>
              </w:rPr>
              <w:t>The natural world</w:t>
            </w:r>
          </w:p>
          <w:p w:rsidR="00BA3A23" w:rsidRDefault="00BA3A23">
            <w:pPr>
              <w:pStyle w:val="Point"/>
              <w:rPr>
                <w:sz w:val="20"/>
              </w:rPr>
            </w:pPr>
            <w:r>
              <w:rPr>
                <w:sz w:val="20"/>
              </w:rPr>
              <w:t>The built world</w:t>
            </w:r>
          </w:p>
          <w:p w:rsidR="00BA3A23" w:rsidRDefault="00BA3A23">
            <w:pPr>
              <w:pStyle w:val="Point"/>
              <w:rPr>
                <w:sz w:val="20"/>
              </w:rPr>
            </w:pPr>
            <w:r>
              <w:rPr>
                <w:sz w:val="20"/>
              </w:rPr>
              <w:t>The international world</w:t>
            </w:r>
          </w:p>
          <w:p w:rsidR="00BA3A23" w:rsidRDefault="00BA3A23">
            <w:pPr>
              <w:pStyle w:val="Point"/>
              <w:rPr>
                <w:sz w:val="20"/>
              </w:rPr>
            </w:pPr>
            <w:r>
              <w:rPr>
                <w:sz w:val="20"/>
              </w:rPr>
              <w:t>The imaginative world</w:t>
            </w:r>
            <w:r>
              <w:rPr>
                <w:bCs/>
                <w:sz w:val="20"/>
                <w:lang w:val="en-US"/>
              </w:rPr>
              <w:t xml:space="preserve"> (Syllabus p8)</w:t>
            </w:r>
          </w:p>
          <w:p w:rsidR="00BA3A23" w:rsidRDefault="00BA3A23">
            <w:pPr>
              <w:pStyle w:val="BodyText3"/>
              <w:spacing w:before="60" w:after="60"/>
              <w:rPr>
                <w:sz w:val="20"/>
              </w:rPr>
            </w:pPr>
            <w:r>
              <w:rPr>
                <w:sz w:val="20"/>
              </w:rPr>
              <w:t xml:space="preserve">These fields encourage an </w:t>
            </w:r>
            <w:r>
              <w:rPr>
                <w:b/>
                <w:bCs/>
                <w:sz w:val="20"/>
              </w:rPr>
              <w:t>embedded program</w:t>
            </w:r>
            <w:r>
              <w:rPr>
                <w:sz w:val="20"/>
              </w:rPr>
              <w:t xml:space="preserve"> that involves content based on concepts and topic areas in other key learning areas while allowing for content to be interpreted as appropriate for language learning. Through engagement in tasks with adequate adjustment to the </w:t>
            </w:r>
            <w:r>
              <w:rPr>
                <w:b/>
                <w:bCs/>
                <w:sz w:val="20"/>
              </w:rPr>
              <w:t>degree of challenge and support</w:t>
            </w:r>
            <w:r>
              <w:rPr>
                <w:sz w:val="20"/>
              </w:rPr>
              <w:t xml:space="preserve"> offered, learners are exposed to language and subject matter in an upwardly spiralling fashion. The fields enable students to consider issues of social and academic interest and accommodate the social contexts within which learners could be expected to use their language other than English.</w:t>
            </w:r>
          </w:p>
          <w:p w:rsidR="00BA3A23" w:rsidRDefault="00BA3A23">
            <w:pPr>
              <w:pStyle w:val="BodyText3"/>
              <w:spacing w:before="60" w:after="60"/>
              <w:rPr>
                <w:sz w:val="16"/>
              </w:rPr>
            </w:pPr>
          </w:p>
        </w:tc>
      </w:tr>
      <w:tr w:rsidR="00BA3A23">
        <w:tblPrEx>
          <w:tblCellMar>
            <w:top w:w="0" w:type="dxa"/>
            <w:bottom w:w="0" w:type="dxa"/>
          </w:tblCellMar>
        </w:tblPrEx>
        <w:trPr>
          <w:cantSplit/>
        </w:trPr>
        <w:tc>
          <w:tcPr>
            <w:tcW w:w="5004" w:type="dxa"/>
          </w:tcPr>
          <w:p w:rsidR="00BA3A23" w:rsidRDefault="00BA3A23">
            <w:pPr>
              <w:pStyle w:val="Heading2"/>
              <w:spacing w:before="60"/>
              <w:rPr>
                <w:sz w:val="22"/>
              </w:rPr>
            </w:pPr>
            <w:r>
              <w:rPr>
                <w:sz w:val="22"/>
              </w:rPr>
              <w:t xml:space="preserve">The </w:t>
            </w:r>
            <w:smartTag w:uri="urn:schemas-microsoft-com:office:smarttags" w:element="place">
              <w:r>
                <w:rPr>
                  <w:sz w:val="22"/>
                </w:rPr>
                <w:t>Strand</w:t>
              </w:r>
            </w:smartTag>
          </w:p>
          <w:p w:rsidR="00BA3A23" w:rsidRDefault="00BA3A23">
            <w:pPr>
              <w:pStyle w:val="BodyText3"/>
              <w:spacing w:before="60"/>
              <w:rPr>
                <w:bCs/>
                <w:sz w:val="20"/>
                <w:lang w:val="en-US"/>
              </w:rPr>
            </w:pPr>
            <w:r>
              <w:rPr>
                <w:sz w:val="20"/>
                <w:lang w:val="en-US"/>
              </w:rPr>
              <w:t xml:space="preserve">Learning outcomes of the Languages other than English key learning area are described in the single strand </w:t>
            </w:r>
            <w:r>
              <w:rPr>
                <w:b/>
                <w:sz w:val="20"/>
                <w:lang w:val="en-US"/>
              </w:rPr>
              <w:t>Communication</w:t>
            </w:r>
            <w:r>
              <w:rPr>
                <w:bCs/>
                <w:sz w:val="20"/>
                <w:lang w:val="en-US"/>
              </w:rPr>
              <w:t xml:space="preserve">. </w:t>
            </w:r>
          </w:p>
          <w:p w:rsidR="00BA3A23" w:rsidRDefault="00BA3A23">
            <w:pPr>
              <w:pStyle w:val="BodyText3"/>
              <w:spacing w:before="60"/>
              <w:rPr>
                <w:sz w:val="20"/>
                <w:lang w:val="en-US"/>
              </w:rPr>
            </w:pPr>
            <w:r>
              <w:rPr>
                <w:sz w:val="20"/>
                <w:lang w:val="en-US"/>
              </w:rPr>
              <w:t xml:space="preserve">The strand Communication indicates that learning </w:t>
            </w:r>
            <w:r>
              <w:rPr>
                <w:sz w:val="20"/>
              </w:rPr>
              <w:t xml:space="preserve">language </w:t>
            </w:r>
            <w:r>
              <w:rPr>
                <w:sz w:val="20"/>
                <w:lang w:val="en-US"/>
              </w:rPr>
              <w:t>is a holistic and purposeful undertaking with students engaged in listening and reading, speaking and writing about the world.</w:t>
            </w:r>
          </w:p>
          <w:p w:rsidR="00BA3A23" w:rsidRDefault="00BA3A23">
            <w:pPr>
              <w:pStyle w:val="BodyText3"/>
              <w:spacing w:before="60"/>
              <w:rPr>
                <w:sz w:val="20"/>
                <w:lang w:val="en-US"/>
              </w:rPr>
            </w:pPr>
            <w:r>
              <w:rPr>
                <w:sz w:val="20"/>
                <w:lang w:val="en-US"/>
              </w:rPr>
              <w:t>The strand has two organizers:</w:t>
            </w:r>
          </w:p>
          <w:p w:rsidR="00BA3A23" w:rsidRDefault="00BA3A23">
            <w:pPr>
              <w:pStyle w:val="BodyText3"/>
              <w:numPr>
                <w:ilvl w:val="0"/>
                <w:numId w:val="22"/>
              </w:numPr>
              <w:spacing w:before="60"/>
              <w:rPr>
                <w:bCs/>
                <w:sz w:val="20"/>
                <w:lang w:val="en-US"/>
              </w:rPr>
            </w:pPr>
            <w:r>
              <w:rPr>
                <w:b/>
                <w:sz w:val="20"/>
                <w:lang w:val="en-US"/>
              </w:rPr>
              <w:t>Comprehending</w:t>
            </w:r>
            <w:r>
              <w:rPr>
                <w:bCs/>
                <w:sz w:val="20"/>
                <w:lang w:val="en-US"/>
              </w:rPr>
              <w:t xml:space="preserve"> (listening, reading and socio-cultural understanding)</w:t>
            </w:r>
          </w:p>
          <w:p w:rsidR="00BA3A23" w:rsidRDefault="00BA3A23">
            <w:pPr>
              <w:pStyle w:val="BodyText3"/>
              <w:numPr>
                <w:ilvl w:val="0"/>
                <w:numId w:val="22"/>
              </w:numPr>
              <w:spacing w:before="60"/>
              <w:rPr>
                <w:bCs/>
                <w:sz w:val="20"/>
                <w:lang w:val="en-US"/>
              </w:rPr>
            </w:pPr>
            <w:r>
              <w:rPr>
                <w:b/>
                <w:sz w:val="20"/>
                <w:lang w:val="en-US"/>
              </w:rPr>
              <w:t>Composing</w:t>
            </w:r>
            <w:r>
              <w:rPr>
                <w:bCs/>
                <w:sz w:val="20"/>
                <w:lang w:val="en-US"/>
              </w:rPr>
              <w:t xml:space="preserve"> (speaking, writing and socio-cultural understanding)</w:t>
            </w:r>
          </w:p>
          <w:p w:rsidR="00BA3A23" w:rsidRDefault="00BA3A23">
            <w:pPr>
              <w:pStyle w:val="BodyText3"/>
              <w:spacing w:before="60"/>
              <w:rPr>
                <w:rFonts w:cs="Arial"/>
                <w:lang w:val="en-US"/>
              </w:rPr>
            </w:pPr>
            <w:r>
              <w:rPr>
                <w:bCs/>
                <w:sz w:val="20"/>
                <w:lang w:val="en-US"/>
              </w:rPr>
              <w:t>Emphasizing the comprehending and composing of language provides greater flexibility for core learning.</w:t>
            </w:r>
          </w:p>
        </w:tc>
        <w:tc>
          <w:tcPr>
            <w:tcW w:w="5004" w:type="dxa"/>
          </w:tcPr>
          <w:p w:rsidR="00BA3A23" w:rsidRDefault="00BA3A23">
            <w:pPr>
              <w:pStyle w:val="BodyText3"/>
              <w:spacing w:before="60"/>
              <w:rPr>
                <w:b/>
                <w:bCs/>
                <w:sz w:val="20"/>
              </w:rPr>
            </w:pPr>
            <w:r>
              <w:rPr>
                <w:b/>
                <w:bCs/>
              </w:rPr>
              <w:t>Outcomes</w:t>
            </w:r>
          </w:p>
          <w:p w:rsidR="00BA3A23" w:rsidRDefault="00BA3A23">
            <w:pPr>
              <w:pStyle w:val="BodyText3"/>
              <w:spacing w:before="60"/>
              <w:rPr>
                <w:sz w:val="20"/>
              </w:rPr>
            </w:pPr>
            <w:r>
              <w:rPr>
                <w:sz w:val="20"/>
              </w:rPr>
              <w:t>The syllabuses provide a framework for planning learning experiences and assessment tasks through which students have the opportunity to demonstrate what they know and can do. In their communication it is expected that students can:</w:t>
            </w:r>
          </w:p>
          <w:p w:rsidR="00BA3A23" w:rsidRDefault="00BA3A23">
            <w:pPr>
              <w:pStyle w:val="BodyText3"/>
              <w:numPr>
                <w:ilvl w:val="0"/>
                <w:numId w:val="21"/>
              </w:numPr>
              <w:spacing w:before="60"/>
              <w:rPr>
                <w:sz w:val="20"/>
              </w:rPr>
            </w:pPr>
            <w:r>
              <w:rPr>
                <w:sz w:val="20"/>
              </w:rPr>
              <w:t>use a range of linguistic features;</w:t>
            </w:r>
          </w:p>
          <w:p w:rsidR="00BA3A23" w:rsidRDefault="00BA3A23">
            <w:pPr>
              <w:pStyle w:val="BodyText3"/>
              <w:numPr>
                <w:ilvl w:val="0"/>
                <w:numId w:val="21"/>
              </w:numPr>
              <w:spacing w:before="60"/>
              <w:rPr>
                <w:sz w:val="20"/>
              </w:rPr>
            </w:pPr>
            <w:r>
              <w:rPr>
                <w:sz w:val="20"/>
              </w:rPr>
              <w:t>apply process skills and strategies to maintain discourse;</w:t>
            </w:r>
          </w:p>
          <w:p w:rsidR="00BA3A23" w:rsidRDefault="00BA3A23">
            <w:pPr>
              <w:pStyle w:val="BodyText3"/>
              <w:numPr>
                <w:ilvl w:val="0"/>
                <w:numId w:val="21"/>
              </w:numPr>
              <w:spacing w:before="60"/>
              <w:rPr>
                <w:sz w:val="20"/>
              </w:rPr>
            </w:pPr>
            <w:r>
              <w:rPr>
                <w:sz w:val="20"/>
              </w:rPr>
              <w:t>demonstrate cultural understanding and develop intercultural competence.</w:t>
            </w:r>
          </w:p>
          <w:p w:rsidR="00BA3A23" w:rsidRDefault="00BA3A23">
            <w:pPr>
              <w:pStyle w:val="BodyText3"/>
              <w:spacing w:before="60"/>
              <w:rPr>
                <w:sz w:val="20"/>
                <w:lang w:val="en-US"/>
              </w:rPr>
            </w:pPr>
            <w:r>
              <w:rPr>
                <w:sz w:val="20"/>
              </w:rPr>
              <w:t>The core learning outcomes describe a</w:t>
            </w:r>
            <w:r>
              <w:rPr>
                <w:b/>
                <w:bCs/>
                <w:sz w:val="20"/>
              </w:rPr>
              <w:t xml:space="preserve"> </w:t>
            </w:r>
            <w:r>
              <w:rPr>
                <w:sz w:val="20"/>
              </w:rPr>
              <w:t xml:space="preserve">progression of </w:t>
            </w:r>
            <w:r>
              <w:rPr>
                <w:b/>
                <w:bCs/>
                <w:sz w:val="20"/>
              </w:rPr>
              <w:t>language proficiency</w:t>
            </w:r>
            <w:r>
              <w:rPr>
                <w:sz w:val="20"/>
              </w:rPr>
              <w:t xml:space="preserve"> (Syllabus pp14-21). They are presented in order of increasing sophistication and complexity of language task demands. Students progress through the levels according to their </w:t>
            </w:r>
            <w:r>
              <w:rPr>
                <w:b/>
                <w:bCs/>
                <w:sz w:val="20"/>
              </w:rPr>
              <w:t>stage of learning</w:t>
            </w:r>
            <w:r>
              <w:rPr>
                <w:sz w:val="20"/>
              </w:rPr>
              <w:t xml:space="preserve">, not necessarily their year level. This acknowledges student mobility across schools and languages and means learning experiences are accessible to all students </w:t>
            </w:r>
            <w:r>
              <w:rPr>
                <w:bCs/>
                <w:sz w:val="20"/>
                <w:lang w:val="en-US"/>
              </w:rPr>
              <w:t>(Syllabus pp10 &amp; 13).</w:t>
            </w:r>
          </w:p>
        </w:tc>
      </w:tr>
    </w:tbl>
    <w:p w:rsidR="00BA3A23" w:rsidRDefault="00BA3A23">
      <w:pPr>
        <w:pStyle w:val="Heading1"/>
        <w:tabs>
          <w:tab w:val="right" w:pos="8306"/>
        </w:tabs>
        <w:rPr>
          <w:b w:val="0"/>
          <w:bCs w:val="0"/>
          <w:sz w:val="16"/>
        </w:rPr>
      </w:pPr>
    </w:p>
    <w:sectPr w:rsidR="00BA3A23" w:rsidSect="00BA3A23">
      <w:pgSz w:w="11906" w:h="16838"/>
      <w:pgMar w:top="719" w:right="1134" w:bottom="18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Garamond">
    <w:panose1 w:val="00000000000000000000"/>
    <w:charset w:val="00"/>
    <w:family w:val="auto"/>
    <w:notTrueType/>
    <w:pitch w:val="default"/>
    <w:sig w:usb0="00000003" w:usb1="00000000" w:usb2="00000000" w:usb3="00000000" w:csb0="00000001" w:csb1="00000000"/>
  </w:font>
  <w:font w:name="AGaramond Bol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57F"/>
    <w:multiLevelType w:val="hybridMultilevel"/>
    <w:tmpl w:val="985A2144"/>
    <w:lvl w:ilvl="0" w:tplc="0409000F">
      <w:start w:val="1"/>
      <w:numFmt w:val="decimal"/>
      <w:lvlText w:val="%1."/>
      <w:lvlJc w:val="left"/>
      <w:pPr>
        <w:tabs>
          <w:tab w:val="num" w:pos="720"/>
        </w:tabs>
        <w:ind w:left="720" w:hanging="360"/>
      </w:pPr>
      <w:rPr>
        <w:rFonts w:cs="Times New Roman"/>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032F98"/>
    <w:multiLevelType w:val="hybridMultilevel"/>
    <w:tmpl w:val="49747A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11766F"/>
    <w:multiLevelType w:val="hybridMultilevel"/>
    <w:tmpl w:val="AD12F66A"/>
    <w:lvl w:ilvl="0" w:tplc="7A8856C4">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1E32903"/>
    <w:multiLevelType w:val="hybridMultilevel"/>
    <w:tmpl w:val="7234BA10"/>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8C1217"/>
    <w:multiLevelType w:val="hybridMultilevel"/>
    <w:tmpl w:val="571079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7646F30"/>
    <w:multiLevelType w:val="hybridMultilevel"/>
    <w:tmpl w:val="985A2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90A23F8"/>
    <w:multiLevelType w:val="hybridMultilevel"/>
    <w:tmpl w:val="22AA1E1E"/>
    <w:lvl w:ilvl="0" w:tplc="98208664">
      <w:start w:val="1"/>
      <w:numFmt w:val="bullet"/>
      <w:lvlText w:val=""/>
      <w:lvlJc w:val="left"/>
      <w:pPr>
        <w:tabs>
          <w:tab w:val="num" w:pos="720"/>
        </w:tabs>
        <w:ind w:left="70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24C4CC3"/>
    <w:multiLevelType w:val="hybridMultilevel"/>
    <w:tmpl w:val="49B637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34815C4"/>
    <w:multiLevelType w:val="hybridMultilevel"/>
    <w:tmpl w:val="7234BA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72129A7"/>
    <w:multiLevelType w:val="hybridMultilevel"/>
    <w:tmpl w:val="7234BA10"/>
    <w:lvl w:ilvl="0" w:tplc="89CAAAF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C041C38"/>
    <w:multiLevelType w:val="hybridMultilevel"/>
    <w:tmpl w:val="7998406C"/>
    <w:lvl w:ilvl="0" w:tplc="45E4C156">
      <w:start w:val="1"/>
      <w:numFmt w:val="bullet"/>
      <w:lvlText w:val=""/>
      <w:lvlJc w:val="left"/>
      <w:pPr>
        <w:tabs>
          <w:tab w:val="num" w:pos="360"/>
        </w:tabs>
        <w:ind w:left="170" w:hanging="17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70D001B"/>
    <w:multiLevelType w:val="hybridMultilevel"/>
    <w:tmpl w:val="91E800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49F04CA2"/>
    <w:multiLevelType w:val="hybridMultilevel"/>
    <w:tmpl w:val="5E7C3E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1E57E62"/>
    <w:multiLevelType w:val="hybridMultilevel"/>
    <w:tmpl w:val="746024FA"/>
    <w:lvl w:ilvl="0" w:tplc="69BE1096">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6676589"/>
    <w:multiLevelType w:val="hybridMultilevel"/>
    <w:tmpl w:val="2BB29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CC54735"/>
    <w:multiLevelType w:val="hybridMultilevel"/>
    <w:tmpl w:val="2A0C86C4"/>
    <w:lvl w:ilvl="0" w:tplc="B7F84BAC">
      <w:start w:val="1"/>
      <w:numFmt w:val="bullet"/>
      <w:pStyle w:val="Point"/>
      <w:lvlText w:val=""/>
      <w:lvlJc w:val="left"/>
      <w:pPr>
        <w:tabs>
          <w:tab w:val="num" w:pos="2345"/>
        </w:tabs>
        <w:ind w:left="2296" w:hanging="311"/>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5860F69"/>
    <w:multiLevelType w:val="hybridMultilevel"/>
    <w:tmpl w:val="D0C80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68EC60A3"/>
    <w:multiLevelType w:val="hybridMultilevel"/>
    <w:tmpl w:val="4E3CA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E6D29CC"/>
    <w:multiLevelType w:val="hybridMultilevel"/>
    <w:tmpl w:val="22AA1E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7036245B"/>
    <w:multiLevelType w:val="hybridMultilevel"/>
    <w:tmpl w:val="E9B8CAF4"/>
    <w:lvl w:ilvl="0" w:tplc="D546975A">
      <w:start w:val="1"/>
      <w:numFmt w:val="bullet"/>
      <w:lvlText w:val=""/>
      <w:lvlJc w:val="left"/>
      <w:pPr>
        <w:tabs>
          <w:tab w:val="num" w:pos="360"/>
        </w:tabs>
        <w:ind w:left="340" w:hanging="34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713A0C6F"/>
    <w:multiLevelType w:val="hybridMultilevel"/>
    <w:tmpl w:val="7368E7FC"/>
    <w:lvl w:ilvl="0" w:tplc="45E4C156">
      <w:start w:val="1"/>
      <w:numFmt w:val="bullet"/>
      <w:lvlText w:val=""/>
      <w:lvlJc w:val="left"/>
      <w:pPr>
        <w:tabs>
          <w:tab w:val="num" w:pos="486"/>
        </w:tabs>
        <w:ind w:left="296" w:hanging="170"/>
      </w:pPr>
      <w:rPr>
        <w:rFonts w:ascii="Symbol" w:hAnsi="Symbol" w:hint="default"/>
      </w:rPr>
    </w:lvl>
    <w:lvl w:ilvl="1" w:tplc="04090003" w:tentative="1">
      <w:start w:val="1"/>
      <w:numFmt w:val="bullet"/>
      <w:lvlText w:val="o"/>
      <w:lvlJc w:val="left"/>
      <w:pPr>
        <w:tabs>
          <w:tab w:val="num" w:pos="1566"/>
        </w:tabs>
        <w:ind w:left="1566" w:hanging="360"/>
      </w:pPr>
      <w:rPr>
        <w:rFonts w:ascii="Courier New" w:hAnsi="Courier New" w:hint="default"/>
      </w:rPr>
    </w:lvl>
    <w:lvl w:ilvl="2" w:tplc="04090005" w:tentative="1">
      <w:start w:val="1"/>
      <w:numFmt w:val="bullet"/>
      <w:lvlText w:val=""/>
      <w:lvlJc w:val="left"/>
      <w:pPr>
        <w:tabs>
          <w:tab w:val="num" w:pos="2286"/>
        </w:tabs>
        <w:ind w:left="2286" w:hanging="360"/>
      </w:pPr>
      <w:rPr>
        <w:rFonts w:ascii="Wingdings" w:hAnsi="Wingdings" w:hint="default"/>
      </w:rPr>
    </w:lvl>
    <w:lvl w:ilvl="3" w:tplc="04090001" w:tentative="1">
      <w:start w:val="1"/>
      <w:numFmt w:val="bullet"/>
      <w:lvlText w:val=""/>
      <w:lvlJc w:val="left"/>
      <w:pPr>
        <w:tabs>
          <w:tab w:val="num" w:pos="3006"/>
        </w:tabs>
        <w:ind w:left="3006" w:hanging="360"/>
      </w:pPr>
      <w:rPr>
        <w:rFonts w:ascii="Symbol" w:hAnsi="Symbol" w:hint="default"/>
      </w:rPr>
    </w:lvl>
    <w:lvl w:ilvl="4" w:tplc="04090003" w:tentative="1">
      <w:start w:val="1"/>
      <w:numFmt w:val="bullet"/>
      <w:lvlText w:val="o"/>
      <w:lvlJc w:val="left"/>
      <w:pPr>
        <w:tabs>
          <w:tab w:val="num" w:pos="3726"/>
        </w:tabs>
        <w:ind w:left="3726" w:hanging="360"/>
      </w:pPr>
      <w:rPr>
        <w:rFonts w:ascii="Courier New" w:hAnsi="Courier New" w:hint="default"/>
      </w:rPr>
    </w:lvl>
    <w:lvl w:ilvl="5" w:tplc="04090005" w:tentative="1">
      <w:start w:val="1"/>
      <w:numFmt w:val="bullet"/>
      <w:lvlText w:val=""/>
      <w:lvlJc w:val="left"/>
      <w:pPr>
        <w:tabs>
          <w:tab w:val="num" w:pos="4446"/>
        </w:tabs>
        <w:ind w:left="4446" w:hanging="360"/>
      </w:pPr>
      <w:rPr>
        <w:rFonts w:ascii="Wingdings" w:hAnsi="Wingdings" w:hint="default"/>
      </w:rPr>
    </w:lvl>
    <w:lvl w:ilvl="6" w:tplc="04090001" w:tentative="1">
      <w:start w:val="1"/>
      <w:numFmt w:val="bullet"/>
      <w:lvlText w:val=""/>
      <w:lvlJc w:val="left"/>
      <w:pPr>
        <w:tabs>
          <w:tab w:val="num" w:pos="5166"/>
        </w:tabs>
        <w:ind w:left="5166" w:hanging="360"/>
      </w:pPr>
      <w:rPr>
        <w:rFonts w:ascii="Symbol" w:hAnsi="Symbol" w:hint="default"/>
      </w:rPr>
    </w:lvl>
    <w:lvl w:ilvl="7" w:tplc="04090003" w:tentative="1">
      <w:start w:val="1"/>
      <w:numFmt w:val="bullet"/>
      <w:lvlText w:val="o"/>
      <w:lvlJc w:val="left"/>
      <w:pPr>
        <w:tabs>
          <w:tab w:val="num" w:pos="5886"/>
        </w:tabs>
        <w:ind w:left="5886" w:hanging="360"/>
      </w:pPr>
      <w:rPr>
        <w:rFonts w:ascii="Courier New" w:hAnsi="Courier New" w:hint="default"/>
      </w:rPr>
    </w:lvl>
    <w:lvl w:ilvl="8" w:tplc="04090005" w:tentative="1">
      <w:start w:val="1"/>
      <w:numFmt w:val="bullet"/>
      <w:lvlText w:val=""/>
      <w:lvlJc w:val="left"/>
      <w:pPr>
        <w:tabs>
          <w:tab w:val="num" w:pos="6606"/>
        </w:tabs>
        <w:ind w:left="6606" w:hanging="360"/>
      </w:pPr>
      <w:rPr>
        <w:rFonts w:ascii="Wingdings" w:hAnsi="Wingdings" w:hint="default"/>
      </w:rPr>
    </w:lvl>
  </w:abstractNum>
  <w:abstractNum w:abstractNumId="21">
    <w:nsid w:val="74965DAA"/>
    <w:multiLevelType w:val="hybridMultilevel"/>
    <w:tmpl w:val="3B76B0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12"/>
  </w:num>
  <w:num w:numId="3">
    <w:abstractNumId w:val="21"/>
  </w:num>
  <w:num w:numId="4">
    <w:abstractNumId w:val="8"/>
  </w:num>
  <w:num w:numId="5">
    <w:abstractNumId w:val="11"/>
  </w:num>
  <w:num w:numId="6">
    <w:abstractNumId w:val="0"/>
  </w:num>
  <w:num w:numId="7">
    <w:abstractNumId w:val="17"/>
  </w:num>
  <w:num w:numId="8">
    <w:abstractNumId w:val="14"/>
  </w:num>
  <w:num w:numId="9">
    <w:abstractNumId w:val="16"/>
  </w:num>
  <w:num w:numId="10">
    <w:abstractNumId w:val="1"/>
  </w:num>
  <w:num w:numId="11">
    <w:abstractNumId w:val="6"/>
  </w:num>
  <w:num w:numId="12">
    <w:abstractNumId w:val="18"/>
  </w:num>
  <w:num w:numId="13">
    <w:abstractNumId w:val="4"/>
  </w:num>
  <w:num w:numId="14">
    <w:abstractNumId w:val="7"/>
  </w:num>
  <w:num w:numId="15">
    <w:abstractNumId w:val="9"/>
  </w:num>
  <w:num w:numId="16">
    <w:abstractNumId w:val="3"/>
  </w:num>
  <w:num w:numId="17">
    <w:abstractNumId w:val="15"/>
  </w:num>
  <w:num w:numId="18">
    <w:abstractNumId w:val="10"/>
  </w:num>
  <w:num w:numId="19">
    <w:abstractNumId w:val="20"/>
  </w:num>
  <w:num w:numId="20">
    <w:abstractNumId w:val="13"/>
  </w:num>
  <w:num w:numId="21">
    <w:abstractNumId w:val="19"/>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7350A"/>
    <w:rsid w:val="00BA3A23"/>
    <w:rsid w:val="00DB36B4"/>
    <w:rsid w:val="00E7350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forceUpgrade/>
  <w:smartTagType w:namespaceuri="urn:schemas-microsoft-com:office:smarttags" w:name="plac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pPr>
      <w:keepNext/>
      <w:outlineLvl w:val="0"/>
    </w:pPr>
    <w:rPr>
      <w:rFonts w:ascii="Arial" w:hAnsi="Arial" w:cs="Arial"/>
      <w:b/>
      <w:bCs/>
      <w:lang w:val="en-US"/>
    </w:rPr>
  </w:style>
  <w:style w:type="paragraph" w:styleId="Heading2">
    <w:name w:val="heading 2"/>
    <w:basedOn w:val="Normal"/>
    <w:next w:val="Normal"/>
    <w:link w:val="Heading2Char"/>
    <w:uiPriority w:val="9"/>
    <w:qFormat/>
    <w:pPr>
      <w:keepNext/>
      <w:outlineLvl w:val="1"/>
    </w:pPr>
    <w:rPr>
      <w:rFonts w:ascii="Arial" w:hAnsi="Arial" w:cs="Arial"/>
      <w:b/>
      <w:bCs/>
      <w:sz w:val="20"/>
    </w:rPr>
  </w:style>
  <w:style w:type="paragraph" w:styleId="Heading3">
    <w:name w:val="heading 3"/>
    <w:basedOn w:val="Normal"/>
    <w:next w:val="Normal"/>
    <w:link w:val="Heading3Char"/>
    <w:uiPriority w:val="9"/>
    <w:qFormat/>
    <w:pPr>
      <w:keepNext/>
      <w:outlineLvl w:val="2"/>
    </w:pPr>
    <w:rPr>
      <w:rFonts w:ascii="Arial" w:hAnsi="Arial" w:cs="Arial"/>
      <w:b/>
      <w:bCs/>
      <w:sz w:val="22"/>
    </w:rPr>
  </w:style>
  <w:style w:type="paragraph" w:styleId="Heading4">
    <w:name w:val="heading 4"/>
    <w:basedOn w:val="Normal"/>
    <w:next w:val="Normal"/>
    <w:link w:val="Heading4Char"/>
    <w:uiPriority w:val="9"/>
    <w:qFormat/>
    <w:pPr>
      <w:keepNext/>
      <w:widowControl w:val="0"/>
      <w:ind w:left="1134"/>
      <w:outlineLvl w:val="3"/>
    </w:pPr>
    <w:rPr>
      <w:rFonts w:ascii="Arial" w:hAnsi="Arial" w:cs="Arial"/>
      <w:b/>
      <w:sz w:val="22"/>
      <w:szCs w:val="20"/>
      <w:lang w:val="en-US"/>
    </w:rPr>
  </w:style>
  <w:style w:type="paragraph" w:styleId="Heading5">
    <w:name w:val="heading 5"/>
    <w:basedOn w:val="Normal"/>
    <w:next w:val="Normal"/>
    <w:link w:val="Heading5Char"/>
    <w:uiPriority w:val="9"/>
    <w:qFormat/>
    <w:pPr>
      <w:spacing w:before="200" w:after="60"/>
      <w:ind w:left="1985"/>
      <w:outlineLvl w:val="4"/>
    </w:pPr>
    <w:rPr>
      <w:rFonts w:ascii="Arial" w:hAnsi="Arial"/>
      <w:b/>
      <w:bCs/>
      <w:sz w:val="20"/>
      <w:szCs w:val="20"/>
    </w:rPr>
  </w:style>
  <w:style w:type="paragraph" w:styleId="Heading6">
    <w:name w:val="heading 6"/>
    <w:basedOn w:val="Normal"/>
    <w:next w:val="Normal"/>
    <w:link w:val="Heading6Char"/>
    <w:uiPriority w:val="9"/>
    <w:qFormat/>
    <w:pPr>
      <w:keepNext/>
      <w:jc w:val="center"/>
      <w:outlineLvl w:val="5"/>
    </w:pPr>
    <w:rPr>
      <w:rFonts w:ascii="Arial" w:hAnsi="Arial" w:cs="Arial"/>
      <w:b/>
      <w:bCs/>
      <w:sz w:val="18"/>
    </w:rPr>
  </w:style>
  <w:style w:type="paragraph" w:styleId="Heading7">
    <w:name w:val="heading 7"/>
    <w:basedOn w:val="Normal"/>
    <w:next w:val="Normal"/>
    <w:link w:val="Heading7Char"/>
    <w:uiPriority w:val="9"/>
    <w:qFormat/>
    <w:pPr>
      <w:keepNext/>
      <w:jc w:val="center"/>
      <w:outlineLvl w:val="6"/>
    </w:pPr>
    <w:rPr>
      <w:rFonts w:ascii="Arial" w:hAnsi="Arial" w:cs="Arial"/>
      <w:b/>
      <w:bCs/>
      <w:sz w:val="16"/>
    </w:rPr>
  </w:style>
  <w:style w:type="character" w:default="1" w:styleId="DefaultParagraphFont">
    <w:name w:val="Default Paragraph Font"/>
    <w:uiPriority w:val="1"/>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2C3B"/>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semiHidden/>
    <w:rsid w:val="00A42C3B"/>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uiPriority w:val="9"/>
    <w:semiHidden/>
    <w:rsid w:val="00A42C3B"/>
    <w:rPr>
      <w:rFonts w:asciiTheme="majorHAnsi" w:eastAsiaTheme="majorEastAsia" w:hAnsiTheme="majorHAnsi" w:cstheme="majorBidi"/>
      <w:b/>
      <w:bCs/>
      <w:color w:val="4F81BD" w:themeColor="accent1"/>
      <w:sz w:val="24"/>
      <w:szCs w:val="24"/>
      <w:lang w:eastAsia="en-US"/>
    </w:rPr>
  </w:style>
  <w:style w:type="character" w:customStyle="1" w:styleId="Heading4Char">
    <w:name w:val="Heading 4 Char"/>
    <w:basedOn w:val="DefaultParagraphFont"/>
    <w:link w:val="Heading4"/>
    <w:uiPriority w:val="9"/>
    <w:semiHidden/>
    <w:rsid w:val="00A42C3B"/>
    <w:rPr>
      <w:rFonts w:asciiTheme="majorHAnsi" w:eastAsiaTheme="majorEastAsia" w:hAnsiTheme="majorHAnsi" w:cstheme="majorBidi"/>
      <w:b/>
      <w:bCs/>
      <w:i/>
      <w:iCs/>
      <w:color w:val="4F81BD" w:themeColor="accent1"/>
      <w:sz w:val="24"/>
      <w:szCs w:val="24"/>
      <w:lang w:eastAsia="en-US"/>
    </w:rPr>
  </w:style>
  <w:style w:type="character" w:customStyle="1" w:styleId="Heading5Char">
    <w:name w:val="Heading 5 Char"/>
    <w:basedOn w:val="DefaultParagraphFont"/>
    <w:link w:val="Heading5"/>
    <w:uiPriority w:val="9"/>
    <w:semiHidden/>
    <w:rsid w:val="00A42C3B"/>
    <w:rPr>
      <w:rFonts w:asciiTheme="majorHAnsi" w:eastAsiaTheme="majorEastAsia" w:hAnsiTheme="majorHAnsi" w:cstheme="majorBidi"/>
      <w:color w:val="243F60" w:themeColor="accent1" w:themeShade="7F"/>
      <w:sz w:val="24"/>
      <w:szCs w:val="24"/>
      <w:lang w:eastAsia="en-US"/>
    </w:rPr>
  </w:style>
  <w:style w:type="character" w:customStyle="1" w:styleId="Heading6Char">
    <w:name w:val="Heading 6 Char"/>
    <w:basedOn w:val="DefaultParagraphFont"/>
    <w:link w:val="Heading6"/>
    <w:uiPriority w:val="9"/>
    <w:semiHidden/>
    <w:rsid w:val="00A42C3B"/>
    <w:rPr>
      <w:rFonts w:asciiTheme="majorHAnsi" w:eastAsiaTheme="majorEastAsia" w:hAnsiTheme="majorHAnsi" w:cstheme="majorBidi"/>
      <w:i/>
      <w:iCs/>
      <w:color w:val="243F60" w:themeColor="accent1" w:themeShade="7F"/>
      <w:sz w:val="24"/>
      <w:szCs w:val="24"/>
      <w:lang w:eastAsia="en-US"/>
    </w:rPr>
  </w:style>
  <w:style w:type="character" w:customStyle="1" w:styleId="Heading7Char">
    <w:name w:val="Heading 7 Char"/>
    <w:basedOn w:val="DefaultParagraphFont"/>
    <w:link w:val="Heading7"/>
    <w:uiPriority w:val="9"/>
    <w:semiHidden/>
    <w:rsid w:val="00A42C3B"/>
    <w:rPr>
      <w:rFonts w:asciiTheme="majorHAnsi" w:eastAsiaTheme="majorEastAsia" w:hAnsiTheme="majorHAnsi" w:cstheme="majorBidi"/>
      <w:i/>
      <w:iCs/>
      <w:color w:val="404040" w:themeColor="text1" w:themeTint="BF"/>
      <w:sz w:val="24"/>
      <w:szCs w:val="24"/>
      <w:lang w:eastAsia="en-US"/>
    </w:rPr>
  </w:style>
  <w:style w:type="paragraph" w:customStyle="1" w:styleId="BULLETSDOUBLEINDENT">
    <w:name w:val="BULLETS DOUBLE INDENT"/>
    <w:basedOn w:val="BULLETS"/>
    <w:pPr>
      <w:tabs>
        <w:tab w:val="left" w:pos="2154"/>
      </w:tabs>
      <w:ind w:left="2154" w:hanging="454"/>
    </w:pPr>
  </w:style>
  <w:style w:type="paragraph" w:customStyle="1" w:styleId="4PINK">
    <w:name w:val="4 PINK"/>
    <w:basedOn w:val="BODYCOPY"/>
    <w:next w:val="BODYCOPY"/>
    <w:rPr>
      <w:rFonts w:ascii="AGaramond Bold" w:hAnsi="AGaramond Bold"/>
    </w:rPr>
  </w:style>
  <w:style w:type="paragraph" w:customStyle="1" w:styleId="FIRSTLINE2">
    <w:name w:val="FIRST LINE 2"/>
    <w:basedOn w:val="BODYCOPY"/>
    <w:next w:val="BODYCOPY"/>
    <w:pPr>
      <w:spacing w:before="0"/>
    </w:pPr>
  </w:style>
  <w:style w:type="paragraph" w:customStyle="1" w:styleId="BULLETS">
    <w:name w:val="BULLETS"/>
    <w:basedOn w:val="BODYCOPY"/>
    <w:next w:val="BODYCOPY"/>
    <w:pPr>
      <w:tabs>
        <w:tab w:val="clear" w:pos="2041"/>
        <w:tab w:val="left" w:pos="1984"/>
      </w:tabs>
      <w:spacing w:before="57"/>
      <w:ind w:left="1984" w:hanging="284"/>
    </w:pPr>
  </w:style>
  <w:style w:type="paragraph" w:customStyle="1" w:styleId="BODYCOPY">
    <w:name w:val="BODYCOPY"/>
    <w:pPr>
      <w:widowControl w:val="0"/>
      <w:tabs>
        <w:tab w:val="left" w:pos="2041"/>
      </w:tabs>
      <w:autoSpaceDE w:val="0"/>
      <w:autoSpaceDN w:val="0"/>
      <w:adjustRightInd w:val="0"/>
      <w:spacing w:before="113" w:line="260" w:lineRule="atLeast"/>
      <w:ind w:left="1701"/>
    </w:pPr>
    <w:rPr>
      <w:rFonts w:ascii="AGaramond" w:hAnsi="AGaramond"/>
      <w:color w:val="061440"/>
      <w:sz w:val="22"/>
      <w:szCs w:val="22"/>
      <w:lang w:val="en-US" w:eastAsia="en-US"/>
    </w:rPr>
  </w:style>
  <w:style w:type="paragraph" w:styleId="BodyText">
    <w:name w:val="Body Text"/>
    <w:basedOn w:val="Normal"/>
    <w:link w:val="BodyTextChar"/>
    <w:uiPriority w:val="99"/>
    <w:rPr>
      <w:rFonts w:ascii="Arial" w:hAnsi="Arial" w:cs="Arial"/>
      <w:sz w:val="20"/>
    </w:rPr>
  </w:style>
  <w:style w:type="character" w:customStyle="1" w:styleId="BodyTextChar">
    <w:name w:val="Body Text Char"/>
    <w:basedOn w:val="DefaultParagraphFont"/>
    <w:link w:val="BodyText"/>
    <w:uiPriority w:val="99"/>
    <w:semiHidden/>
    <w:rsid w:val="00A42C3B"/>
    <w:rPr>
      <w:sz w:val="24"/>
      <w:szCs w:val="24"/>
      <w:lang w:eastAsia="en-US"/>
    </w:rPr>
  </w:style>
  <w:style w:type="paragraph" w:customStyle="1" w:styleId="Point">
    <w:name w:val="Point"/>
    <w:basedOn w:val="Normal"/>
    <w:pPr>
      <w:numPr>
        <w:numId w:val="17"/>
      </w:numPr>
      <w:tabs>
        <w:tab w:val="clear" w:pos="2345"/>
        <w:tab w:val="left" w:pos="126"/>
      </w:tabs>
      <w:ind w:left="125" w:hanging="125"/>
    </w:pPr>
    <w:rPr>
      <w:rFonts w:ascii="Arial" w:hAnsi="Arial"/>
      <w:sz w:val="18"/>
      <w:szCs w:val="20"/>
    </w:rPr>
  </w:style>
  <w:style w:type="paragraph" w:styleId="BodyTextIndent">
    <w:name w:val="Body Text Indent"/>
    <w:basedOn w:val="Normal"/>
    <w:link w:val="BodyTextIndentChar"/>
    <w:uiPriority w:val="99"/>
    <w:pPr>
      <w:tabs>
        <w:tab w:val="left" w:pos="8505"/>
      </w:tabs>
      <w:ind w:left="1985" w:right="45"/>
    </w:pPr>
    <w:rPr>
      <w:rFonts w:ascii="Arial" w:hAnsi="Arial"/>
      <w:sz w:val="20"/>
      <w:szCs w:val="20"/>
    </w:rPr>
  </w:style>
  <w:style w:type="character" w:customStyle="1" w:styleId="BodyTextIndentChar">
    <w:name w:val="Body Text Indent Char"/>
    <w:basedOn w:val="DefaultParagraphFont"/>
    <w:link w:val="BodyTextIndent"/>
    <w:uiPriority w:val="99"/>
    <w:semiHidden/>
    <w:rsid w:val="00A42C3B"/>
    <w:rPr>
      <w:sz w:val="24"/>
      <w:szCs w:val="24"/>
      <w:lang w:eastAsia="en-US"/>
    </w:rPr>
  </w:style>
  <w:style w:type="paragraph" w:styleId="BodyText2">
    <w:name w:val="Body Text 2"/>
    <w:basedOn w:val="Normal"/>
    <w:link w:val="BodyText2Char"/>
    <w:uiPriority w:val="99"/>
    <w:rPr>
      <w:rFonts w:ascii="Arial" w:hAnsi="Arial" w:cs="Arial"/>
      <w:b/>
      <w:sz w:val="20"/>
    </w:rPr>
  </w:style>
  <w:style w:type="character" w:customStyle="1" w:styleId="BodyText2Char">
    <w:name w:val="Body Text 2 Char"/>
    <w:basedOn w:val="DefaultParagraphFont"/>
    <w:link w:val="BodyText2"/>
    <w:uiPriority w:val="99"/>
    <w:semiHidden/>
    <w:rsid w:val="00A42C3B"/>
    <w:rPr>
      <w:sz w:val="24"/>
      <w:szCs w:val="24"/>
      <w:lang w:eastAsia="en-US"/>
    </w:rPr>
  </w:style>
  <w:style w:type="paragraph" w:styleId="BodyText3">
    <w:name w:val="Body Text 3"/>
    <w:basedOn w:val="Normal"/>
    <w:link w:val="BodyText3Char"/>
    <w:uiPriority w:val="99"/>
    <w:rPr>
      <w:rFonts w:ascii="Arial" w:hAnsi="Arial"/>
      <w:sz w:val="22"/>
      <w:szCs w:val="20"/>
    </w:rPr>
  </w:style>
  <w:style w:type="character" w:customStyle="1" w:styleId="BodyText3Char">
    <w:name w:val="Body Text 3 Char"/>
    <w:basedOn w:val="DefaultParagraphFont"/>
    <w:link w:val="BodyText3"/>
    <w:uiPriority w:val="99"/>
    <w:semiHidden/>
    <w:rsid w:val="00A42C3B"/>
    <w:rPr>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680</Words>
  <Characters>3882</Characters>
  <Application>Microsoft Office Outlook</Application>
  <DocSecurity>0</DocSecurity>
  <Lines>0</Lines>
  <Paragraphs>0</Paragraphs>
  <ScaleCrop>false</ScaleCrop>
  <Company>Queensland Studies Authority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Languages Other Than English Years 4 – 10 Syllabus (2000)</dc:title>
  <dc:subject>Nature of the Key Learning Area</dc:subject>
  <dc:creator>QSA</dc:creator>
  <cp:keywords/>
  <dc:description/>
  <cp:lastModifiedBy>Nadine Jacobson</cp:lastModifiedBy>
  <cp:revision>3</cp:revision>
  <cp:lastPrinted>2003-10-07T03:29:00Z</cp:lastPrinted>
  <dcterms:created xsi:type="dcterms:W3CDTF">2007-10-02T03:14:00Z</dcterms:created>
  <dcterms:modified xsi:type="dcterms:W3CDTF">2007-10-02T03:19:00Z</dcterms:modified>
</cp:coreProperties>
</file>