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D8" w:rsidRDefault="004F5A94">
      <w:pPr>
        <w:pStyle w:val="Heading1"/>
        <w:tabs>
          <w:tab w:val="right" w:pos="8306"/>
        </w:tabs>
        <w:rPr>
          <w:sz w:val="28"/>
        </w:rPr>
      </w:pPr>
      <w:r>
        <w:rPr>
          <w:noProof/>
          <w:sz w:val="28"/>
          <w:lang w:val="en-AU" w:eastAsia="en-AU"/>
        </w:rPr>
        <w:drawing>
          <wp:anchor distT="0" distB="0" distL="114300" distR="114300" simplePos="0" relativeHeight="251657728" behindDoc="0" locked="0" layoutInCell="1" allowOverlap="1">
            <wp:simplePos x="0" y="0"/>
            <wp:positionH relativeFrom="column">
              <wp:align>right</wp:align>
            </wp:positionH>
            <wp:positionV relativeFrom="paragraph">
              <wp:posOffset>-188595</wp:posOffset>
            </wp:positionV>
            <wp:extent cx="953770" cy="760095"/>
            <wp:effectExtent l="0" t="0" r="0" b="1905"/>
            <wp:wrapNone/>
            <wp:docPr id="2" name="Picture 2" descr="Queensland Studi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land Studies Author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770" cy="760095"/>
                    </a:xfrm>
                    <a:prstGeom prst="rect">
                      <a:avLst/>
                    </a:prstGeom>
                    <a:noFill/>
                  </pic:spPr>
                </pic:pic>
              </a:graphicData>
            </a:graphic>
            <wp14:sizeRelH relativeFrom="page">
              <wp14:pctWidth>0</wp14:pctWidth>
            </wp14:sizeRelH>
            <wp14:sizeRelV relativeFrom="page">
              <wp14:pctHeight>0</wp14:pctHeight>
            </wp14:sizeRelV>
          </wp:anchor>
        </w:drawing>
      </w:r>
      <w:r w:rsidR="00882FD8">
        <w:rPr>
          <w:sz w:val="28"/>
        </w:rPr>
        <w:t>The Arts Years 1 – 10 Syllabus</w:t>
      </w:r>
    </w:p>
    <w:p w:rsidR="00882FD8" w:rsidRDefault="00882FD8">
      <w:pPr>
        <w:pStyle w:val="Heading2"/>
      </w:pPr>
    </w:p>
    <w:p w:rsidR="00882FD8" w:rsidRDefault="00882FD8">
      <w:pPr>
        <w:pStyle w:val="Heading2"/>
        <w:spacing w:before="240" w:after="120"/>
        <w:rPr>
          <w:sz w:val="18"/>
        </w:rPr>
      </w:pPr>
      <w:r>
        <w:rPr>
          <w:sz w:val="22"/>
        </w:rPr>
        <w:t>Nature of the Key Learning Area</w:t>
      </w:r>
    </w:p>
    <w:tbl>
      <w:tblPr>
        <w:tblW w:w="0" w:type="auto"/>
        <w:tblInd w:w="108" w:type="dxa"/>
        <w:tblLook w:val="0000" w:firstRow="0" w:lastRow="0" w:firstColumn="0" w:lastColumn="0" w:noHBand="0" w:noVBand="0"/>
      </w:tblPr>
      <w:tblGrid>
        <w:gridCol w:w="4860"/>
        <w:gridCol w:w="4860"/>
      </w:tblGrid>
      <w:tr w:rsidR="00882FD8">
        <w:tblPrEx>
          <w:tblCellMar>
            <w:top w:w="0" w:type="dxa"/>
            <w:bottom w:w="0" w:type="dxa"/>
          </w:tblCellMar>
        </w:tblPrEx>
        <w:trPr>
          <w:cantSplit/>
        </w:trPr>
        <w:tc>
          <w:tcPr>
            <w:tcW w:w="9720" w:type="dxa"/>
            <w:gridSpan w:val="2"/>
          </w:tcPr>
          <w:p w:rsidR="00882FD8" w:rsidRDefault="00882FD8">
            <w:pPr>
              <w:pStyle w:val="BodyText3"/>
              <w:rPr>
                <w:sz w:val="18"/>
              </w:rPr>
            </w:pPr>
            <w:r>
              <w:rPr>
                <w:sz w:val="18"/>
              </w:rPr>
              <w:t>The Years 1 to 10 The Arts key learning area encompasses those artistic pursuits that express and communicate what it is to be human through Dance, Drama, Media, Music and Visual Arts. Through these five distinct and separate disciplines, we develop, share and pass on understandings of ourselves, our histories, our cultures and our worlds to future generations. The arts, separately and collectively, can balance and enrich student experience by fostering unique and significant skills and understandings.</w:t>
            </w:r>
          </w:p>
        </w:tc>
      </w:tr>
      <w:tr w:rsidR="00882FD8">
        <w:tblPrEx>
          <w:tblCellMar>
            <w:top w:w="0" w:type="dxa"/>
            <w:bottom w:w="0" w:type="dxa"/>
          </w:tblCellMar>
        </w:tblPrEx>
        <w:tc>
          <w:tcPr>
            <w:tcW w:w="4860" w:type="dxa"/>
          </w:tcPr>
          <w:p w:rsidR="00882FD8" w:rsidRDefault="00882FD8">
            <w:pPr>
              <w:pStyle w:val="Heading2"/>
              <w:spacing w:before="60"/>
              <w:rPr>
                <w:sz w:val="22"/>
                <w:lang w:val="en-US"/>
              </w:rPr>
            </w:pPr>
            <w:r>
              <w:rPr>
                <w:sz w:val="22"/>
                <w:lang w:val="en-US"/>
              </w:rPr>
              <w:t>The key messages of the syllabus</w:t>
            </w:r>
          </w:p>
          <w:p w:rsidR="00882FD8" w:rsidRDefault="00882FD8">
            <w:pPr>
              <w:pStyle w:val="BodyText3"/>
              <w:numPr>
                <w:ilvl w:val="12"/>
                <w:numId w:val="0"/>
              </w:numPr>
              <w:tabs>
                <w:tab w:val="left" w:pos="7797"/>
                <w:tab w:val="left" w:pos="7938"/>
              </w:tabs>
              <w:rPr>
                <w:sz w:val="18"/>
                <w:lang w:val="en-US"/>
              </w:rPr>
            </w:pPr>
            <w:r>
              <w:rPr>
                <w:sz w:val="18"/>
                <w:lang w:val="en-US"/>
              </w:rPr>
              <w:t>Learning in The Arts involves aesthetic and sensory, cognitive, physical and social learning.</w:t>
            </w:r>
          </w:p>
          <w:p w:rsidR="00882FD8" w:rsidRDefault="00882FD8">
            <w:pPr>
              <w:pStyle w:val="Heading4"/>
              <w:spacing w:before="60"/>
              <w:ind w:left="0"/>
              <w:rPr>
                <w:sz w:val="18"/>
              </w:rPr>
            </w:pPr>
            <w:r>
              <w:rPr>
                <w:sz w:val="18"/>
              </w:rPr>
              <w:t xml:space="preserve">Aesthetic and sensory learning </w:t>
            </w:r>
            <w:r>
              <w:rPr>
                <w:b w:val="0"/>
                <w:bCs/>
                <w:sz w:val="18"/>
              </w:rPr>
              <w:t>involves</w:t>
            </w:r>
          </w:p>
          <w:p w:rsidR="00882FD8" w:rsidRDefault="00882FD8">
            <w:pPr>
              <w:pStyle w:val="Point"/>
              <w:tabs>
                <w:tab w:val="left" w:pos="180"/>
                <w:tab w:val="num" w:pos="2345"/>
              </w:tabs>
              <w:ind w:left="180" w:hanging="180"/>
              <w:rPr>
                <w:rFonts w:cs="Arial"/>
              </w:rPr>
            </w:pPr>
            <w:r>
              <w:t xml:space="preserve">engaging the senses cognitively, physically and affectively to enable students to understand the aesthetics of their own and others’ cultures </w:t>
            </w:r>
          </w:p>
          <w:p w:rsidR="00882FD8" w:rsidRDefault="00882FD8">
            <w:pPr>
              <w:pStyle w:val="Point"/>
              <w:tabs>
                <w:tab w:val="left" w:pos="180"/>
                <w:tab w:val="num" w:pos="2345"/>
              </w:tabs>
              <w:ind w:left="180" w:hanging="180"/>
              <w:rPr>
                <w:rFonts w:cs="Arial"/>
              </w:rPr>
            </w:pPr>
            <w:r>
              <w:t xml:space="preserve">enjoying, responding to and making judgments about experiences </w:t>
            </w:r>
          </w:p>
          <w:p w:rsidR="00882FD8" w:rsidRDefault="00882FD8">
            <w:pPr>
              <w:pStyle w:val="Point"/>
              <w:tabs>
                <w:tab w:val="left" w:pos="180"/>
                <w:tab w:val="num" w:pos="2345"/>
              </w:tabs>
              <w:ind w:left="180" w:hanging="180"/>
              <w:rPr>
                <w:rFonts w:cs="Arial"/>
              </w:rPr>
            </w:pPr>
            <w:r>
              <w:t>interacting with the sensory aspects of the world</w:t>
            </w:r>
          </w:p>
          <w:p w:rsidR="00882FD8" w:rsidRDefault="00882FD8">
            <w:pPr>
              <w:pStyle w:val="Point"/>
              <w:tabs>
                <w:tab w:val="left" w:pos="180"/>
              </w:tabs>
              <w:ind w:left="180" w:hanging="180"/>
            </w:pPr>
            <w:proofErr w:type="gramStart"/>
            <w:r>
              <w:t>applying</w:t>
            </w:r>
            <w:proofErr w:type="gramEnd"/>
            <w:r>
              <w:t xml:space="preserve"> sensory awareness and discrimination.</w:t>
            </w:r>
          </w:p>
          <w:p w:rsidR="00882FD8" w:rsidRDefault="00882FD8">
            <w:pPr>
              <w:pStyle w:val="BodyTextIndent"/>
              <w:tabs>
                <w:tab w:val="left" w:pos="180"/>
              </w:tabs>
              <w:spacing w:before="60"/>
              <w:ind w:left="181" w:hanging="181"/>
              <w:rPr>
                <w:sz w:val="18"/>
              </w:rPr>
            </w:pPr>
            <w:r>
              <w:rPr>
                <w:b/>
                <w:bCs/>
                <w:sz w:val="18"/>
              </w:rPr>
              <w:t>Physical learning</w:t>
            </w:r>
            <w:r>
              <w:rPr>
                <w:sz w:val="18"/>
              </w:rPr>
              <w:t xml:space="preserve"> involves:</w:t>
            </w:r>
          </w:p>
          <w:p w:rsidR="00882FD8" w:rsidRDefault="00882FD8">
            <w:pPr>
              <w:pStyle w:val="Point"/>
              <w:tabs>
                <w:tab w:val="left" w:pos="180"/>
                <w:tab w:val="num" w:pos="2345"/>
              </w:tabs>
              <w:ind w:left="180" w:hanging="180"/>
              <w:rPr>
                <w:rFonts w:cs="Arial"/>
              </w:rPr>
            </w:pPr>
            <w:r>
              <w:t>control and mastery through repetition and practice that develops muscle memory</w:t>
            </w:r>
          </w:p>
          <w:p w:rsidR="00882FD8" w:rsidRDefault="00882FD8">
            <w:pPr>
              <w:pStyle w:val="Point"/>
              <w:tabs>
                <w:tab w:val="left" w:pos="180"/>
                <w:tab w:val="num" w:pos="2345"/>
              </w:tabs>
              <w:ind w:left="180" w:hanging="180"/>
              <w:rPr>
                <w:rFonts w:cs="Arial"/>
              </w:rPr>
            </w:pPr>
            <w:r>
              <w:t xml:space="preserve">fine and gross motor skills, coordination and spatial awareness </w:t>
            </w:r>
          </w:p>
          <w:p w:rsidR="00882FD8" w:rsidRDefault="00882FD8">
            <w:pPr>
              <w:pStyle w:val="Point"/>
              <w:tabs>
                <w:tab w:val="left" w:pos="180"/>
                <w:tab w:val="num" w:pos="2345"/>
              </w:tabs>
              <w:spacing w:after="60"/>
              <w:ind w:left="181" w:hanging="181"/>
            </w:pPr>
            <w:proofErr w:type="gramStart"/>
            <w:r>
              <w:t>physical</w:t>
            </w:r>
            <w:proofErr w:type="gramEnd"/>
            <w:r>
              <w:t xml:space="preserve"> skills and techniques relevant to arts disciplines.</w:t>
            </w:r>
          </w:p>
        </w:tc>
        <w:tc>
          <w:tcPr>
            <w:tcW w:w="4860" w:type="dxa"/>
          </w:tcPr>
          <w:p w:rsidR="00882FD8" w:rsidRDefault="00882FD8">
            <w:pPr>
              <w:pStyle w:val="BodyTextIndent"/>
              <w:tabs>
                <w:tab w:val="left" w:pos="180"/>
              </w:tabs>
              <w:spacing w:before="60"/>
              <w:ind w:left="0"/>
              <w:rPr>
                <w:sz w:val="18"/>
              </w:rPr>
            </w:pPr>
            <w:r>
              <w:rPr>
                <w:b/>
                <w:bCs/>
                <w:sz w:val="18"/>
              </w:rPr>
              <w:t>Cognitive learning</w:t>
            </w:r>
            <w:r>
              <w:rPr>
                <w:sz w:val="18"/>
              </w:rPr>
              <w:t xml:space="preserve"> involves:</w:t>
            </w:r>
          </w:p>
          <w:p w:rsidR="00882FD8" w:rsidRDefault="00882FD8">
            <w:pPr>
              <w:pStyle w:val="Point"/>
              <w:tabs>
                <w:tab w:val="left" w:pos="239"/>
                <w:tab w:val="num" w:pos="2345"/>
              </w:tabs>
              <w:ind w:left="239" w:hanging="239"/>
              <w:rPr>
                <w:rFonts w:cs="Arial"/>
              </w:rPr>
            </w:pPr>
            <w:r>
              <w:t>using complex thinking skills and problem-solving and research skills, some of which are used in all learning and some of which are discipline specific</w:t>
            </w:r>
          </w:p>
          <w:p w:rsidR="00882FD8" w:rsidRDefault="00882FD8">
            <w:pPr>
              <w:pStyle w:val="Point"/>
              <w:tabs>
                <w:tab w:val="left" w:pos="239"/>
                <w:tab w:val="num" w:pos="2345"/>
              </w:tabs>
              <w:ind w:left="239" w:hanging="239"/>
              <w:rPr>
                <w:rFonts w:cs="Arial"/>
              </w:rPr>
            </w:pPr>
            <w:r>
              <w:t xml:space="preserve">developing intuitive, creative and imaginative abilities </w:t>
            </w:r>
          </w:p>
          <w:p w:rsidR="00882FD8" w:rsidRDefault="00882FD8">
            <w:pPr>
              <w:pStyle w:val="Point"/>
              <w:tabs>
                <w:tab w:val="left" w:pos="239"/>
                <w:tab w:val="num" w:pos="2345"/>
              </w:tabs>
              <w:ind w:left="239" w:hanging="239"/>
              <w:rPr>
                <w:rFonts w:cs="Arial"/>
              </w:rPr>
            </w:pPr>
            <w:r>
              <w:t>knowing procedures and skills and automatically and rapidly applying thought processes</w:t>
            </w:r>
          </w:p>
          <w:p w:rsidR="00882FD8" w:rsidRDefault="00882FD8">
            <w:pPr>
              <w:pStyle w:val="Point"/>
              <w:tabs>
                <w:tab w:val="left" w:pos="239"/>
              </w:tabs>
              <w:ind w:left="239" w:hanging="239"/>
            </w:pPr>
            <w:proofErr w:type="gramStart"/>
            <w:r>
              <w:t>using</w:t>
            </w:r>
            <w:proofErr w:type="gramEnd"/>
            <w:r>
              <w:t xml:space="preserve"> the techniques, symbol systems and processes that are central to each of the arts. </w:t>
            </w:r>
          </w:p>
          <w:p w:rsidR="00882FD8" w:rsidRDefault="00882FD8">
            <w:pPr>
              <w:pStyle w:val="BodyTextIndent"/>
              <w:tabs>
                <w:tab w:val="left" w:pos="180"/>
                <w:tab w:val="left" w:pos="2340"/>
                <w:tab w:val="left" w:pos="2700"/>
              </w:tabs>
              <w:spacing w:before="60"/>
              <w:ind w:left="181" w:hanging="181"/>
              <w:rPr>
                <w:sz w:val="18"/>
              </w:rPr>
            </w:pPr>
            <w:r>
              <w:rPr>
                <w:b/>
                <w:bCs/>
                <w:sz w:val="18"/>
              </w:rPr>
              <w:t>Social learning</w:t>
            </w:r>
            <w:r>
              <w:rPr>
                <w:sz w:val="18"/>
              </w:rPr>
              <w:t xml:space="preserve"> involves:</w:t>
            </w:r>
          </w:p>
          <w:p w:rsidR="00882FD8" w:rsidRDefault="00882FD8">
            <w:pPr>
              <w:pStyle w:val="Point"/>
              <w:tabs>
                <w:tab w:val="left" w:pos="180"/>
                <w:tab w:val="left" w:pos="2340"/>
                <w:tab w:val="left" w:pos="2700"/>
              </w:tabs>
              <w:ind w:left="180" w:hanging="180"/>
              <w:rPr>
                <w:rFonts w:cs="Arial"/>
              </w:rPr>
            </w:pPr>
            <w:r>
              <w:t>interactive skills and confidence in social situations</w:t>
            </w:r>
          </w:p>
          <w:p w:rsidR="00882FD8" w:rsidRDefault="00882FD8">
            <w:pPr>
              <w:pStyle w:val="Point"/>
              <w:tabs>
                <w:tab w:val="left" w:pos="180"/>
                <w:tab w:val="left" w:pos="2340"/>
                <w:tab w:val="left" w:pos="2700"/>
              </w:tabs>
              <w:ind w:left="180" w:hanging="180"/>
              <w:rPr>
                <w:rFonts w:cs="Arial"/>
              </w:rPr>
            </w:pPr>
            <w:r>
              <w:t>group dynamics and negotiating within groups as students work towards a shared goal</w:t>
            </w:r>
          </w:p>
          <w:p w:rsidR="00882FD8" w:rsidRDefault="00882FD8">
            <w:pPr>
              <w:pStyle w:val="Point"/>
              <w:tabs>
                <w:tab w:val="left" w:pos="180"/>
                <w:tab w:val="left" w:pos="2340"/>
                <w:tab w:val="left" w:pos="2700"/>
              </w:tabs>
              <w:spacing w:after="60"/>
              <w:ind w:left="181" w:hanging="181"/>
              <w:rPr>
                <w:b/>
                <w:bCs/>
              </w:rPr>
            </w:pPr>
            <w:proofErr w:type="gramStart"/>
            <w:r>
              <w:t>personal</w:t>
            </w:r>
            <w:proofErr w:type="gramEnd"/>
            <w:r>
              <w:t xml:space="preserve"> feelings and emotional responses when engaging in and reflecting on arts experiences.</w:t>
            </w:r>
          </w:p>
        </w:tc>
      </w:tr>
      <w:tr w:rsidR="00882FD8">
        <w:tblPrEx>
          <w:tblCellMar>
            <w:top w:w="0" w:type="dxa"/>
            <w:bottom w:w="0" w:type="dxa"/>
          </w:tblCellMar>
        </w:tblPrEx>
        <w:tc>
          <w:tcPr>
            <w:tcW w:w="4860" w:type="dxa"/>
          </w:tcPr>
          <w:p w:rsidR="00882FD8" w:rsidRDefault="00882FD8">
            <w:pPr>
              <w:pStyle w:val="Heading2"/>
              <w:spacing w:before="60"/>
              <w:rPr>
                <w:sz w:val="22"/>
              </w:rPr>
            </w:pPr>
            <w:r>
              <w:rPr>
                <w:sz w:val="22"/>
              </w:rPr>
              <w:t>The Strands</w:t>
            </w:r>
          </w:p>
          <w:p w:rsidR="00882FD8" w:rsidRDefault="00882FD8">
            <w:pPr>
              <w:pStyle w:val="Heading5"/>
              <w:spacing w:before="60" w:after="0"/>
              <w:ind w:left="0"/>
              <w:rPr>
                <w:sz w:val="18"/>
              </w:rPr>
            </w:pPr>
            <w:r>
              <w:rPr>
                <w:sz w:val="18"/>
              </w:rPr>
              <w:t>Dance</w:t>
            </w:r>
          </w:p>
          <w:p w:rsidR="00882FD8" w:rsidRDefault="00882FD8">
            <w:pPr>
              <w:pStyle w:val="Point"/>
              <w:ind w:left="126" w:hanging="126"/>
            </w:pPr>
            <w:r>
              <w:t>Students use movement and gesture to capture and convey ideas, images and feelings.</w:t>
            </w:r>
          </w:p>
          <w:p w:rsidR="00882FD8" w:rsidRDefault="00882FD8">
            <w:pPr>
              <w:pStyle w:val="Point"/>
              <w:ind w:left="126" w:hanging="126"/>
            </w:pPr>
            <w:r>
              <w:t>The focus is on using the human body as a means of expression and communication.</w:t>
            </w:r>
          </w:p>
          <w:p w:rsidR="00882FD8" w:rsidRDefault="00882FD8">
            <w:pPr>
              <w:pStyle w:val="Point"/>
              <w:ind w:left="126" w:hanging="126"/>
            </w:pPr>
            <w:r>
              <w:t xml:space="preserve">Dance learning outcomes are organised in terms of the interrelated and complementary processes of </w:t>
            </w:r>
            <w:r>
              <w:rPr>
                <w:b/>
                <w:bCs/>
              </w:rPr>
              <w:t>choreographing, performing and appreciating</w:t>
            </w:r>
            <w:r>
              <w:t>.</w:t>
            </w:r>
          </w:p>
          <w:p w:rsidR="00882FD8" w:rsidRDefault="00882FD8">
            <w:pPr>
              <w:pStyle w:val="Heading5"/>
              <w:spacing w:before="60" w:after="0"/>
              <w:ind w:left="0"/>
              <w:rPr>
                <w:sz w:val="18"/>
              </w:rPr>
            </w:pPr>
            <w:r>
              <w:rPr>
                <w:sz w:val="18"/>
              </w:rPr>
              <w:t>Drama</w:t>
            </w:r>
          </w:p>
          <w:p w:rsidR="00882FD8" w:rsidRDefault="00882FD8">
            <w:pPr>
              <w:pStyle w:val="Point"/>
            </w:pPr>
            <w:r>
              <w:t>Students express and communicate their understandings about human issues and experiences through enacting real and imagined events.</w:t>
            </w:r>
          </w:p>
          <w:p w:rsidR="00882FD8" w:rsidRDefault="00882FD8">
            <w:pPr>
              <w:pStyle w:val="Point"/>
            </w:pPr>
            <w:r>
              <w:t>They interact in a range of roles, relationships, situations and contexts.</w:t>
            </w:r>
          </w:p>
          <w:p w:rsidR="00882FD8" w:rsidRDefault="00882FD8">
            <w:pPr>
              <w:pStyle w:val="Point"/>
            </w:pPr>
            <w:r>
              <w:t>They investigate feelings, actions and consequences.</w:t>
            </w:r>
          </w:p>
          <w:p w:rsidR="00882FD8" w:rsidRDefault="00882FD8">
            <w:pPr>
              <w:pStyle w:val="Point"/>
            </w:pPr>
            <w:r>
              <w:t xml:space="preserve">Drama learning outcomes are organised in terms of the interrelated and complementary processes of </w:t>
            </w:r>
            <w:r>
              <w:rPr>
                <w:b/>
                <w:bCs/>
              </w:rPr>
              <w:t>forming, presenting and responding</w:t>
            </w:r>
            <w:r>
              <w:t>.</w:t>
            </w:r>
          </w:p>
          <w:p w:rsidR="00882FD8" w:rsidRDefault="00882FD8">
            <w:pPr>
              <w:pStyle w:val="Heading5"/>
              <w:spacing w:before="60" w:after="0"/>
              <w:ind w:left="0"/>
              <w:rPr>
                <w:sz w:val="18"/>
              </w:rPr>
            </w:pPr>
            <w:r>
              <w:rPr>
                <w:sz w:val="18"/>
              </w:rPr>
              <w:t>Media</w:t>
            </w:r>
          </w:p>
          <w:p w:rsidR="00882FD8" w:rsidRDefault="00882FD8">
            <w:pPr>
              <w:pStyle w:val="Point"/>
              <w:ind w:left="126" w:hanging="126"/>
            </w:pPr>
            <w:r>
              <w:t>Students create media for audiences using still and moving images, words and sounds.</w:t>
            </w:r>
          </w:p>
          <w:p w:rsidR="00882FD8" w:rsidRDefault="00882FD8">
            <w:pPr>
              <w:pStyle w:val="Point"/>
              <w:ind w:left="126" w:hanging="126"/>
            </w:pPr>
            <w:r>
              <w:t>They become active and critical media users, exploring who produces the media and for what purposes.</w:t>
            </w:r>
          </w:p>
          <w:p w:rsidR="00882FD8" w:rsidRDefault="00882FD8">
            <w:pPr>
              <w:pStyle w:val="Point"/>
              <w:ind w:left="126" w:hanging="126"/>
              <w:rPr>
                <w:rFonts w:cs="Arial"/>
                <w:lang w:val="en-US"/>
              </w:rPr>
            </w:pPr>
            <w:r>
              <w:t>The focus is on deepening their pleasure of creating and enjoying media.</w:t>
            </w:r>
          </w:p>
        </w:tc>
        <w:tc>
          <w:tcPr>
            <w:tcW w:w="4860" w:type="dxa"/>
          </w:tcPr>
          <w:p w:rsidR="00882FD8" w:rsidRDefault="00882FD8">
            <w:pPr>
              <w:pStyle w:val="Point"/>
              <w:spacing w:before="60"/>
            </w:pPr>
            <w:r>
              <w:t xml:space="preserve">Media learning outcomes are organised in terms of the interrelated and complementary processes of </w:t>
            </w:r>
            <w:r>
              <w:rPr>
                <w:b/>
                <w:bCs/>
              </w:rPr>
              <w:t>constructing media, producing meaning and responding to meanings</w:t>
            </w:r>
            <w:r>
              <w:t>.</w:t>
            </w:r>
          </w:p>
          <w:p w:rsidR="00882FD8" w:rsidRDefault="00882FD8">
            <w:pPr>
              <w:pStyle w:val="Heading5"/>
              <w:spacing w:before="60" w:after="0"/>
              <w:ind w:left="0"/>
              <w:rPr>
                <w:sz w:val="18"/>
              </w:rPr>
            </w:pPr>
            <w:r>
              <w:rPr>
                <w:sz w:val="18"/>
              </w:rPr>
              <w:t>Music</w:t>
            </w:r>
          </w:p>
          <w:p w:rsidR="00882FD8" w:rsidRDefault="00882FD8">
            <w:pPr>
              <w:pStyle w:val="Point"/>
              <w:ind w:left="126" w:hanging="126"/>
            </w:pPr>
            <w:r>
              <w:t>Students make music and develop the ability to think and express themselves in sound.</w:t>
            </w:r>
          </w:p>
          <w:p w:rsidR="00882FD8" w:rsidRDefault="00882FD8">
            <w:pPr>
              <w:pStyle w:val="Point"/>
              <w:ind w:left="126" w:hanging="126"/>
            </w:pPr>
            <w:r>
              <w:t>They learn to recognise and interpret musical, emotional, spiritual and expressive content in music.</w:t>
            </w:r>
          </w:p>
          <w:p w:rsidR="00882FD8" w:rsidRDefault="00882FD8">
            <w:pPr>
              <w:pStyle w:val="Point"/>
              <w:ind w:left="126" w:hanging="126"/>
            </w:pPr>
            <w:r>
              <w:t xml:space="preserve">They experience satisfaction and enjoyment through singing, playing, listening, moving and creating. </w:t>
            </w:r>
          </w:p>
          <w:p w:rsidR="00882FD8" w:rsidRDefault="00882FD8">
            <w:pPr>
              <w:pStyle w:val="Point"/>
              <w:ind w:left="126" w:hanging="126"/>
            </w:pPr>
            <w:r>
              <w:rPr>
                <w:bCs/>
              </w:rPr>
              <w:t>Music learning outcomes are organised in terms of the interrelated and complementary processes of</w:t>
            </w:r>
            <w:r>
              <w:t xml:space="preserve"> </w:t>
            </w:r>
            <w:r>
              <w:rPr>
                <w:b/>
                <w:bCs/>
              </w:rPr>
              <w:t>aurally and visually identifying and responding to music, singing and playing, and reading and writing music</w:t>
            </w:r>
            <w:r>
              <w:t xml:space="preserve">. </w:t>
            </w:r>
          </w:p>
          <w:p w:rsidR="00882FD8" w:rsidRDefault="00882FD8">
            <w:pPr>
              <w:pStyle w:val="Heading5"/>
              <w:spacing w:before="60" w:after="0"/>
              <w:ind w:left="0"/>
              <w:rPr>
                <w:sz w:val="18"/>
              </w:rPr>
            </w:pPr>
            <w:r>
              <w:rPr>
                <w:sz w:val="18"/>
              </w:rPr>
              <w:t>Visual Arts</w:t>
            </w:r>
          </w:p>
          <w:p w:rsidR="00882FD8" w:rsidRDefault="00882FD8">
            <w:pPr>
              <w:pStyle w:val="Point"/>
              <w:ind w:left="126" w:hanging="126"/>
            </w:pPr>
            <w:r>
              <w:t xml:space="preserve">Students make, display and appraise images and objects. </w:t>
            </w:r>
          </w:p>
          <w:p w:rsidR="00882FD8" w:rsidRDefault="00882FD8">
            <w:pPr>
              <w:pStyle w:val="Point"/>
              <w:ind w:left="126" w:hanging="126"/>
            </w:pPr>
            <w:r>
              <w:t>They learn to communicate their ideas, feelings, experiences and observations of their worlds.</w:t>
            </w:r>
          </w:p>
          <w:p w:rsidR="00882FD8" w:rsidRDefault="00882FD8">
            <w:pPr>
              <w:pStyle w:val="Point"/>
              <w:ind w:left="126" w:hanging="126"/>
            </w:pPr>
            <w:r>
              <w:t>They become visually literate in the symbol systems and visual communication of cultures and societies, past and present.</w:t>
            </w:r>
          </w:p>
          <w:p w:rsidR="00882FD8" w:rsidRDefault="00882FD8">
            <w:pPr>
              <w:pStyle w:val="Point"/>
              <w:ind w:left="126" w:hanging="126"/>
            </w:pPr>
            <w:r>
              <w:t>Visual Arts learning outcomes are organised in terms of the interrelated and complementary processes of</w:t>
            </w:r>
            <w:r>
              <w:rPr>
                <w:b/>
              </w:rPr>
              <w:t xml:space="preserve"> </w:t>
            </w:r>
            <w:r>
              <w:rPr>
                <w:b/>
                <w:bCs/>
              </w:rPr>
              <w:t>making, displaying and appraising images and objects</w:t>
            </w:r>
            <w:r>
              <w:t xml:space="preserve">. </w:t>
            </w:r>
          </w:p>
          <w:p w:rsidR="00882FD8" w:rsidRDefault="00882FD8">
            <w:pPr>
              <w:pStyle w:val="Heading1"/>
              <w:tabs>
                <w:tab w:val="right" w:pos="8306"/>
              </w:tabs>
            </w:pPr>
          </w:p>
        </w:tc>
      </w:tr>
    </w:tbl>
    <w:p w:rsidR="00882FD8" w:rsidRDefault="00882FD8">
      <w:pPr>
        <w:pStyle w:val="Heading1"/>
        <w:tabs>
          <w:tab w:val="right" w:pos="8306"/>
        </w:tabs>
      </w:pPr>
    </w:p>
    <w:sectPr w:rsidR="00882FD8">
      <w:pgSz w:w="11906" w:h="16838"/>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ramond">
    <w:panose1 w:val="00000000000000000000"/>
    <w:charset w:val="00"/>
    <w:family w:val="auto"/>
    <w:notTrueType/>
    <w:pitch w:val="default"/>
    <w:sig w:usb0="00000003" w:usb1="00000000" w:usb2="00000000" w:usb3="00000000" w:csb0="00000001" w:csb1="00000000"/>
  </w:font>
  <w:font w:name="AGaramond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57F"/>
    <w:multiLevelType w:val="hybridMultilevel"/>
    <w:tmpl w:val="985A214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32F98"/>
    <w:multiLevelType w:val="hybridMultilevel"/>
    <w:tmpl w:val="49747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E32903"/>
    <w:multiLevelType w:val="hybridMultilevel"/>
    <w:tmpl w:val="7234BA1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C1217"/>
    <w:multiLevelType w:val="hybridMultilevel"/>
    <w:tmpl w:val="57107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646F30"/>
    <w:multiLevelType w:val="hybridMultilevel"/>
    <w:tmpl w:val="985A2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0A23F8"/>
    <w:multiLevelType w:val="hybridMultilevel"/>
    <w:tmpl w:val="22AA1E1E"/>
    <w:lvl w:ilvl="0" w:tplc="98208664">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4C4CC3"/>
    <w:multiLevelType w:val="hybridMultilevel"/>
    <w:tmpl w:val="49B63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4815C4"/>
    <w:multiLevelType w:val="hybridMultilevel"/>
    <w:tmpl w:val="7234B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2129A7"/>
    <w:multiLevelType w:val="hybridMultilevel"/>
    <w:tmpl w:val="7234BA10"/>
    <w:lvl w:ilvl="0" w:tplc="89CAAA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041C38"/>
    <w:multiLevelType w:val="hybridMultilevel"/>
    <w:tmpl w:val="7998406C"/>
    <w:lvl w:ilvl="0" w:tplc="45E4C156">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0D001B"/>
    <w:multiLevelType w:val="hybridMultilevel"/>
    <w:tmpl w:val="91E80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F04CA2"/>
    <w:multiLevelType w:val="hybridMultilevel"/>
    <w:tmpl w:val="5E7C3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676589"/>
    <w:multiLevelType w:val="hybridMultilevel"/>
    <w:tmpl w:val="2BB29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C54735"/>
    <w:multiLevelType w:val="hybridMultilevel"/>
    <w:tmpl w:val="2A0C86C4"/>
    <w:lvl w:ilvl="0" w:tplc="B7F84BAC">
      <w:start w:val="1"/>
      <w:numFmt w:val="bullet"/>
      <w:pStyle w:val="Point"/>
      <w:lvlText w:val=""/>
      <w:lvlJc w:val="left"/>
      <w:pPr>
        <w:tabs>
          <w:tab w:val="num" w:pos="2345"/>
        </w:tabs>
        <w:ind w:left="2296" w:hanging="311"/>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860F69"/>
    <w:multiLevelType w:val="hybridMultilevel"/>
    <w:tmpl w:val="D0C80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EC60A3"/>
    <w:multiLevelType w:val="hybridMultilevel"/>
    <w:tmpl w:val="4E3CA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6D29CC"/>
    <w:multiLevelType w:val="hybridMultilevel"/>
    <w:tmpl w:val="22AA1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3A0C6F"/>
    <w:multiLevelType w:val="hybridMultilevel"/>
    <w:tmpl w:val="7368E7FC"/>
    <w:lvl w:ilvl="0" w:tplc="45E4C156">
      <w:start w:val="1"/>
      <w:numFmt w:val="bullet"/>
      <w:lvlText w:val=""/>
      <w:lvlJc w:val="left"/>
      <w:pPr>
        <w:tabs>
          <w:tab w:val="num" w:pos="486"/>
        </w:tabs>
        <w:ind w:left="296" w:hanging="170"/>
      </w:pPr>
      <w:rPr>
        <w:rFonts w:ascii="Symbol" w:hAnsi="Symbol" w:hint="default"/>
      </w:rPr>
    </w:lvl>
    <w:lvl w:ilvl="1" w:tplc="04090003" w:tentative="1">
      <w:start w:val="1"/>
      <w:numFmt w:val="bullet"/>
      <w:lvlText w:val="o"/>
      <w:lvlJc w:val="left"/>
      <w:pPr>
        <w:tabs>
          <w:tab w:val="num" w:pos="1566"/>
        </w:tabs>
        <w:ind w:left="1566" w:hanging="360"/>
      </w:pPr>
      <w:rPr>
        <w:rFonts w:ascii="Courier New" w:hAnsi="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18">
    <w:nsid w:val="74965DAA"/>
    <w:multiLevelType w:val="hybridMultilevel"/>
    <w:tmpl w:val="3B76B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8"/>
  </w:num>
  <w:num w:numId="4">
    <w:abstractNumId w:val="7"/>
  </w:num>
  <w:num w:numId="5">
    <w:abstractNumId w:val="10"/>
  </w:num>
  <w:num w:numId="6">
    <w:abstractNumId w:val="0"/>
  </w:num>
  <w:num w:numId="7">
    <w:abstractNumId w:val="15"/>
  </w:num>
  <w:num w:numId="8">
    <w:abstractNumId w:val="12"/>
  </w:num>
  <w:num w:numId="9">
    <w:abstractNumId w:val="14"/>
  </w:num>
  <w:num w:numId="10">
    <w:abstractNumId w:val="1"/>
  </w:num>
  <w:num w:numId="11">
    <w:abstractNumId w:val="5"/>
  </w:num>
  <w:num w:numId="12">
    <w:abstractNumId w:val="16"/>
  </w:num>
  <w:num w:numId="13">
    <w:abstractNumId w:val="3"/>
  </w:num>
  <w:num w:numId="14">
    <w:abstractNumId w:val="6"/>
  </w:num>
  <w:num w:numId="15">
    <w:abstractNumId w:val="8"/>
  </w:num>
  <w:num w:numId="16">
    <w:abstractNumId w:val="2"/>
  </w:num>
  <w:num w:numId="17">
    <w:abstractNumId w:val="13"/>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0E"/>
    <w:rsid w:val="0045340E"/>
    <w:rsid w:val="004F5A94"/>
    <w:rsid w:val="00505900"/>
    <w:rsid w:val="00882FD8"/>
    <w:rsid w:val="00F56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lang w:val="en-US"/>
    </w:rPr>
  </w:style>
  <w:style w:type="paragraph" w:styleId="Heading2">
    <w:name w:val="heading 2"/>
    <w:basedOn w:val="Normal"/>
    <w:next w:val="Normal"/>
    <w:qFormat/>
    <w:pPr>
      <w:keepNext/>
      <w:outlineLvl w:val="1"/>
    </w:pPr>
    <w:rPr>
      <w:rFonts w:ascii="Arial" w:hAnsi="Arial" w:cs="Arial"/>
      <w:b/>
      <w:bCs/>
      <w:sz w:val="20"/>
    </w:rPr>
  </w:style>
  <w:style w:type="paragraph" w:styleId="Heading4">
    <w:name w:val="heading 4"/>
    <w:basedOn w:val="Normal"/>
    <w:next w:val="Normal"/>
    <w:qFormat/>
    <w:pPr>
      <w:keepNext/>
      <w:widowControl w:val="0"/>
      <w:ind w:left="1134"/>
      <w:outlineLvl w:val="3"/>
    </w:pPr>
    <w:rPr>
      <w:rFonts w:ascii="Arial" w:hAnsi="Arial" w:cs="Arial"/>
      <w:b/>
      <w:sz w:val="22"/>
      <w:szCs w:val="20"/>
      <w:lang w:val="en-US"/>
    </w:rPr>
  </w:style>
  <w:style w:type="paragraph" w:styleId="Heading5">
    <w:name w:val="heading 5"/>
    <w:basedOn w:val="Normal"/>
    <w:next w:val="Normal"/>
    <w:qFormat/>
    <w:pPr>
      <w:spacing w:before="200" w:after="60"/>
      <w:ind w:left="1985"/>
      <w:outlineLvl w:val="4"/>
    </w:pPr>
    <w:rPr>
      <w:rFonts w:ascii="Arial" w:hAnsi="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DOUBLEINDENT">
    <w:name w:val="BULLETS DOUBLE INDENT"/>
    <w:basedOn w:val="BULLETS"/>
    <w:pPr>
      <w:tabs>
        <w:tab w:val="left" w:pos="2154"/>
      </w:tabs>
      <w:ind w:left="2154" w:hanging="454"/>
    </w:pPr>
  </w:style>
  <w:style w:type="paragraph" w:customStyle="1" w:styleId="4PINK">
    <w:name w:val="4 PINK"/>
    <w:basedOn w:val="BODYCOPY"/>
    <w:next w:val="BODYCOPY"/>
    <w:rPr>
      <w:rFonts w:ascii="AGaramond Bold" w:hAnsi="AGaramond Bold"/>
    </w:rPr>
  </w:style>
  <w:style w:type="paragraph" w:customStyle="1" w:styleId="FIRSTLINE2">
    <w:name w:val="FIRST LINE 2"/>
    <w:basedOn w:val="BODYCOPY"/>
    <w:next w:val="BODYCOPY"/>
    <w:pPr>
      <w:spacing w:before="0"/>
    </w:pPr>
  </w:style>
  <w:style w:type="paragraph" w:customStyle="1" w:styleId="BULLETS">
    <w:name w:val="BULLETS"/>
    <w:basedOn w:val="BODYCOPY"/>
    <w:next w:val="BODYCOPY"/>
    <w:pPr>
      <w:tabs>
        <w:tab w:val="clear" w:pos="2041"/>
        <w:tab w:val="left" w:pos="1984"/>
      </w:tabs>
      <w:spacing w:before="57"/>
      <w:ind w:left="1984" w:hanging="284"/>
    </w:pPr>
  </w:style>
  <w:style w:type="paragraph" w:customStyle="1" w:styleId="BODYCOPY">
    <w:name w:val="BODYCOPY"/>
    <w:pPr>
      <w:widowControl w:val="0"/>
      <w:tabs>
        <w:tab w:val="left" w:pos="2041"/>
      </w:tabs>
      <w:autoSpaceDE w:val="0"/>
      <w:autoSpaceDN w:val="0"/>
      <w:adjustRightInd w:val="0"/>
      <w:spacing w:before="113" w:line="260" w:lineRule="atLeast"/>
      <w:ind w:left="1701"/>
    </w:pPr>
    <w:rPr>
      <w:rFonts w:ascii="AGaramond" w:hAnsi="AGaramond"/>
      <w:color w:val="061440"/>
      <w:sz w:val="22"/>
      <w:szCs w:val="22"/>
      <w:lang w:val="en-US" w:eastAsia="en-US"/>
    </w:rPr>
  </w:style>
  <w:style w:type="paragraph" w:styleId="BodyText">
    <w:name w:val="Body Text"/>
    <w:basedOn w:val="Normal"/>
    <w:rPr>
      <w:rFonts w:ascii="Arial" w:hAnsi="Arial" w:cs="Arial"/>
      <w:sz w:val="20"/>
    </w:rPr>
  </w:style>
  <w:style w:type="paragraph" w:customStyle="1" w:styleId="Point">
    <w:name w:val="Point"/>
    <w:basedOn w:val="Normal"/>
    <w:pPr>
      <w:numPr>
        <w:numId w:val="17"/>
      </w:numPr>
      <w:tabs>
        <w:tab w:val="clear" w:pos="2345"/>
        <w:tab w:val="left" w:pos="126"/>
      </w:tabs>
      <w:ind w:left="125" w:hanging="125"/>
    </w:pPr>
    <w:rPr>
      <w:rFonts w:ascii="Arial" w:hAnsi="Arial"/>
      <w:sz w:val="18"/>
      <w:szCs w:val="20"/>
    </w:rPr>
  </w:style>
  <w:style w:type="paragraph" w:styleId="BodyTextIndent">
    <w:name w:val="Body Text Indent"/>
    <w:basedOn w:val="Normal"/>
    <w:pPr>
      <w:tabs>
        <w:tab w:val="left" w:pos="8505"/>
      </w:tabs>
      <w:ind w:left="1985" w:right="45"/>
    </w:pPr>
    <w:rPr>
      <w:rFonts w:ascii="Arial" w:hAnsi="Arial"/>
      <w:sz w:val="20"/>
      <w:szCs w:val="20"/>
    </w:rPr>
  </w:style>
  <w:style w:type="paragraph" w:styleId="BodyText2">
    <w:name w:val="Body Text 2"/>
    <w:basedOn w:val="Normal"/>
    <w:rPr>
      <w:rFonts w:ascii="Arial" w:hAnsi="Arial" w:cs="Arial"/>
      <w:b/>
      <w:sz w:val="20"/>
    </w:rPr>
  </w:style>
  <w:style w:type="paragraph" w:styleId="BodyText3">
    <w:name w:val="Body Text 3"/>
    <w:basedOn w:val="Normal"/>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lang w:val="en-US"/>
    </w:rPr>
  </w:style>
  <w:style w:type="paragraph" w:styleId="Heading2">
    <w:name w:val="heading 2"/>
    <w:basedOn w:val="Normal"/>
    <w:next w:val="Normal"/>
    <w:qFormat/>
    <w:pPr>
      <w:keepNext/>
      <w:outlineLvl w:val="1"/>
    </w:pPr>
    <w:rPr>
      <w:rFonts w:ascii="Arial" w:hAnsi="Arial" w:cs="Arial"/>
      <w:b/>
      <w:bCs/>
      <w:sz w:val="20"/>
    </w:rPr>
  </w:style>
  <w:style w:type="paragraph" w:styleId="Heading4">
    <w:name w:val="heading 4"/>
    <w:basedOn w:val="Normal"/>
    <w:next w:val="Normal"/>
    <w:qFormat/>
    <w:pPr>
      <w:keepNext/>
      <w:widowControl w:val="0"/>
      <w:ind w:left="1134"/>
      <w:outlineLvl w:val="3"/>
    </w:pPr>
    <w:rPr>
      <w:rFonts w:ascii="Arial" w:hAnsi="Arial" w:cs="Arial"/>
      <w:b/>
      <w:sz w:val="22"/>
      <w:szCs w:val="20"/>
      <w:lang w:val="en-US"/>
    </w:rPr>
  </w:style>
  <w:style w:type="paragraph" w:styleId="Heading5">
    <w:name w:val="heading 5"/>
    <w:basedOn w:val="Normal"/>
    <w:next w:val="Normal"/>
    <w:qFormat/>
    <w:pPr>
      <w:spacing w:before="200" w:after="60"/>
      <w:ind w:left="1985"/>
      <w:outlineLvl w:val="4"/>
    </w:pPr>
    <w:rPr>
      <w:rFonts w:ascii="Arial" w:hAnsi="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DOUBLEINDENT">
    <w:name w:val="BULLETS DOUBLE INDENT"/>
    <w:basedOn w:val="BULLETS"/>
    <w:pPr>
      <w:tabs>
        <w:tab w:val="left" w:pos="2154"/>
      </w:tabs>
      <w:ind w:left="2154" w:hanging="454"/>
    </w:pPr>
  </w:style>
  <w:style w:type="paragraph" w:customStyle="1" w:styleId="4PINK">
    <w:name w:val="4 PINK"/>
    <w:basedOn w:val="BODYCOPY"/>
    <w:next w:val="BODYCOPY"/>
    <w:rPr>
      <w:rFonts w:ascii="AGaramond Bold" w:hAnsi="AGaramond Bold"/>
    </w:rPr>
  </w:style>
  <w:style w:type="paragraph" w:customStyle="1" w:styleId="FIRSTLINE2">
    <w:name w:val="FIRST LINE 2"/>
    <w:basedOn w:val="BODYCOPY"/>
    <w:next w:val="BODYCOPY"/>
    <w:pPr>
      <w:spacing w:before="0"/>
    </w:pPr>
  </w:style>
  <w:style w:type="paragraph" w:customStyle="1" w:styleId="BULLETS">
    <w:name w:val="BULLETS"/>
    <w:basedOn w:val="BODYCOPY"/>
    <w:next w:val="BODYCOPY"/>
    <w:pPr>
      <w:tabs>
        <w:tab w:val="clear" w:pos="2041"/>
        <w:tab w:val="left" w:pos="1984"/>
      </w:tabs>
      <w:spacing w:before="57"/>
      <w:ind w:left="1984" w:hanging="284"/>
    </w:pPr>
  </w:style>
  <w:style w:type="paragraph" w:customStyle="1" w:styleId="BODYCOPY">
    <w:name w:val="BODYCOPY"/>
    <w:pPr>
      <w:widowControl w:val="0"/>
      <w:tabs>
        <w:tab w:val="left" w:pos="2041"/>
      </w:tabs>
      <w:autoSpaceDE w:val="0"/>
      <w:autoSpaceDN w:val="0"/>
      <w:adjustRightInd w:val="0"/>
      <w:spacing w:before="113" w:line="260" w:lineRule="atLeast"/>
      <w:ind w:left="1701"/>
    </w:pPr>
    <w:rPr>
      <w:rFonts w:ascii="AGaramond" w:hAnsi="AGaramond"/>
      <w:color w:val="061440"/>
      <w:sz w:val="22"/>
      <w:szCs w:val="22"/>
      <w:lang w:val="en-US" w:eastAsia="en-US"/>
    </w:rPr>
  </w:style>
  <w:style w:type="paragraph" w:styleId="BodyText">
    <w:name w:val="Body Text"/>
    <w:basedOn w:val="Normal"/>
    <w:rPr>
      <w:rFonts w:ascii="Arial" w:hAnsi="Arial" w:cs="Arial"/>
      <w:sz w:val="20"/>
    </w:rPr>
  </w:style>
  <w:style w:type="paragraph" w:customStyle="1" w:styleId="Point">
    <w:name w:val="Point"/>
    <w:basedOn w:val="Normal"/>
    <w:pPr>
      <w:numPr>
        <w:numId w:val="17"/>
      </w:numPr>
      <w:tabs>
        <w:tab w:val="clear" w:pos="2345"/>
        <w:tab w:val="left" w:pos="126"/>
      </w:tabs>
      <w:ind w:left="125" w:hanging="125"/>
    </w:pPr>
    <w:rPr>
      <w:rFonts w:ascii="Arial" w:hAnsi="Arial"/>
      <w:sz w:val="18"/>
      <w:szCs w:val="20"/>
    </w:rPr>
  </w:style>
  <w:style w:type="paragraph" w:styleId="BodyTextIndent">
    <w:name w:val="Body Text Indent"/>
    <w:basedOn w:val="Normal"/>
    <w:pPr>
      <w:tabs>
        <w:tab w:val="left" w:pos="8505"/>
      </w:tabs>
      <w:ind w:left="1985" w:right="45"/>
    </w:pPr>
    <w:rPr>
      <w:rFonts w:ascii="Arial" w:hAnsi="Arial"/>
      <w:sz w:val="20"/>
      <w:szCs w:val="20"/>
    </w:rPr>
  </w:style>
  <w:style w:type="paragraph" w:styleId="BodyText2">
    <w:name w:val="Body Text 2"/>
    <w:basedOn w:val="Normal"/>
    <w:rPr>
      <w:rFonts w:ascii="Arial" w:hAnsi="Arial" w:cs="Arial"/>
      <w:b/>
      <w:sz w:val="20"/>
    </w:rPr>
  </w:style>
  <w:style w:type="paragraph" w:styleId="BodyText3">
    <w:name w:val="Body Text 3"/>
    <w:basedOn w:val="Normal"/>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Arts Years 1 – 10 Syllabus (2002)</vt:lpstr>
    </vt:vector>
  </TitlesOfParts>
  <Company>Queensland Studies Authority</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Arts Years 1 – 10 Syllabus (2002)</dc:title>
  <dc:subject>Nature of the Key Learning Area</dc:subject>
  <dc:creator>QSA</dc:creator>
  <cp:lastModifiedBy>HQAO</cp:lastModifiedBy>
  <cp:revision>2</cp:revision>
  <cp:lastPrinted>2003-09-30T21:53:00Z</cp:lastPrinted>
  <dcterms:created xsi:type="dcterms:W3CDTF">2014-06-13T03:47:00Z</dcterms:created>
  <dcterms:modified xsi:type="dcterms:W3CDTF">2014-06-13T03:47:00Z</dcterms:modified>
</cp:coreProperties>
</file>