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761168" w:rsidRDefault="00D756B0" w:rsidP="00BC58D9">
      <w:pPr>
        <w:pStyle w:val="CoverTitle"/>
      </w:pPr>
      <w:bookmarkStart w:id="0" w:name="_GoBack"/>
      <w:bookmarkEnd w:id="0"/>
      <w:r w:rsidRPr="00761168">
        <w:t>Writing music like a master</w:t>
      </w:r>
    </w:p>
    <w:tbl>
      <w:tblPr>
        <w:tblW w:w="0" w:type="auto"/>
        <w:tblLook w:val="01E0" w:firstRow="1" w:lastRow="1" w:firstColumn="1" w:lastColumn="1" w:noHBand="0" w:noVBand="0"/>
      </w:tblPr>
      <w:tblGrid>
        <w:gridCol w:w="1874"/>
        <w:gridCol w:w="6396"/>
      </w:tblGrid>
      <w:tr w:rsidR="00321DA5" w:rsidRPr="00761168">
        <w:trPr>
          <w:trHeight w:val="614"/>
        </w:trPr>
        <w:tc>
          <w:tcPr>
            <w:tcW w:w="1874" w:type="dxa"/>
            <w:shd w:val="clear" w:color="auto" w:fill="B4A7C0"/>
            <w:tcMar>
              <w:top w:w="113" w:type="dxa"/>
              <w:left w:w="113" w:type="dxa"/>
              <w:bottom w:w="113" w:type="dxa"/>
              <w:right w:w="113" w:type="dxa"/>
            </w:tcMar>
            <w:vAlign w:val="center"/>
          </w:tcPr>
          <w:p w:rsidR="00321DA5" w:rsidRPr="00761168" w:rsidRDefault="00321DA5" w:rsidP="002F4C51">
            <w:pPr>
              <w:pStyle w:val="CoverYearKLAName"/>
              <w:spacing w:after="0"/>
            </w:pPr>
            <w:r w:rsidRPr="00761168">
              <w:t xml:space="preserve">Year </w:t>
            </w:r>
            <w:r w:rsidR="00D756B0" w:rsidRPr="00761168">
              <w:t>4</w:t>
            </w:r>
          </w:p>
        </w:tc>
        <w:tc>
          <w:tcPr>
            <w:tcW w:w="6396" w:type="dxa"/>
            <w:shd w:val="clear" w:color="auto" w:fill="E3DEE8"/>
            <w:tcMar>
              <w:top w:w="113" w:type="dxa"/>
              <w:left w:w="113" w:type="dxa"/>
              <w:bottom w:w="113" w:type="dxa"/>
              <w:right w:w="113" w:type="dxa"/>
            </w:tcMar>
            <w:vAlign w:val="center"/>
          </w:tcPr>
          <w:p w:rsidR="00321DA5" w:rsidRPr="00761168" w:rsidRDefault="00D756B0" w:rsidP="002F4C51">
            <w:pPr>
              <w:pStyle w:val="CoverYearKLAName"/>
              <w:spacing w:after="0"/>
            </w:pPr>
            <w:r w:rsidRPr="00761168">
              <w:t>The Arts — Music</w:t>
            </w:r>
          </w:p>
        </w:tc>
      </w:tr>
      <w:tr w:rsidR="00321DA5" w:rsidRPr="00761168">
        <w:tc>
          <w:tcPr>
            <w:tcW w:w="8270" w:type="dxa"/>
            <w:gridSpan w:val="2"/>
            <w:tcBorders>
              <w:bottom w:val="single" w:sz="12" w:space="0" w:color="E3DEE8"/>
            </w:tcBorders>
            <w:tcMar>
              <w:top w:w="113" w:type="dxa"/>
              <w:left w:w="113" w:type="dxa"/>
              <w:bottom w:w="113" w:type="dxa"/>
              <w:right w:w="113" w:type="dxa"/>
            </w:tcMar>
            <w:vAlign w:val="center"/>
          </w:tcPr>
          <w:p w:rsidR="00321DA5" w:rsidRPr="00761168" w:rsidRDefault="00D756B0" w:rsidP="00CD0037">
            <w:pPr>
              <w:pStyle w:val="CoverOverview"/>
            </w:pPr>
            <w:r w:rsidRPr="00761168">
              <w:t xml:space="preserve">Students use the theme and third variation of the second movement of Haydn’s </w:t>
            </w:r>
            <w:r w:rsidR="00457CBD">
              <w:t xml:space="preserve">“Surprise” </w:t>
            </w:r>
            <w:r w:rsidRPr="00761168">
              <w:t>Symp</w:t>
            </w:r>
            <w:r w:rsidR="00457CBD">
              <w:t xml:space="preserve">hony No. 94 </w:t>
            </w:r>
            <w:r w:rsidRPr="00761168">
              <w:t>as inspiration to create their own theme and variation and perform it for their peers.</w:t>
            </w:r>
          </w:p>
        </w:tc>
      </w:tr>
      <w:tr w:rsidR="00321DA5" w:rsidRPr="00761168">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761168" w:rsidRDefault="00321DA5" w:rsidP="00C96592">
            <w:pPr>
              <w:spacing w:before="120" w:after="120" w:line="240" w:lineRule="auto"/>
              <w:rPr>
                <w:b/>
              </w:rPr>
            </w:pPr>
            <w:r w:rsidRPr="00761168">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761168" w:rsidRDefault="00274626" w:rsidP="00C96592">
            <w:pPr>
              <w:spacing w:before="120" w:after="120" w:line="240" w:lineRule="auto"/>
            </w:pPr>
            <w:r>
              <w:t xml:space="preserve">Approximately </w:t>
            </w:r>
            <w:r w:rsidR="00D756B0" w:rsidRPr="00761168">
              <w:t>4 hours</w:t>
            </w:r>
          </w:p>
        </w:tc>
      </w:tr>
      <w:tr w:rsidR="00321DA5" w:rsidRPr="00761168">
        <w:tc>
          <w:tcPr>
            <w:tcW w:w="8270" w:type="dxa"/>
            <w:gridSpan w:val="2"/>
            <w:tcBorders>
              <w:top w:val="single" w:sz="12" w:space="0" w:color="E3DEE8"/>
            </w:tcBorders>
            <w:tcMar>
              <w:top w:w="113" w:type="dxa"/>
              <w:left w:w="113" w:type="dxa"/>
              <w:bottom w:w="113" w:type="dxa"/>
              <w:right w:w="113" w:type="dxa"/>
            </w:tcMar>
            <w:vAlign w:val="center"/>
          </w:tcPr>
          <w:p w:rsidR="00321DA5" w:rsidRPr="00761168" w:rsidRDefault="00321DA5" w:rsidP="00CD0037">
            <w:pPr>
              <w:pStyle w:val="CoverOverview"/>
            </w:pPr>
            <w:r w:rsidRPr="00761168">
              <w:t>Context for assessment</w:t>
            </w:r>
          </w:p>
          <w:p w:rsidR="00321DA5" w:rsidRPr="00761168" w:rsidRDefault="00365CC0" w:rsidP="00CD0037">
            <w:r>
              <w:t>Theme and variations are</w:t>
            </w:r>
            <w:r w:rsidR="00D756B0" w:rsidRPr="00761168">
              <w:t xml:space="preserve"> composition technique</w:t>
            </w:r>
            <w:r>
              <w:t xml:space="preserve">s </w:t>
            </w:r>
            <w:r w:rsidR="00D756B0" w:rsidRPr="00761168">
              <w:t>used by many master composers.</w:t>
            </w:r>
            <w:r w:rsidR="00947B72">
              <w:t xml:space="preserve"> </w:t>
            </w:r>
            <w:r w:rsidR="00D756B0" w:rsidRPr="00761168">
              <w:t>Simple concepts can provide students with the opportunity to extend their understanding of musical for</w:t>
            </w:r>
            <w:r w:rsidR="00947B72">
              <w:t>m and composition</w:t>
            </w:r>
            <w:r w:rsidR="00D756B0" w:rsidRPr="00761168">
              <w:t xml:space="preserve"> and inspire creativity.</w:t>
            </w:r>
          </w:p>
        </w:tc>
      </w:tr>
    </w:tbl>
    <w:p w:rsidR="00B34779" w:rsidRPr="00761168" w:rsidRDefault="002A1382" w:rsidP="00750B88">
      <w:pPr>
        <w:pageBreakBefore/>
      </w:pPr>
      <w:r>
        <w:rPr>
          <w:b/>
          <w:i/>
          <w:noProof/>
          <w:color w:val="FF0000"/>
        </w:rPr>
        <w:lastRenderedPageBreak/>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761168">
        <w:t xml:space="preserve">This assessment gathers evidence of learning for the following </w:t>
      </w:r>
      <w:r w:rsidR="00B34779" w:rsidRPr="00761168">
        <w:rPr>
          <w:b/>
        </w:rPr>
        <w:t>Essential Learnings</w:t>
      </w:r>
      <w:r w:rsidR="00971609" w:rsidRPr="00761168">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6578"/>
      </w:tblGrid>
      <w:tr w:rsidR="00CD0037" w:rsidRPr="00761168">
        <w:trPr>
          <w:trHeight w:val="76"/>
          <w:jc w:val="center"/>
        </w:trPr>
        <w:tc>
          <w:tcPr>
            <w:tcW w:w="9639" w:type="dxa"/>
            <w:gridSpan w:val="2"/>
            <w:shd w:val="clear" w:color="auto" w:fill="E6E6E6"/>
          </w:tcPr>
          <w:p w:rsidR="00CD0037" w:rsidRPr="00761168" w:rsidRDefault="00E069D9" w:rsidP="00C20914">
            <w:pPr>
              <w:pStyle w:val="Heading2Table"/>
            </w:pPr>
            <w:r>
              <w:t>The Arts</w:t>
            </w:r>
            <w:r w:rsidR="00CD0037" w:rsidRPr="00761168">
              <w:tab/>
              <w:t xml:space="preserve">Essential Learnings by the end of Year </w:t>
            </w:r>
            <w:r w:rsidR="00D756B0" w:rsidRPr="00761168">
              <w:t>5</w:t>
            </w:r>
          </w:p>
        </w:tc>
      </w:tr>
      <w:tr w:rsidR="00934842" w:rsidRPr="00761168">
        <w:trPr>
          <w:trHeight w:val="3454"/>
          <w:jc w:val="center"/>
        </w:trPr>
        <w:tc>
          <w:tcPr>
            <w:tcW w:w="3061" w:type="dxa"/>
          </w:tcPr>
          <w:p w:rsidR="00934842" w:rsidRPr="00761168" w:rsidRDefault="00934842" w:rsidP="002C1299">
            <w:pPr>
              <w:pStyle w:val="Heading3"/>
              <w:keepLines/>
            </w:pPr>
            <w:r w:rsidRPr="00761168">
              <w:t>Ways of working</w:t>
            </w:r>
          </w:p>
          <w:p w:rsidR="00934842" w:rsidRPr="00761168" w:rsidRDefault="00934842" w:rsidP="00271417">
            <w:pPr>
              <w:pStyle w:val="Organiser"/>
            </w:pPr>
            <w:r w:rsidRPr="00761168">
              <w:t>Students are able to:</w:t>
            </w:r>
          </w:p>
          <w:p w:rsidR="00D756B0" w:rsidRPr="00761168" w:rsidRDefault="00D756B0" w:rsidP="00D756B0">
            <w:pPr>
              <w:pStyle w:val="Bulletslevel1"/>
            </w:pPr>
            <w:r w:rsidRPr="00761168">
              <w:t>select and develop ideas for arts works, considering different audiences and different purposes, using arts elements and languages</w:t>
            </w:r>
          </w:p>
          <w:p w:rsidR="00D756B0" w:rsidRPr="00761168" w:rsidRDefault="00D756B0" w:rsidP="00D756B0">
            <w:pPr>
              <w:pStyle w:val="Bulletslevel1"/>
            </w:pPr>
            <w:r w:rsidRPr="00761168">
              <w:t>rehearse and rework arts works, using interpretive and technical skills</w:t>
            </w:r>
          </w:p>
          <w:p w:rsidR="00934842" w:rsidRPr="00761168" w:rsidRDefault="00D756B0" w:rsidP="00D756B0">
            <w:pPr>
              <w:pStyle w:val="Bulletslevel1"/>
            </w:pPr>
            <w:r w:rsidRPr="00761168">
              <w:t>present arts works to informal and formal audiences, using arts techniques, skills and processes.</w:t>
            </w:r>
          </w:p>
        </w:tc>
        <w:tc>
          <w:tcPr>
            <w:tcW w:w="6578" w:type="dxa"/>
          </w:tcPr>
          <w:p w:rsidR="00934842" w:rsidRPr="00761168" w:rsidRDefault="00934842" w:rsidP="002C1299">
            <w:pPr>
              <w:pStyle w:val="Heading3"/>
              <w:keepLines/>
            </w:pPr>
            <w:r w:rsidRPr="00761168">
              <w:t>Knowledge and understanding</w:t>
            </w:r>
          </w:p>
          <w:p w:rsidR="00D756B0" w:rsidRPr="00761168" w:rsidRDefault="00D756B0" w:rsidP="00D756B0">
            <w:pPr>
              <w:rPr>
                <w:b/>
                <w:i/>
              </w:rPr>
            </w:pPr>
            <w:r w:rsidRPr="00761168">
              <w:rPr>
                <w:b/>
                <w:i/>
              </w:rPr>
              <w:t>Music</w:t>
            </w:r>
          </w:p>
          <w:p w:rsidR="00D756B0" w:rsidRPr="00761168" w:rsidRDefault="00D756B0" w:rsidP="00D756B0">
            <w:pPr>
              <w:rPr>
                <w:b/>
              </w:rPr>
            </w:pPr>
            <w:r w:rsidRPr="00761168">
              <w:rPr>
                <w:b/>
              </w:rPr>
              <w:t>Music involves singing, playing instruments, listening, moving, improvising and composing by selecting the music elements to express ideas, considering different audiences and different purposes, through sound.</w:t>
            </w:r>
          </w:p>
          <w:p w:rsidR="00D756B0" w:rsidRPr="00761168" w:rsidRDefault="00D756B0" w:rsidP="00D756B0">
            <w:pPr>
              <w:pStyle w:val="Bulletslevel1"/>
            </w:pPr>
            <w:r w:rsidRPr="00761168">
              <w:t>Duration, beat, time values and metre are used to create rhythmic patterns</w:t>
            </w:r>
            <w:r w:rsidR="00E069D9">
              <w:t>.</w:t>
            </w:r>
          </w:p>
          <w:p w:rsidR="00D756B0" w:rsidRPr="00761168" w:rsidRDefault="00D756B0" w:rsidP="00D756B0">
            <w:pPr>
              <w:pStyle w:val="Bulletslevel1"/>
            </w:pPr>
            <w:r w:rsidRPr="00761168">
              <w:t>Pitch and intervals are used to create the melodic arrangement of sound</w:t>
            </w:r>
            <w:r w:rsidR="00E069D9">
              <w:t>.</w:t>
            </w:r>
          </w:p>
          <w:p w:rsidR="00D756B0" w:rsidRPr="00761168" w:rsidRDefault="00D756B0" w:rsidP="00D756B0">
            <w:pPr>
              <w:pStyle w:val="Bulletslevel1"/>
            </w:pPr>
            <w:r w:rsidRPr="00761168">
              <w:t>Musical forms are used to structure music</w:t>
            </w:r>
            <w:r w:rsidR="00E069D9">
              <w:t>.</w:t>
            </w:r>
          </w:p>
          <w:p w:rsidR="00934842" w:rsidRPr="00761168" w:rsidRDefault="00D756B0" w:rsidP="00D756B0">
            <w:pPr>
              <w:pStyle w:val="Bulletslevel1"/>
            </w:pPr>
            <w:r w:rsidRPr="00761168">
              <w:t>Relative softness and loudness and articulation of sounds are used to change dynamic levels and expression of music.</w:t>
            </w:r>
          </w:p>
        </w:tc>
      </w:tr>
      <w:tr w:rsidR="00B34779" w:rsidRPr="00761168">
        <w:trPr>
          <w:trHeight w:val="1559"/>
          <w:jc w:val="center"/>
        </w:trPr>
        <w:tc>
          <w:tcPr>
            <w:tcW w:w="9639" w:type="dxa"/>
            <w:gridSpan w:val="2"/>
          </w:tcPr>
          <w:p w:rsidR="00B34779" w:rsidRPr="00761168" w:rsidRDefault="00B34779" w:rsidP="002C1299">
            <w:pPr>
              <w:pStyle w:val="Heading3"/>
              <w:keepLines/>
            </w:pPr>
            <w:r w:rsidRPr="00761168">
              <w:t>Assessable elements</w:t>
            </w:r>
          </w:p>
          <w:p w:rsidR="00D756B0" w:rsidRPr="00761168" w:rsidRDefault="00D756B0" w:rsidP="00D756B0">
            <w:pPr>
              <w:pStyle w:val="Bulletslevel1"/>
            </w:pPr>
            <w:r w:rsidRPr="00761168">
              <w:t>Knowledge and understanding</w:t>
            </w:r>
          </w:p>
          <w:p w:rsidR="00D756B0" w:rsidRPr="00761168" w:rsidRDefault="00D756B0" w:rsidP="00D756B0">
            <w:pPr>
              <w:pStyle w:val="Bulletslevel1"/>
            </w:pPr>
            <w:r w:rsidRPr="00761168">
              <w:t>Creating</w:t>
            </w:r>
          </w:p>
          <w:p w:rsidR="00B34779" w:rsidRPr="00761168" w:rsidRDefault="00D756B0" w:rsidP="00D756B0">
            <w:pPr>
              <w:pStyle w:val="Bulletslevel1"/>
            </w:pPr>
            <w:r w:rsidRPr="00761168">
              <w:t>Presenting</w:t>
            </w:r>
          </w:p>
        </w:tc>
      </w:tr>
      <w:tr w:rsidR="00B34779" w:rsidRPr="00761168">
        <w:trPr>
          <w:trHeight w:val="76"/>
          <w:jc w:val="center"/>
        </w:trPr>
        <w:tc>
          <w:tcPr>
            <w:tcW w:w="9639" w:type="dxa"/>
            <w:gridSpan w:val="2"/>
          </w:tcPr>
          <w:p w:rsidR="00B34779" w:rsidRPr="00761168" w:rsidRDefault="00B34779" w:rsidP="00474B75">
            <w:pPr>
              <w:pStyle w:val="Source"/>
            </w:pPr>
            <w:r w:rsidRPr="00761168">
              <w:t xml:space="preserve">Source: </w:t>
            </w:r>
            <w:smartTag w:uri="urn:schemas-microsoft-com:office:smarttags" w:element="State">
              <w:r w:rsidRPr="00761168">
                <w:t>Queensland</w:t>
              </w:r>
            </w:smartTag>
            <w:r w:rsidRPr="00761168">
              <w:t xml:space="preserve"> Studies Authority 2007, </w:t>
            </w:r>
            <w:r w:rsidR="00D756B0" w:rsidRPr="00FE6F95">
              <w:rPr>
                <w:i/>
              </w:rPr>
              <w:t>The Arts</w:t>
            </w:r>
            <w:r w:rsidRPr="00761168">
              <w:rPr>
                <w:rStyle w:val="SourceTitleChar"/>
              </w:rPr>
              <w:t xml:space="preserve"> Essential Learnings by the end of Year </w:t>
            </w:r>
            <w:r w:rsidR="00D756B0" w:rsidRPr="00761168">
              <w:rPr>
                <w:rStyle w:val="SourceTitleChar"/>
              </w:rPr>
              <w:t>5</w:t>
            </w:r>
            <w:r w:rsidRPr="00761168">
              <w:t xml:space="preserve">, QSA, </w:t>
            </w:r>
            <w:smartTag w:uri="urn:schemas-microsoft-com:office:smarttags" w:element="place">
              <w:smartTag w:uri="urn:schemas-microsoft-com:office:smarttags" w:element="City">
                <w:r w:rsidRPr="00761168">
                  <w:t>Brisbane</w:t>
                </w:r>
              </w:smartTag>
            </w:smartTag>
            <w:r w:rsidRPr="00761168">
              <w:t>.</w:t>
            </w:r>
          </w:p>
        </w:tc>
      </w:tr>
    </w:tbl>
    <w:p w:rsidR="00E8667A" w:rsidRPr="00761168" w:rsidRDefault="00E8667A" w:rsidP="00E935F6"/>
    <w:p w:rsidR="008F3048" w:rsidRPr="00761168" w:rsidRDefault="00E8667A" w:rsidP="008A37AF">
      <w:r w:rsidRPr="00761168">
        <w:br w:type="page"/>
      </w:r>
      <w:r w:rsidR="006651E7" w:rsidRPr="00761168">
        <w:lastRenderedPageBreak/>
        <w:t>Listed here are s</w:t>
      </w:r>
      <w:r w:rsidR="008F3048" w:rsidRPr="00761168">
        <w:t xml:space="preserve">uggested </w:t>
      </w:r>
      <w:r w:rsidR="008F3048" w:rsidRPr="00761168">
        <w:rPr>
          <w:b/>
        </w:rPr>
        <w:t>learning experiences</w:t>
      </w:r>
      <w:r w:rsidR="008F3048" w:rsidRPr="00761168">
        <w:t xml:space="preserve"> for students be</w:t>
      </w:r>
      <w:r w:rsidR="00D43BC1" w:rsidRPr="00761168">
        <w:t>fore attempting this assessment.</w:t>
      </w:r>
    </w:p>
    <w:p w:rsidR="005367C3" w:rsidRPr="00761168" w:rsidRDefault="002A1382" w:rsidP="005367C3">
      <w:pPr>
        <w:pStyle w:val="Bulletslevel1"/>
      </w:pPr>
      <w:r>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67C3" w:rsidRPr="00761168">
        <w:t>Learn and practise using and writing rhythmic patterns appropriate for the student cohort</w:t>
      </w:r>
      <w:r w:rsidR="00365CC0">
        <w:t>.</w:t>
      </w:r>
    </w:p>
    <w:p w:rsidR="005367C3" w:rsidRPr="00761168" w:rsidRDefault="005367C3" w:rsidP="005367C3">
      <w:pPr>
        <w:pStyle w:val="Bulletslevel1"/>
      </w:pPr>
      <w:r w:rsidRPr="00761168">
        <w:t>Practise identifying and writing simple rhythmic patterns in many contexts</w:t>
      </w:r>
      <w:r w:rsidR="00365CC0">
        <w:t>.</w:t>
      </w:r>
    </w:p>
    <w:p w:rsidR="005367C3" w:rsidRPr="00761168" w:rsidRDefault="005367C3" w:rsidP="005367C3">
      <w:pPr>
        <w:pStyle w:val="Bulletslevel1"/>
      </w:pPr>
      <w:r w:rsidRPr="00761168">
        <w:t>Learn about rhythmic and melodic form</w:t>
      </w:r>
      <w:r w:rsidR="00365CC0">
        <w:t>.</w:t>
      </w:r>
    </w:p>
    <w:p w:rsidR="00365CC0" w:rsidRPr="00761168" w:rsidRDefault="00365CC0" w:rsidP="005367C3">
      <w:pPr>
        <w:pStyle w:val="Bulletslevel1"/>
      </w:pPr>
      <w:r w:rsidRPr="00761168">
        <w:t>Look at and listen to o</w:t>
      </w:r>
      <w:r>
        <w:t>ther examples of theme and v</w:t>
      </w:r>
      <w:r w:rsidRPr="00761168">
        <w:t>ariations.</w:t>
      </w:r>
    </w:p>
    <w:p w:rsidR="005367C3" w:rsidRPr="00761168" w:rsidRDefault="005367C3" w:rsidP="005367C3">
      <w:pPr>
        <w:pStyle w:val="Bulletslevel1"/>
      </w:pPr>
      <w:r w:rsidRPr="00761168">
        <w:t>Practise identifying the rhythmic and melodic form of many songs</w:t>
      </w:r>
      <w:r w:rsidR="00365CC0">
        <w:t>.</w:t>
      </w:r>
    </w:p>
    <w:p w:rsidR="005367C3" w:rsidRPr="00761168" w:rsidRDefault="005367C3" w:rsidP="005367C3">
      <w:pPr>
        <w:pStyle w:val="Bulletslevel1"/>
      </w:pPr>
      <w:r w:rsidRPr="00761168">
        <w:t>Learn about theme and variations form</w:t>
      </w:r>
      <w:r w:rsidR="00365CC0">
        <w:t>.</w:t>
      </w:r>
    </w:p>
    <w:p w:rsidR="005367C3" w:rsidRPr="00761168" w:rsidRDefault="005367C3" w:rsidP="005367C3">
      <w:pPr>
        <w:pStyle w:val="Bulletslevel1"/>
      </w:pPr>
      <w:r w:rsidRPr="00761168">
        <w:t>Practise using Haydn’s variation technique with known songs</w:t>
      </w:r>
      <w:r w:rsidR="00365CC0">
        <w:t>.</w:t>
      </w:r>
    </w:p>
    <w:p w:rsidR="005367C3" w:rsidRPr="00761168" w:rsidRDefault="005367C3" w:rsidP="005367C3">
      <w:pPr>
        <w:pStyle w:val="Bulletslevel1"/>
      </w:pPr>
      <w:r w:rsidRPr="00761168">
        <w:t xml:space="preserve">Practise singing, playing and writing the </w:t>
      </w:r>
      <w:r w:rsidRPr="00365CC0">
        <w:rPr>
          <w:i/>
        </w:rPr>
        <w:t>do</w:t>
      </w:r>
      <w:r w:rsidRPr="00761168">
        <w:t xml:space="preserve"> pentatonic scale</w:t>
      </w:r>
      <w:r w:rsidR="00365CC0">
        <w:t>.</w:t>
      </w:r>
    </w:p>
    <w:p w:rsidR="005367C3" w:rsidRPr="00761168" w:rsidRDefault="005367C3" w:rsidP="005367C3">
      <w:pPr>
        <w:pStyle w:val="Bulletslevel1"/>
      </w:pPr>
      <w:r w:rsidRPr="00761168">
        <w:t>Practise reading, writing and performing rhythmic and melodic scores</w:t>
      </w:r>
      <w:r w:rsidR="00365CC0">
        <w:t>.</w:t>
      </w:r>
    </w:p>
    <w:p w:rsidR="005367C3" w:rsidRPr="00761168" w:rsidRDefault="005367C3" w:rsidP="005367C3">
      <w:pPr>
        <w:pStyle w:val="Bulletslevel1"/>
      </w:pPr>
      <w:r w:rsidRPr="00761168">
        <w:t>Practise reading, writing and playing dynamics</w:t>
      </w:r>
      <w:r w:rsidR="00365CC0">
        <w:t>.</w:t>
      </w:r>
    </w:p>
    <w:p w:rsidR="00F9534A" w:rsidRPr="00761168" w:rsidRDefault="005367C3" w:rsidP="005367C3">
      <w:pPr>
        <w:pStyle w:val="Bulletslevel1"/>
      </w:pPr>
      <w:r w:rsidRPr="00761168">
        <w:t xml:space="preserve">Practise using tuned classroom instruments for melodic performance </w:t>
      </w:r>
      <w:r w:rsidR="00365CC0">
        <w:t xml:space="preserve">(e.g. </w:t>
      </w:r>
      <w:r w:rsidRPr="00761168">
        <w:t>xylophone;</w:t>
      </w:r>
      <w:r w:rsidR="00365CC0">
        <w:t xml:space="preserve"> glockenspiel, recorder).</w:t>
      </w:r>
    </w:p>
    <w:tbl>
      <w:tblPr>
        <w:tblW w:w="9639" w:type="dxa"/>
        <w:tblLook w:val="01E0" w:firstRow="1" w:lastRow="1" w:firstColumn="1" w:lastColumn="1" w:noHBand="0" w:noVBand="0"/>
      </w:tblPr>
      <w:tblGrid>
        <w:gridCol w:w="1074"/>
        <w:gridCol w:w="8565"/>
      </w:tblGrid>
      <w:tr w:rsidR="00C61C2F" w:rsidRPr="00761168">
        <w:trPr>
          <w:trHeight w:val="870"/>
        </w:trPr>
        <w:tc>
          <w:tcPr>
            <w:tcW w:w="557" w:type="pct"/>
          </w:tcPr>
          <w:p w:rsidR="00C61C2F" w:rsidRPr="00761168" w:rsidRDefault="002A1382" w:rsidP="00C20914">
            <w:pPr>
              <w:spacing w:before="0" w:after="0" w:line="240" w:lineRule="auto"/>
            </w:pPr>
            <w:r>
              <w:rPr>
                <w:noProof/>
              </w:rPr>
              <w:drawing>
                <wp:inline distT="0" distB="0" distL="0" distR="0">
                  <wp:extent cx="542290" cy="542290"/>
                  <wp:effectExtent l="0" t="0" r="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C61C2F" w:rsidRPr="00761168" w:rsidRDefault="00C61C2F" w:rsidP="00AB2C0A">
            <w:pPr>
              <w:pStyle w:val="Heading2"/>
              <w:spacing w:before="0" w:after="0"/>
            </w:pPr>
            <w:r w:rsidRPr="00761168">
              <w:rPr>
                <w:noProof/>
              </w:rPr>
              <w:t>Teacher resources</w:t>
            </w:r>
          </w:p>
        </w:tc>
      </w:tr>
    </w:tbl>
    <w:p w:rsidR="00365CC0" w:rsidRDefault="00365CC0" w:rsidP="005367C3">
      <w:r>
        <w:t xml:space="preserve">Piano sheet music of Haydn’s theme: </w:t>
      </w:r>
      <w:r w:rsidR="00A22BB0" w:rsidRPr="00761168">
        <w:t>&lt;</w:t>
      </w:r>
      <w:r w:rsidR="005367C3" w:rsidRPr="00761168">
        <w:t>http://garde</w:t>
      </w:r>
      <w:r w:rsidR="005367C3" w:rsidRPr="00761168">
        <w:t>n</w:t>
      </w:r>
      <w:r w:rsidR="005367C3" w:rsidRPr="00761168">
        <w:t>o</w:t>
      </w:r>
      <w:r w:rsidR="005367C3" w:rsidRPr="00761168">
        <w:t>fpraise.c</w:t>
      </w:r>
      <w:r w:rsidR="005367C3" w:rsidRPr="00761168">
        <w:t>o</w:t>
      </w:r>
      <w:r w:rsidR="005367C3" w:rsidRPr="00761168">
        <w:t>m/key21bj.htm</w:t>
      </w:r>
      <w:r w:rsidR="00A22BB0" w:rsidRPr="00761168">
        <w:t>&gt;</w:t>
      </w:r>
      <w:r>
        <w:t>.</w:t>
      </w:r>
    </w:p>
    <w:p w:rsidR="00365CC0" w:rsidRDefault="00365CC0" w:rsidP="005367C3">
      <w:r>
        <w:t xml:space="preserve">Classics for kids: </w:t>
      </w:r>
      <w:r w:rsidR="00A22BB0" w:rsidRPr="00761168">
        <w:t>&lt;</w:t>
      </w:r>
      <w:r w:rsidR="005367C3" w:rsidRPr="00761168">
        <w:t>www.classicsforkids.com/teachers/lessonp</w:t>
      </w:r>
      <w:r w:rsidR="005367C3" w:rsidRPr="00761168">
        <w:t>l</w:t>
      </w:r>
      <w:r w:rsidR="005367C3" w:rsidRPr="00761168">
        <w:t>ans/haydn/haydnK1.asp</w:t>
      </w:r>
      <w:r>
        <w:t>&gt;.</w:t>
      </w:r>
      <w:r>
        <w:br/>
      </w:r>
      <w:r w:rsidR="005367C3" w:rsidRPr="00761168">
        <w:t xml:space="preserve">This website </w:t>
      </w:r>
      <w:r>
        <w:t>includes</w:t>
      </w:r>
      <w:r w:rsidR="005367C3" w:rsidRPr="00761168">
        <w:t xml:space="preserve">: </w:t>
      </w:r>
    </w:p>
    <w:p w:rsidR="00365CC0" w:rsidRDefault="005367C3" w:rsidP="00365CC0">
      <w:pPr>
        <w:pStyle w:val="Bulletslevel1"/>
      </w:pPr>
      <w:r w:rsidRPr="00761168">
        <w:t>a pictorial listening</w:t>
      </w:r>
      <w:r w:rsidR="00365CC0">
        <w:t xml:space="preserve"> map for Haydn’s </w:t>
      </w:r>
      <w:r w:rsidR="00CF1CC7">
        <w:t>“</w:t>
      </w:r>
      <w:r w:rsidR="00365CC0">
        <w:t>Surprise</w:t>
      </w:r>
      <w:r w:rsidR="00CF1CC7">
        <w:t>”</w:t>
      </w:r>
      <w:r w:rsidR="00365CC0">
        <w:t xml:space="preserve"> theme</w:t>
      </w:r>
    </w:p>
    <w:p w:rsidR="00365CC0" w:rsidRDefault="00457CBD" w:rsidP="00365CC0">
      <w:pPr>
        <w:pStyle w:val="Bulletslevel1"/>
      </w:pPr>
      <w:r>
        <w:t>a listening map with rhythms</w:t>
      </w:r>
    </w:p>
    <w:p w:rsidR="00365CC0" w:rsidRDefault="00457CBD" w:rsidP="00365CC0">
      <w:pPr>
        <w:pStyle w:val="Bulletslevel1"/>
      </w:pPr>
      <w:r>
        <w:t>a map with dynamics</w:t>
      </w:r>
    </w:p>
    <w:p w:rsidR="00365CC0" w:rsidRDefault="005367C3" w:rsidP="00365CC0">
      <w:pPr>
        <w:pStyle w:val="Bulletslevel1"/>
      </w:pPr>
      <w:r w:rsidRPr="00761168">
        <w:t>information about Haydn</w:t>
      </w:r>
    </w:p>
    <w:p w:rsidR="005367C3" w:rsidRPr="00761168" w:rsidRDefault="005367C3" w:rsidP="00365CC0">
      <w:pPr>
        <w:pStyle w:val="Bulletslevel1"/>
      </w:pPr>
      <w:r w:rsidRPr="00761168">
        <w:t>an excel</w:t>
      </w:r>
      <w:r w:rsidR="00365CC0">
        <w:t xml:space="preserve">lent recording </w:t>
      </w:r>
      <w:r w:rsidRPr="00761168">
        <w:t>of the second movement. For this assessment, students need to listen to the first half of the theme</w:t>
      </w:r>
      <w:r w:rsidR="00365CC0">
        <w:t>,</w:t>
      </w:r>
      <w:r w:rsidRPr="00761168">
        <w:t xml:space="preserve"> which on this</w:t>
      </w:r>
      <w:r w:rsidR="00365CC0">
        <w:t xml:space="preserve"> recording is from 00:00</w:t>
      </w:r>
      <w:r w:rsidR="002D4D00">
        <w:t xml:space="preserve"> </w:t>
      </w:r>
      <w:r w:rsidR="00365CC0">
        <w:t>–</w:t>
      </w:r>
      <w:r w:rsidR="002D4D00">
        <w:t xml:space="preserve"> </w:t>
      </w:r>
      <w:r w:rsidRPr="00761168">
        <w:t>00:34 seconds, and the third variation</w:t>
      </w:r>
      <w:r w:rsidR="00457CBD">
        <w:t xml:space="preserve">, which </w:t>
      </w:r>
      <w:r w:rsidRPr="00761168">
        <w:t>can</w:t>
      </w:r>
      <w:r w:rsidR="00947B72">
        <w:t xml:space="preserve"> </w:t>
      </w:r>
      <w:r w:rsidR="00365CC0">
        <w:t>be heard from 03:11</w:t>
      </w:r>
      <w:r w:rsidR="002D4D00">
        <w:t xml:space="preserve"> </w:t>
      </w:r>
      <w:r w:rsidR="00365CC0">
        <w:t>–</w:t>
      </w:r>
      <w:r w:rsidR="002D4D00">
        <w:t xml:space="preserve"> </w:t>
      </w:r>
      <w:r w:rsidRPr="00761168">
        <w:t>03:27.</w:t>
      </w:r>
    </w:p>
    <w:p w:rsidR="00233FC0" w:rsidRPr="00761168" w:rsidRDefault="005367C3" w:rsidP="00457CBD">
      <w:pPr>
        <w:pStyle w:val="Heading2"/>
      </w:pPr>
      <w:r w:rsidRPr="00761168">
        <w:br w:type="page"/>
      </w:r>
      <w:r w:rsidR="002A1382">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rsidRPr="00761168">
        <w:t>Preparing</w:t>
      </w:r>
    </w:p>
    <w:p w:rsidR="004F20BA" w:rsidRPr="00761168" w:rsidRDefault="004F20BA" w:rsidP="004F20BA">
      <w:r w:rsidRPr="00761168">
        <w:t>Consider these points bef</w:t>
      </w:r>
      <w:r w:rsidR="00227363" w:rsidRPr="00761168">
        <w:t>ore implementing the assessment.</w:t>
      </w:r>
    </w:p>
    <w:p w:rsidR="00324136" w:rsidRDefault="005367C3" w:rsidP="005367C3">
      <w:pPr>
        <w:pStyle w:val="Bulletslevel1"/>
        <w:numPr>
          <w:ilvl w:val="0"/>
          <w:numId w:val="19"/>
        </w:numPr>
      </w:pPr>
      <w:r w:rsidRPr="00761168">
        <w:t>Decide how students will perform their theme and variation</w:t>
      </w:r>
      <w:r w:rsidR="00324136">
        <w:t>.</w:t>
      </w:r>
    </w:p>
    <w:p w:rsidR="005367C3" w:rsidRPr="00761168" w:rsidRDefault="00324136" w:rsidP="005367C3">
      <w:pPr>
        <w:pStyle w:val="Bulletslevel1"/>
        <w:numPr>
          <w:ilvl w:val="0"/>
          <w:numId w:val="19"/>
        </w:numPr>
      </w:pPr>
      <w:r>
        <w:t>Make sure that your</w:t>
      </w:r>
      <w:r w:rsidR="005367C3" w:rsidRPr="00761168">
        <w:t xml:space="preserve"> students are ve</w:t>
      </w:r>
      <w:r w:rsidR="00457CBD">
        <w:t>ry familiar with the instrument</w:t>
      </w:r>
      <w:r w:rsidR="005367C3" w:rsidRPr="00761168">
        <w:t>s</w:t>
      </w:r>
      <w:r w:rsidR="00457CBD">
        <w:t xml:space="preserve"> you plan to use</w:t>
      </w:r>
      <w:r w:rsidR="005367C3" w:rsidRPr="00761168">
        <w:t>.</w:t>
      </w:r>
    </w:p>
    <w:p w:rsidR="00E53F6C" w:rsidRPr="00761168" w:rsidRDefault="00E53F6C" w:rsidP="00E53F6C">
      <w:pPr>
        <w:pStyle w:val="Heading2"/>
      </w:pPr>
      <w:r w:rsidRPr="00761168">
        <w:t>Implementation</w:t>
      </w:r>
    </w:p>
    <w:p w:rsidR="004F20BA" w:rsidRPr="00761168" w:rsidRDefault="004F20BA" w:rsidP="004F20BA">
      <w:r w:rsidRPr="00761168">
        <w:t>Consider these points w</w:t>
      </w:r>
      <w:r w:rsidR="00227363" w:rsidRPr="00761168">
        <w:t>hen implementing the assessment.</w:t>
      </w:r>
    </w:p>
    <w:p w:rsidR="005367C3" w:rsidRPr="00761168" w:rsidRDefault="005367C3" w:rsidP="005367C3">
      <w:pPr>
        <w:pStyle w:val="Bulletslevel1"/>
        <w:numPr>
          <w:ilvl w:val="0"/>
          <w:numId w:val="19"/>
        </w:numPr>
        <w:spacing w:line="280" w:lineRule="exact"/>
      </w:pPr>
      <w:r w:rsidRPr="00761168">
        <w:t>It is suggested that this assessment be undertaken in small sections over a number of weeks.</w:t>
      </w:r>
    </w:p>
    <w:p w:rsidR="005367C3" w:rsidRPr="00761168" w:rsidRDefault="005367C3" w:rsidP="005367C3">
      <w:pPr>
        <w:pStyle w:val="Bulletslevel1"/>
        <w:numPr>
          <w:ilvl w:val="0"/>
          <w:numId w:val="19"/>
        </w:numPr>
        <w:spacing w:line="280" w:lineRule="exact"/>
      </w:pPr>
      <w:r w:rsidRPr="00761168">
        <w:t>Some students may find performing solo particularly confronting.</w:t>
      </w:r>
      <w:r w:rsidR="00947B72">
        <w:t xml:space="preserve"> </w:t>
      </w:r>
      <w:r w:rsidRPr="00761168">
        <w:t>It may be appropriate to allow some students to perform in pairs or to allow students to perform in front of a small group of close friends, or for the teacher alone.</w:t>
      </w:r>
      <w:r w:rsidR="00947B72">
        <w:t xml:space="preserve"> </w:t>
      </w:r>
      <w:r w:rsidRPr="00761168">
        <w:t>It is important for the performance to be a positive experience that builds confidence.</w:t>
      </w:r>
    </w:p>
    <w:p w:rsidR="00233FC0" w:rsidRPr="00761168" w:rsidRDefault="00233FC0" w:rsidP="00457CBD">
      <w:pPr>
        <w:pStyle w:val="Heading2TOP"/>
      </w:pPr>
      <w:r w:rsidRPr="00761168">
        <w:t>Sample implementation plan</w:t>
      </w:r>
    </w:p>
    <w:p w:rsidR="00C0583B" w:rsidRPr="00761168" w:rsidRDefault="00216C8D" w:rsidP="00216C8D">
      <w:r w:rsidRPr="00761168">
        <w:t xml:space="preserve">This table shows one way that this </w:t>
      </w:r>
      <w:r w:rsidR="00233FC0" w:rsidRPr="00761168">
        <w:t>assessment</w:t>
      </w:r>
      <w:r w:rsidRPr="00761168">
        <w:t xml:space="preserve"> can be implemented. It is a guide only — </w:t>
      </w:r>
      <w:r w:rsidR="00233FC0" w:rsidRPr="00761168">
        <w:t>you</w:t>
      </w:r>
      <w:r w:rsidRPr="00761168">
        <w:t xml:space="preserve"> may choose to use all, part, or none of the table. </w:t>
      </w:r>
      <w:r w:rsidR="00233FC0" w:rsidRPr="00761168">
        <w:t>You</w:t>
      </w:r>
      <w:r w:rsidRPr="00761168">
        <w:t xml:space="preserve"> may customise the table to suit </w:t>
      </w:r>
      <w:r w:rsidR="00233FC0" w:rsidRPr="00761168">
        <w:t>your</w:t>
      </w:r>
      <w:r w:rsidRPr="00761168">
        <w:t xml:space="preserve"> studen</w:t>
      </w:r>
      <w:r w:rsidR="00233FC0" w:rsidRPr="00761168">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691"/>
        <w:gridCol w:w="3096"/>
        <w:gridCol w:w="2520"/>
        <w:gridCol w:w="2258"/>
      </w:tblGrid>
      <w:tr w:rsidR="00E27AD9" w:rsidRPr="00761168">
        <w:trPr>
          <w:jc w:val="center"/>
        </w:trPr>
        <w:tc>
          <w:tcPr>
            <w:tcW w:w="1765" w:type="dxa"/>
            <w:gridSpan w:val="2"/>
            <w:shd w:val="clear" w:color="auto" w:fill="CCCCCC"/>
          </w:tcPr>
          <w:p w:rsidR="00E27AD9" w:rsidRPr="00761168" w:rsidRDefault="00E27AD9" w:rsidP="006062B9">
            <w:pPr>
              <w:spacing w:after="120" w:line="240" w:lineRule="auto"/>
              <w:rPr>
                <w:rFonts w:ascii="Arial Bold" w:hAnsi="Arial Bold"/>
                <w:b/>
                <w:spacing w:val="-8"/>
              </w:rPr>
            </w:pPr>
            <w:r w:rsidRPr="00761168">
              <w:rPr>
                <w:rFonts w:ascii="Arial Bold" w:hAnsi="Arial Bold"/>
                <w:b/>
                <w:spacing w:val="-8"/>
              </w:rPr>
              <w:t>Suggested time</w:t>
            </w:r>
          </w:p>
        </w:tc>
        <w:tc>
          <w:tcPr>
            <w:tcW w:w="3096" w:type="dxa"/>
            <w:shd w:val="clear" w:color="auto" w:fill="CCCCCC"/>
          </w:tcPr>
          <w:p w:rsidR="00E27AD9" w:rsidRPr="00761168" w:rsidRDefault="00E27AD9" w:rsidP="006062B9">
            <w:pPr>
              <w:spacing w:after="120" w:line="240" w:lineRule="auto"/>
              <w:rPr>
                <w:b/>
              </w:rPr>
            </w:pPr>
            <w:r w:rsidRPr="00761168">
              <w:rPr>
                <w:b/>
              </w:rPr>
              <w:t>Student activity</w:t>
            </w:r>
          </w:p>
        </w:tc>
        <w:tc>
          <w:tcPr>
            <w:tcW w:w="2520" w:type="dxa"/>
            <w:shd w:val="clear" w:color="auto" w:fill="CCCCCC"/>
          </w:tcPr>
          <w:p w:rsidR="00E27AD9" w:rsidRPr="00761168" w:rsidRDefault="00E27AD9" w:rsidP="006062B9">
            <w:pPr>
              <w:spacing w:after="120" w:line="240" w:lineRule="auto"/>
              <w:rPr>
                <w:b/>
              </w:rPr>
            </w:pPr>
            <w:r w:rsidRPr="00761168">
              <w:rPr>
                <w:b/>
              </w:rPr>
              <w:t>Teacher role</w:t>
            </w:r>
          </w:p>
        </w:tc>
        <w:tc>
          <w:tcPr>
            <w:tcW w:w="2258" w:type="dxa"/>
            <w:shd w:val="clear" w:color="auto" w:fill="CCCCCC"/>
          </w:tcPr>
          <w:p w:rsidR="00E27AD9" w:rsidRPr="00761168" w:rsidRDefault="00E27AD9" w:rsidP="006062B9">
            <w:pPr>
              <w:spacing w:after="120" w:line="240" w:lineRule="auto"/>
              <w:rPr>
                <w:b/>
              </w:rPr>
            </w:pPr>
            <w:r w:rsidRPr="00761168">
              <w:rPr>
                <w:b/>
              </w:rPr>
              <w:t>Resources</w:t>
            </w:r>
          </w:p>
        </w:tc>
      </w:tr>
      <w:tr w:rsidR="00AC35FE" w:rsidRPr="00761168">
        <w:trPr>
          <w:jc w:val="center"/>
        </w:trPr>
        <w:tc>
          <w:tcPr>
            <w:tcW w:w="9639" w:type="dxa"/>
            <w:gridSpan w:val="5"/>
            <w:shd w:val="clear" w:color="auto" w:fill="E0E0E0"/>
          </w:tcPr>
          <w:p w:rsidR="00AC35FE" w:rsidRPr="00761168" w:rsidRDefault="00AC35FE" w:rsidP="006062B9">
            <w:pPr>
              <w:spacing w:after="120" w:line="240" w:lineRule="auto"/>
              <w:rPr>
                <w:b/>
              </w:rPr>
            </w:pPr>
            <w:r w:rsidRPr="00761168">
              <w:rPr>
                <w:b/>
              </w:rPr>
              <w:t>Section 1. A master’s “surprise”</w:t>
            </w:r>
          </w:p>
        </w:tc>
      </w:tr>
      <w:tr w:rsidR="00E27AD9" w:rsidRPr="00761168">
        <w:trPr>
          <w:jc w:val="center"/>
        </w:trPr>
        <w:tc>
          <w:tcPr>
            <w:tcW w:w="9639" w:type="dxa"/>
            <w:gridSpan w:val="5"/>
            <w:shd w:val="clear" w:color="auto" w:fill="F3F3F3"/>
          </w:tcPr>
          <w:p w:rsidR="00E27AD9" w:rsidRPr="00761168" w:rsidRDefault="00AC35FE" w:rsidP="00AC35FE">
            <w:pPr>
              <w:spacing w:before="40" w:after="40" w:line="240" w:lineRule="auto"/>
              <w:rPr>
                <w:b/>
              </w:rPr>
            </w:pPr>
            <w:r>
              <w:rPr>
                <w:b/>
              </w:rPr>
              <w:t>Haydn’s theme</w:t>
            </w:r>
          </w:p>
        </w:tc>
      </w:tr>
      <w:tr w:rsidR="00E27AD9" w:rsidRPr="00761168">
        <w:trPr>
          <w:jc w:val="center"/>
        </w:trPr>
        <w:tc>
          <w:tcPr>
            <w:tcW w:w="1765" w:type="dxa"/>
            <w:gridSpan w:val="2"/>
          </w:tcPr>
          <w:p w:rsidR="00E27AD9" w:rsidRPr="00761168" w:rsidRDefault="00E27AD9" w:rsidP="006062B9">
            <w:pPr>
              <w:spacing w:after="120" w:line="240" w:lineRule="auto"/>
            </w:pPr>
            <w:r w:rsidRPr="00761168">
              <w:t xml:space="preserve">10 </w:t>
            </w:r>
            <w:r w:rsidR="00AC35FE">
              <w:t>m</w:t>
            </w:r>
            <w:r w:rsidRPr="00761168">
              <w:t>inutes</w:t>
            </w:r>
          </w:p>
        </w:tc>
        <w:tc>
          <w:tcPr>
            <w:tcW w:w="3096" w:type="dxa"/>
          </w:tcPr>
          <w:p w:rsidR="00457CBD" w:rsidRDefault="00E27AD9" w:rsidP="006062B9">
            <w:pPr>
              <w:spacing w:after="120" w:line="240" w:lineRule="auto"/>
            </w:pPr>
            <w:r w:rsidRPr="00761168">
              <w:t xml:space="preserve">Listen to the </w:t>
            </w:r>
            <w:r w:rsidR="00457CBD">
              <w:t xml:space="preserve">first part of Haydn’s </w:t>
            </w:r>
            <w:r w:rsidR="00CF1CC7">
              <w:t>“</w:t>
            </w:r>
            <w:r w:rsidR="00457CBD">
              <w:t>Surprise</w:t>
            </w:r>
            <w:r w:rsidR="00CF1CC7">
              <w:t>”</w:t>
            </w:r>
            <w:r w:rsidR="00457CBD">
              <w:t xml:space="preserve"> theme.</w:t>
            </w:r>
          </w:p>
          <w:p w:rsidR="00E27AD9" w:rsidRPr="00761168" w:rsidRDefault="00E27AD9" w:rsidP="006062B9">
            <w:pPr>
              <w:spacing w:after="120" w:line="240" w:lineRule="auto"/>
            </w:pPr>
            <w:r w:rsidRPr="00761168">
              <w:t>Students identify how many phrases there are</w:t>
            </w:r>
            <w:r w:rsidR="004D23BD">
              <w:t xml:space="preserve">, </w:t>
            </w:r>
            <w:r w:rsidRPr="00761168">
              <w:t>how many ti</w:t>
            </w:r>
            <w:r w:rsidR="004D23BD">
              <w:t xml:space="preserve">mes the same melody is repeated, and </w:t>
            </w:r>
            <w:r w:rsidRPr="00761168">
              <w:t>what is different on the repeat of the melody.</w:t>
            </w:r>
          </w:p>
          <w:p w:rsidR="00365CC0" w:rsidRPr="00761168" w:rsidRDefault="00457CBD" w:rsidP="006062B9">
            <w:pPr>
              <w:spacing w:after="120" w:line="240" w:lineRule="auto"/>
            </w:pPr>
            <w:r>
              <w:t xml:space="preserve">Students clap </w:t>
            </w:r>
            <w:r w:rsidR="004D23BD">
              <w:t>and</w:t>
            </w:r>
            <w:r>
              <w:t xml:space="preserve"> </w:t>
            </w:r>
            <w:r w:rsidR="00E27AD9" w:rsidRPr="00761168">
              <w:t>move to the rhythm and hum the melody</w:t>
            </w:r>
            <w:r>
              <w:t>.</w:t>
            </w:r>
          </w:p>
        </w:tc>
        <w:tc>
          <w:tcPr>
            <w:tcW w:w="2520" w:type="dxa"/>
          </w:tcPr>
          <w:p w:rsidR="00457CBD" w:rsidRDefault="00E27AD9" w:rsidP="006062B9">
            <w:pPr>
              <w:spacing w:after="120" w:line="240" w:lineRule="auto"/>
            </w:pPr>
            <w:r w:rsidRPr="00761168">
              <w:t>Guide student listening.</w:t>
            </w:r>
          </w:p>
          <w:p w:rsidR="00E27AD9" w:rsidRPr="00761168" w:rsidRDefault="00457CBD" w:rsidP="006062B9">
            <w:pPr>
              <w:spacing w:after="120" w:line="240" w:lineRule="auto"/>
            </w:pPr>
            <w:r>
              <w:t>Encourage</w:t>
            </w:r>
            <w:r w:rsidRPr="00761168">
              <w:t xml:space="preserve"> </w:t>
            </w:r>
            <w:r>
              <w:t xml:space="preserve">students to </w:t>
            </w:r>
            <w:r w:rsidRPr="00761168">
              <w:t>move to the rhythms</w:t>
            </w:r>
            <w:r>
              <w:t xml:space="preserve"> </w:t>
            </w:r>
            <w:r w:rsidRPr="00761168">
              <w:t>of the theme and variation to help them feel how the rhythm changes</w:t>
            </w:r>
            <w:r>
              <w:t>.</w:t>
            </w:r>
          </w:p>
        </w:tc>
        <w:tc>
          <w:tcPr>
            <w:tcW w:w="2258" w:type="dxa"/>
          </w:tcPr>
          <w:p w:rsidR="00E27AD9" w:rsidRPr="00761168" w:rsidRDefault="00E27AD9" w:rsidP="006062B9">
            <w:pPr>
              <w:spacing w:after="120" w:line="240" w:lineRule="auto"/>
            </w:pPr>
            <w:r w:rsidRPr="00761168">
              <w:t xml:space="preserve">Recording of </w:t>
            </w:r>
            <w:r w:rsidR="00457CBD">
              <w:t>the second movement of Haydn’s “</w:t>
            </w:r>
            <w:r w:rsidRPr="00761168">
              <w:t>Surprise</w:t>
            </w:r>
            <w:r w:rsidR="00457CBD">
              <w:t>”</w:t>
            </w:r>
            <w:r w:rsidRPr="00761168">
              <w:t xml:space="preserve"> Symphony N</w:t>
            </w:r>
            <w:r w:rsidR="009709F9">
              <w:t>o.94 (s</w:t>
            </w:r>
            <w:r w:rsidR="00457CBD">
              <w:t>ee Teacher resources</w:t>
            </w:r>
            <w:r w:rsidRPr="00761168">
              <w:t>)</w:t>
            </w:r>
            <w:r w:rsidR="00457CBD">
              <w:t>.</w:t>
            </w:r>
            <w:r w:rsidRPr="00761168">
              <w:t xml:space="preserve"> </w:t>
            </w:r>
          </w:p>
        </w:tc>
      </w:tr>
      <w:tr w:rsidR="00E27AD9" w:rsidRPr="00761168">
        <w:trPr>
          <w:jc w:val="center"/>
        </w:trPr>
        <w:tc>
          <w:tcPr>
            <w:tcW w:w="1765" w:type="dxa"/>
            <w:gridSpan w:val="2"/>
          </w:tcPr>
          <w:p w:rsidR="00E27AD9" w:rsidRPr="00761168" w:rsidRDefault="00E27AD9" w:rsidP="006062B9">
            <w:pPr>
              <w:spacing w:after="120" w:line="240" w:lineRule="auto"/>
            </w:pPr>
            <w:r w:rsidRPr="00761168">
              <w:t xml:space="preserve">10 </w:t>
            </w:r>
            <w:r w:rsidR="00AC35FE">
              <w:t>m</w:t>
            </w:r>
            <w:r w:rsidRPr="00761168">
              <w:t>inutes</w:t>
            </w:r>
          </w:p>
        </w:tc>
        <w:tc>
          <w:tcPr>
            <w:tcW w:w="3096" w:type="dxa"/>
          </w:tcPr>
          <w:p w:rsidR="00E27AD9" w:rsidRPr="00761168" w:rsidRDefault="00E27AD9" w:rsidP="006062B9">
            <w:pPr>
              <w:spacing w:after="120" w:line="240" w:lineRule="auto"/>
            </w:pPr>
            <w:r w:rsidRPr="00761168">
              <w:t>Students write the rhythm of the first 16 beats of the theme into the beat boxes provided.</w:t>
            </w:r>
          </w:p>
        </w:tc>
        <w:tc>
          <w:tcPr>
            <w:tcW w:w="2520" w:type="dxa"/>
          </w:tcPr>
          <w:p w:rsidR="00E27AD9" w:rsidRPr="00761168" w:rsidRDefault="00E27AD9" w:rsidP="006062B9">
            <w:pPr>
              <w:spacing w:after="120" w:line="240" w:lineRule="auto"/>
            </w:pPr>
            <w:r w:rsidRPr="00761168">
              <w:t>Have the students first point to the beat boxes as they hum the rhythm, so they can decide how many sounds are heard on each beat</w:t>
            </w:r>
            <w:r w:rsidR="004D23BD">
              <w:t>.</w:t>
            </w:r>
          </w:p>
        </w:tc>
        <w:tc>
          <w:tcPr>
            <w:tcW w:w="2258" w:type="dxa"/>
          </w:tcPr>
          <w:p w:rsidR="00E27AD9" w:rsidRPr="00761168" w:rsidRDefault="00E27AD9" w:rsidP="006062B9">
            <w:pPr>
              <w:spacing w:after="120" w:line="240" w:lineRule="auto"/>
            </w:pPr>
          </w:p>
        </w:tc>
      </w:tr>
      <w:tr w:rsidR="00E27AD9" w:rsidRPr="00761168">
        <w:trPr>
          <w:jc w:val="center"/>
        </w:trPr>
        <w:tc>
          <w:tcPr>
            <w:tcW w:w="1765" w:type="dxa"/>
            <w:gridSpan w:val="2"/>
          </w:tcPr>
          <w:p w:rsidR="00E27AD9" w:rsidRPr="00761168" w:rsidRDefault="00AC35FE" w:rsidP="006062B9">
            <w:pPr>
              <w:spacing w:after="120" w:line="240" w:lineRule="auto"/>
            </w:pPr>
            <w:r>
              <w:t>5 m</w:t>
            </w:r>
            <w:r w:rsidR="00E27AD9" w:rsidRPr="00761168">
              <w:t>inutes</w:t>
            </w:r>
          </w:p>
        </w:tc>
        <w:tc>
          <w:tcPr>
            <w:tcW w:w="3096" w:type="dxa"/>
          </w:tcPr>
          <w:p w:rsidR="00E27AD9" w:rsidRPr="00761168" w:rsidRDefault="00E27AD9" w:rsidP="006062B9">
            <w:pPr>
              <w:spacing w:after="120" w:line="240" w:lineRule="auto"/>
            </w:pPr>
            <w:r w:rsidRPr="00761168">
              <w:t>Stu</w:t>
            </w:r>
            <w:r w:rsidR="004D23BD">
              <w:t>dents identify the melodic form.</w:t>
            </w:r>
          </w:p>
        </w:tc>
        <w:tc>
          <w:tcPr>
            <w:tcW w:w="2520" w:type="dxa"/>
          </w:tcPr>
          <w:p w:rsidR="00E27AD9" w:rsidRPr="00761168" w:rsidRDefault="00E27AD9" w:rsidP="006062B9">
            <w:pPr>
              <w:spacing w:after="120" w:line="240" w:lineRule="auto"/>
            </w:pPr>
            <w:r w:rsidRPr="00761168">
              <w:t>Guide student listening</w:t>
            </w:r>
            <w:r w:rsidR="004D23BD">
              <w:t>.</w:t>
            </w:r>
          </w:p>
        </w:tc>
        <w:tc>
          <w:tcPr>
            <w:tcW w:w="2258" w:type="dxa"/>
          </w:tcPr>
          <w:p w:rsidR="00E27AD9" w:rsidRPr="00761168" w:rsidRDefault="00E27AD9" w:rsidP="006062B9">
            <w:pPr>
              <w:spacing w:after="120" w:line="240" w:lineRule="auto"/>
            </w:pPr>
          </w:p>
        </w:tc>
      </w:tr>
      <w:tr w:rsidR="00E27AD9" w:rsidRPr="00AC35FE">
        <w:trPr>
          <w:jc w:val="center"/>
        </w:trPr>
        <w:tc>
          <w:tcPr>
            <w:tcW w:w="9639" w:type="dxa"/>
            <w:gridSpan w:val="5"/>
            <w:shd w:val="clear" w:color="auto" w:fill="E6E6E6"/>
          </w:tcPr>
          <w:p w:rsidR="00E27AD9" w:rsidRPr="00761168" w:rsidRDefault="00AC35FE" w:rsidP="00AC35FE">
            <w:pPr>
              <w:spacing w:before="40" w:after="40" w:line="240" w:lineRule="auto"/>
              <w:rPr>
                <w:b/>
              </w:rPr>
            </w:pPr>
            <w:r>
              <w:rPr>
                <w:b/>
              </w:rPr>
              <w:t xml:space="preserve">Haydn’s </w:t>
            </w:r>
            <w:r w:rsidR="00E27AD9" w:rsidRPr="00761168">
              <w:rPr>
                <w:b/>
              </w:rPr>
              <w:t>variation</w:t>
            </w:r>
          </w:p>
        </w:tc>
      </w:tr>
      <w:tr w:rsidR="00E27AD9" w:rsidRPr="00761168">
        <w:trPr>
          <w:jc w:val="center"/>
        </w:trPr>
        <w:tc>
          <w:tcPr>
            <w:tcW w:w="1765" w:type="dxa"/>
            <w:gridSpan w:val="2"/>
          </w:tcPr>
          <w:p w:rsidR="00E27AD9" w:rsidRPr="00761168" w:rsidRDefault="00AC35FE" w:rsidP="006062B9">
            <w:pPr>
              <w:spacing w:after="120" w:line="240" w:lineRule="auto"/>
            </w:pPr>
            <w:r>
              <w:t>5 m</w:t>
            </w:r>
            <w:r w:rsidR="00E27AD9" w:rsidRPr="00761168">
              <w:t>inutes</w:t>
            </w:r>
          </w:p>
        </w:tc>
        <w:tc>
          <w:tcPr>
            <w:tcW w:w="3096" w:type="dxa"/>
          </w:tcPr>
          <w:p w:rsidR="004D23BD" w:rsidRDefault="00E27AD9" w:rsidP="006062B9">
            <w:pPr>
              <w:spacing w:after="120" w:line="240" w:lineRule="auto"/>
            </w:pPr>
            <w:r w:rsidRPr="00761168">
              <w:t>Listen to the 3rd variation of Haydn’s theme.</w:t>
            </w:r>
            <w:r w:rsidR="00947B72">
              <w:t xml:space="preserve"> </w:t>
            </w:r>
          </w:p>
          <w:p w:rsidR="00E27AD9" w:rsidRPr="00761168" w:rsidRDefault="00E27AD9" w:rsidP="006062B9">
            <w:pPr>
              <w:spacing w:after="120" w:line="240" w:lineRule="auto"/>
            </w:pPr>
            <w:r w:rsidRPr="00761168">
              <w:t>Students clap</w:t>
            </w:r>
            <w:r w:rsidR="004D23BD">
              <w:t xml:space="preserve"> and </w:t>
            </w:r>
            <w:r w:rsidRPr="00761168">
              <w:t>move to the new rhythm and hum the melody.</w:t>
            </w:r>
          </w:p>
        </w:tc>
        <w:tc>
          <w:tcPr>
            <w:tcW w:w="2520" w:type="dxa"/>
          </w:tcPr>
          <w:p w:rsidR="00E27AD9" w:rsidRPr="00761168" w:rsidRDefault="00E27AD9" w:rsidP="006062B9">
            <w:pPr>
              <w:spacing w:after="120" w:line="240" w:lineRule="auto"/>
            </w:pPr>
            <w:r w:rsidRPr="00761168">
              <w:t>Guide student listening</w:t>
            </w:r>
            <w:r w:rsidR="004D23BD">
              <w:t>.</w:t>
            </w:r>
          </w:p>
        </w:tc>
        <w:tc>
          <w:tcPr>
            <w:tcW w:w="2258" w:type="dxa"/>
          </w:tcPr>
          <w:p w:rsidR="00E27AD9" w:rsidRPr="00761168" w:rsidRDefault="00E27AD9" w:rsidP="006062B9">
            <w:pPr>
              <w:spacing w:after="120" w:line="240" w:lineRule="auto"/>
            </w:pPr>
            <w:r w:rsidRPr="00761168">
              <w:t xml:space="preserve">Recording of the second movement of </w:t>
            </w:r>
            <w:r w:rsidR="00457CBD">
              <w:t>Haydn’s “</w:t>
            </w:r>
            <w:r w:rsidRPr="00761168">
              <w:t>Surprise</w:t>
            </w:r>
            <w:r w:rsidR="009709F9">
              <w:t>” Symphony No.94. (s</w:t>
            </w:r>
            <w:r w:rsidR="00457CBD">
              <w:t>ee T</w:t>
            </w:r>
            <w:r w:rsidRPr="00761168">
              <w:t>eacher resources</w:t>
            </w:r>
            <w:r w:rsidR="00457CBD">
              <w:t>)</w:t>
            </w:r>
            <w:r w:rsidR="009709F9">
              <w:t>.</w:t>
            </w:r>
          </w:p>
        </w:tc>
      </w:tr>
      <w:tr w:rsidR="00E27AD9" w:rsidRPr="00761168">
        <w:trPr>
          <w:jc w:val="center"/>
        </w:trPr>
        <w:tc>
          <w:tcPr>
            <w:tcW w:w="1765" w:type="dxa"/>
            <w:gridSpan w:val="2"/>
          </w:tcPr>
          <w:p w:rsidR="00E27AD9" w:rsidRPr="00761168" w:rsidRDefault="00E27AD9" w:rsidP="006062B9">
            <w:pPr>
              <w:spacing w:after="120" w:line="240" w:lineRule="auto"/>
            </w:pPr>
            <w:r w:rsidRPr="00761168">
              <w:t xml:space="preserve">10 </w:t>
            </w:r>
            <w:r w:rsidR="00457CBD">
              <w:t>minutes</w:t>
            </w:r>
          </w:p>
        </w:tc>
        <w:tc>
          <w:tcPr>
            <w:tcW w:w="3096" w:type="dxa"/>
          </w:tcPr>
          <w:p w:rsidR="00E27AD9" w:rsidRPr="00761168" w:rsidRDefault="00E27AD9" w:rsidP="006062B9">
            <w:pPr>
              <w:spacing w:after="120" w:line="240" w:lineRule="auto"/>
            </w:pPr>
            <w:r w:rsidRPr="00761168">
              <w:t>Students write the rhythm of the first 16 beats of the variation into the beat boxes provided.</w:t>
            </w:r>
          </w:p>
          <w:p w:rsidR="00E27AD9" w:rsidRPr="00761168" w:rsidRDefault="00E27AD9" w:rsidP="006062B9">
            <w:pPr>
              <w:spacing w:after="120" w:line="240" w:lineRule="auto"/>
            </w:pPr>
            <w:r w:rsidRPr="00761168">
              <w:t>Students identify whether the melody has changed separately from the rhythmic change.</w:t>
            </w:r>
          </w:p>
        </w:tc>
        <w:tc>
          <w:tcPr>
            <w:tcW w:w="2520" w:type="dxa"/>
          </w:tcPr>
          <w:p w:rsidR="00E27AD9" w:rsidRPr="00761168" w:rsidRDefault="00E27AD9" w:rsidP="006062B9">
            <w:pPr>
              <w:spacing w:after="120" w:line="240" w:lineRule="auto"/>
            </w:pPr>
            <w:r w:rsidRPr="00761168">
              <w:t>Have the students first point to the beat boxes as they hum the rhythm, so they can decide how many sounds are heard on each beat</w:t>
            </w:r>
            <w:r w:rsidR="004D23BD">
              <w:t>.</w:t>
            </w:r>
          </w:p>
        </w:tc>
        <w:tc>
          <w:tcPr>
            <w:tcW w:w="2258" w:type="dxa"/>
          </w:tcPr>
          <w:p w:rsidR="00E27AD9" w:rsidRPr="00761168" w:rsidRDefault="00E27AD9" w:rsidP="006062B9">
            <w:pPr>
              <w:spacing w:after="120" w:line="240" w:lineRule="auto"/>
            </w:pPr>
          </w:p>
        </w:tc>
      </w:tr>
      <w:tr w:rsidR="00E27AD9" w:rsidRPr="00761168">
        <w:trPr>
          <w:jc w:val="center"/>
        </w:trPr>
        <w:tc>
          <w:tcPr>
            <w:tcW w:w="9639" w:type="dxa"/>
            <w:gridSpan w:val="5"/>
            <w:shd w:val="clear" w:color="auto" w:fill="D9D9D9"/>
          </w:tcPr>
          <w:p w:rsidR="00E27AD9" w:rsidRPr="00761168" w:rsidRDefault="00E27AD9" w:rsidP="004D23BD">
            <w:pPr>
              <w:keepNext/>
              <w:spacing w:after="120" w:line="240" w:lineRule="auto"/>
              <w:rPr>
                <w:b/>
              </w:rPr>
            </w:pPr>
            <w:r w:rsidRPr="00761168">
              <w:rPr>
                <w:b/>
              </w:rPr>
              <w:t>Section 2. My theme</w:t>
            </w:r>
          </w:p>
        </w:tc>
      </w:tr>
      <w:tr w:rsidR="00E27AD9" w:rsidRPr="00761168">
        <w:trPr>
          <w:jc w:val="center"/>
        </w:trPr>
        <w:tc>
          <w:tcPr>
            <w:tcW w:w="1765" w:type="dxa"/>
            <w:gridSpan w:val="2"/>
          </w:tcPr>
          <w:p w:rsidR="00E27AD9" w:rsidRPr="00761168" w:rsidRDefault="00E27AD9" w:rsidP="004D23BD">
            <w:pPr>
              <w:keepNext/>
              <w:spacing w:after="120" w:line="240" w:lineRule="auto"/>
            </w:pPr>
            <w:r w:rsidRPr="00761168">
              <w:t xml:space="preserve">5 </w:t>
            </w:r>
            <w:r w:rsidR="00AC35FE">
              <w:t>m</w:t>
            </w:r>
            <w:r w:rsidRPr="00761168">
              <w:t>inutes</w:t>
            </w:r>
          </w:p>
        </w:tc>
        <w:tc>
          <w:tcPr>
            <w:tcW w:w="3096" w:type="dxa"/>
          </w:tcPr>
          <w:p w:rsidR="00E27AD9" w:rsidRPr="00761168" w:rsidRDefault="00E27AD9" w:rsidP="004D23BD">
            <w:pPr>
              <w:keepNext/>
              <w:spacing w:after="120" w:line="240" w:lineRule="auto"/>
            </w:pPr>
            <w:r w:rsidRPr="00761168">
              <w:t>Students write their own rhy</w:t>
            </w:r>
            <w:r w:rsidR="004D23BD">
              <w:t>thmic theme using ta’s, ti</w:t>
            </w:r>
            <w:r w:rsidR="004D23BD">
              <w:noBreakHyphen/>
            </w:r>
            <w:r w:rsidRPr="00761168">
              <w:t>ti’s and za’s</w:t>
            </w:r>
            <w:r w:rsidR="009709F9">
              <w:t>.</w:t>
            </w:r>
          </w:p>
        </w:tc>
        <w:tc>
          <w:tcPr>
            <w:tcW w:w="2520" w:type="dxa"/>
          </w:tcPr>
          <w:p w:rsidR="00E27AD9" w:rsidRPr="00761168" w:rsidRDefault="00E27AD9" w:rsidP="004D23BD">
            <w:pPr>
              <w:keepNext/>
              <w:spacing w:after="120" w:line="240" w:lineRule="auto"/>
            </w:pPr>
            <w:r w:rsidRPr="00761168">
              <w:t>Guide student writing</w:t>
            </w:r>
            <w:r w:rsidR="004D23BD">
              <w:t>.</w:t>
            </w:r>
          </w:p>
        </w:tc>
        <w:tc>
          <w:tcPr>
            <w:tcW w:w="2258" w:type="dxa"/>
          </w:tcPr>
          <w:p w:rsidR="00E27AD9" w:rsidRPr="00761168" w:rsidRDefault="00E27AD9" w:rsidP="004D23BD">
            <w:pPr>
              <w:keepNext/>
              <w:spacing w:after="120" w:line="240" w:lineRule="auto"/>
            </w:pPr>
          </w:p>
        </w:tc>
      </w:tr>
      <w:tr w:rsidR="00E27AD9" w:rsidRPr="00761168">
        <w:trPr>
          <w:jc w:val="center"/>
        </w:trPr>
        <w:tc>
          <w:tcPr>
            <w:tcW w:w="1765" w:type="dxa"/>
            <w:gridSpan w:val="2"/>
          </w:tcPr>
          <w:p w:rsidR="00E27AD9" w:rsidRPr="00761168" w:rsidRDefault="00E27AD9" w:rsidP="006062B9">
            <w:pPr>
              <w:spacing w:after="120" w:line="240" w:lineRule="auto"/>
            </w:pPr>
            <w:r w:rsidRPr="00761168">
              <w:t xml:space="preserve">10 </w:t>
            </w:r>
            <w:r w:rsidR="00AC35FE">
              <w:t>m</w:t>
            </w:r>
            <w:r w:rsidRPr="00761168">
              <w:t>inutes</w:t>
            </w:r>
          </w:p>
        </w:tc>
        <w:tc>
          <w:tcPr>
            <w:tcW w:w="3096" w:type="dxa"/>
          </w:tcPr>
          <w:p w:rsidR="00E27AD9" w:rsidRPr="00761168" w:rsidRDefault="00E27AD9" w:rsidP="006062B9">
            <w:pPr>
              <w:spacing w:after="120" w:line="240" w:lineRule="auto"/>
            </w:pPr>
            <w:r w:rsidRPr="00761168">
              <w:t xml:space="preserve">Students write their own melody using the </w:t>
            </w:r>
            <w:r w:rsidRPr="004D23BD">
              <w:rPr>
                <w:i/>
              </w:rPr>
              <w:t>do</w:t>
            </w:r>
            <w:r w:rsidRPr="00761168">
              <w:t xml:space="preserve"> pentatonic scale</w:t>
            </w:r>
            <w:r w:rsidR="009709F9">
              <w:t>.</w:t>
            </w:r>
          </w:p>
        </w:tc>
        <w:tc>
          <w:tcPr>
            <w:tcW w:w="2520" w:type="dxa"/>
          </w:tcPr>
          <w:p w:rsidR="00E27AD9" w:rsidRPr="00761168" w:rsidRDefault="00E27AD9" w:rsidP="006062B9">
            <w:pPr>
              <w:spacing w:after="120" w:line="240" w:lineRule="auto"/>
            </w:pPr>
            <w:r w:rsidRPr="00761168">
              <w:t xml:space="preserve">Have the students sing the </w:t>
            </w:r>
            <w:r w:rsidRPr="004D23BD">
              <w:rPr>
                <w:i/>
              </w:rPr>
              <w:t>do</w:t>
            </w:r>
            <w:r w:rsidRPr="00761168">
              <w:t xml:space="preserve"> pentatonic scale.</w:t>
            </w:r>
          </w:p>
          <w:p w:rsidR="00E27AD9" w:rsidRPr="00761168" w:rsidRDefault="00E27AD9" w:rsidP="006062B9">
            <w:pPr>
              <w:spacing w:after="120" w:line="240" w:lineRule="auto"/>
            </w:pPr>
            <w:r w:rsidRPr="00761168">
              <w:t>Remind students to use the same form as Haydn</w:t>
            </w:r>
            <w:r w:rsidR="00274626">
              <w:t>.</w:t>
            </w:r>
          </w:p>
        </w:tc>
        <w:tc>
          <w:tcPr>
            <w:tcW w:w="2258" w:type="dxa"/>
          </w:tcPr>
          <w:p w:rsidR="00E27AD9" w:rsidRPr="00761168" w:rsidRDefault="00E27AD9" w:rsidP="006062B9">
            <w:pPr>
              <w:spacing w:after="120" w:line="240" w:lineRule="auto"/>
            </w:pPr>
          </w:p>
        </w:tc>
      </w:tr>
      <w:tr w:rsidR="00E27AD9" w:rsidRPr="00761168">
        <w:trPr>
          <w:jc w:val="center"/>
        </w:trPr>
        <w:tc>
          <w:tcPr>
            <w:tcW w:w="9639" w:type="dxa"/>
            <w:gridSpan w:val="5"/>
            <w:shd w:val="clear" w:color="auto" w:fill="D9D9D9"/>
          </w:tcPr>
          <w:p w:rsidR="00E27AD9" w:rsidRPr="00761168" w:rsidRDefault="00E27AD9" w:rsidP="006062B9">
            <w:pPr>
              <w:spacing w:after="120" w:line="240" w:lineRule="auto"/>
              <w:rPr>
                <w:b/>
              </w:rPr>
            </w:pPr>
            <w:r w:rsidRPr="00761168">
              <w:rPr>
                <w:b/>
              </w:rPr>
              <w:t>Section 3. My variation</w:t>
            </w:r>
          </w:p>
        </w:tc>
      </w:tr>
      <w:tr w:rsidR="00E27AD9" w:rsidRPr="00761168">
        <w:trPr>
          <w:jc w:val="center"/>
        </w:trPr>
        <w:tc>
          <w:tcPr>
            <w:tcW w:w="1765" w:type="dxa"/>
            <w:gridSpan w:val="2"/>
          </w:tcPr>
          <w:p w:rsidR="00E27AD9" w:rsidRPr="00761168" w:rsidRDefault="00AC35FE" w:rsidP="006062B9">
            <w:pPr>
              <w:spacing w:after="120" w:line="240" w:lineRule="auto"/>
            </w:pPr>
            <w:r>
              <w:t>10 m</w:t>
            </w:r>
            <w:r w:rsidR="00E27AD9" w:rsidRPr="00761168">
              <w:t>inutes</w:t>
            </w:r>
          </w:p>
        </w:tc>
        <w:tc>
          <w:tcPr>
            <w:tcW w:w="3096" w:type="dxa"/>
          </w:tcPr>
          <w:p w:rsidR="00E27AD9" w:rsidRPr="00761168" w:rsidRDefault="00E27AD9" w:rsidP="006062B9">
            <w:pPr>
              <w:spacing w:after="120" w:line="240" w:lineRule="auto"/>
            </w:pPr>
            <w:r w:rsidRPr="00761168">
              <w:t>Students write their own rhythmic variation using known rhythms.</w:t>
            </w:r>
          </w:p>
        </w:tc>
        <w:tc>
          <w:tcPr>
            <w:tcW w:w="2520" w:type="dxa"/>
          </w:tcPr>
          <w:p w:rsidR="00E27AD9" w:rsidRPr="00761168" w:rsidRDefault="00E27AD9" w:rsidP="006062B9">
            <w:pPr>
              <w:spacing w:after="120" w:line="240" w:lineRule="auto"/>
            </w:pPr>
            <w:r w:rsidRPr="00761168">
              <w:t>Guide student writing</w:t>
            </w:r>
            <w:r w:rsidR="004D23BD">
              <w:t>.</w:t>
            </w:r>
          </w:p>
        </w:tc>
        <w:tc>
          <w:tcPr>
            <w:tcW w:w="2258" w:type="dxa"/>
          </w:tcPr>
          <w:p w:rsidR="00E27AD9" w:rsidRPr="00761168" w:rsidRDefault="00E27AD9" w:rsidP="006062B9">
            <w:pPr>
              <w:spacing w:after="120" w:line="240" w:lineRule="auto"/>
            </w:pPr>
          </w:p>
        </w:tc>
      </w:tr>
      <w:tr w:rsidR="00E27AD9" w:rsidRPr="00761168">
        <w:trPr>
          <w:jc w:val="center"/>
        </w:trPr>
        <w:tc>
          <w:tcPr>
            <w:tcW w:w="1765" w:type="dxa"/>
            <w:gridSpan w:val="2"/>
          </w:tcPr>
          <w:p w:rsidR="00E27AD9" w:rsidRPr="00761168" w:rsidRDefault="00AC35FE" w:rsidP="006062B9">
            <w:pPr>
              <w:spacing w:after="120" w:line="240" w:lineRule="auto"/>
            </w:pPr>
            <w:r>
              <w:t>5 m</w:t>
            </w:r>
            <w:r w:rsidR="00E27AD9" w:rsidRPr="00761168">
              <w:t>inutes</w:t>
            </w:r>
          </w:p>
        </w:tc>
        <w:tc>
          <w:tcPr>
            <w:tcW w:w="3096" w:type="dxa"/>
          </w:tcPr>
          <w:p w:rsidR="00E27AD9" w:rsidRPr="00761168" w:rsidRDefault="00E27AD9" w:rsidP="006062B9">
            <w:pPr>
              <w:spacing w:after="120" w:line="240" w:lineRule="auto"/>
            </w:pPr>
            <w:r w:rsidRPr="00761168">
              <w:t>Students add their melody to their varied rhythm.</w:t>
            </w:r>
          </w:p>
        </w:tc>
        <w:tc>
          <w:tcPr>
            <w:tcW w:w="2520" w:type="dxa"/>
          </w:tcPr>
          <w:p w:rsidR="00E27AD9" w:rsidRPr="00761168" w:rsidRDefault="00E27AD9" w:rsidP="006062B9">
            <w:pPr>
              <w:spacing w:after="120" w:line="240" w:lineRule="auto"/>
            </w:pPr>
            <w:r w:rsidRPr="00761168">
              <w:t>Remind students that their melody should remain the same as the one they used for their theme (altered by rhythm</w:t>
            </w:r>
            <w:r w:rsidR="004D23BD">
              <w:t xml:space="preserve"> only</w:t>
            </w:r>
            <w:r w:rsidRPr="00761168">
              <w:t>)</w:t>
            </w:r>
            <w:r w:rsidR="004D23BD">
              <w:t>.</w:t>
            </w:r>
          </w:p>
        </w:tc>
        <w:tc>
          <w:tcPr>
            <w:tcW w:w="2258" w:type="dxa"/>
          </w:tcPr>
          <w:p w:rsidR="00E27AD9" w:rsidRPr="00761168" w:rsidRDefault="00E27AD9" w:rsidP="006062B9">
            <w:pPr>
              <w:spacing w:after="120" w:line="240" w:lineRule="auto"/>
            </w:pPr>
          </w:p>
        </w:tc>
      </w:tr>
      <w:tr w:rsidR="00E27AD9" w:rsidRPr="00761168">
        <w:trPr>
          <w:jc w:val="center"/>
        </w:trPr>
        <w:tc>
          <w:tcPr>
            <w:tcW w:w="9639" w:type="dxa"/>
            <w:gridSpan w:val="5"/>
            <w:shd w:val="clear" w:color="auto" w:fill="D9D9D9"/>
          </w:tcPr>
          <w:p w:rsidR="00E27AD9" w:rsidRPr="00761168" w:rsidRDefault="00E27AD9" w:rsidP="006062B9">
            <w:pPr>
              <w:spacing w:after="120" w:line="240" w:lineRule="auto"/>
              <w:rPr>
                <w:b/>
              </w:rPr>
            </w:pPr>
            <w:r w:rsidRPr="00761168">
              <w:rPr>
                <w:b/>
              </w:rPr>
              <w:t>Section 4. Write your music like a master</w:t>
            </w:r>
          </w:p>
        </w:tc>
      </w:tr>
      <w:tr w:rsidR="00E27AD9" w:rsidRPr="00761168">
        <w:trPr>
          <w:jc w:val="center"/>
        </w:trPr>
        <w:tc>
          <w:tcPr>
            <w:tcW w:w="1765" w:type="dxa"/>
            <w:gridSpan w:val="2"/>
          </w:tcPr>
          <w:p w:rsidR="00E27AD9" w:rsidRPr="00761168" w:rsidRDefault="00AC35FE" w:rsidP="006062B9">
            <w:pPr>
              <w:spacing w:after="120" w:line="240" w:lineRule="auto"/>
            </w:pPr>
            <w:r>
              <w:t>30 m</w:t>
            </w:r>
            <w:r w:rsidR="00E27AD9" w:rsidRPr="00761168">
              <w:t>inutes</w:t>
            </w:r>
          </w:p>
        </w:tc>
        <w:tc>
          <w:tcPr>
            <w:tcW w:w="3096" w:type="dxa"/>
          </w:tcPr>
          <w:p w:rsidR="00E27AD9" w:rsidRPr="00761168" w:rsidRDefault="00E27AD9" w:rsidP="006062B9">
            <w:pPr>
              <w:spacing w:after="120" w:line="240" w:lineRule="auto"/>
            </w:pPr>
            <w:r w:rsidRPr="00761168">
              <w:t>As a class</w:t>
            </w:r>
            <w:r w:rsidR="004D23BD">
              <w:t>,</w:t>
            </w:r>
            <w:r w:rsidRPr="00761168">
              <w:t xml:space="preserve"> write the first 2 bars of Haydn’s theme on </w:t>
            </w:r>
            <w:r w:rsidR="004D23BD">
              <w:t xml:space="preserve">the </w:t>
            </w:r>
            <w:r w:rsidRPr="00761168">
              <w:t>manuscript.</w:t>
            </w:r>
          </w:p>
          <w:p w:rsidR="00E27AD9" w:rsidRPr="00761168" w:rsidRDefault="00E27AD9" w:rsidP="006062B9">
            <w:pPr>
              <w:spacing w:after="120" w:line="240" w:lineRule="auto"/>
            </w:pPr>
            <w:r w:rsidRPr="00761168">
              <w:t>Students write their theme and variation on the manuscript provided</w:t>
            </w:r>
            <w:r w:rsidR="004D23BD">
              <w:t>.</w:t>
            </w:r>
          </w:p>
        </w:tc>
        <w:tc>
          <w:tcPr>
            <w:tcW w:w="2520" w:type="dxa"/>
          </w:tcPr>
          <w:p w:rsidR="00E27AD9" w:rsidRPr="00761168" w:rsidRDefault="00E27AD9" w:rsidP="006062B9">
            <w:pPr>
              <w:spacing w:after="120" w:line="240" w:lineRule="auto"/>
            </w:pPr>
            <w:r w:rsidRPr="00761168">
              <w:t>Help the students to decide what time signature is required, and how many beats they will need to write per bar.</w:t>
            </w:r>
          </w:p>
        </w:tc>
        <w:tc>
          <w:tcPr>
            <w:tcW w:w="2258" w:type="dxa"/>
          </w:tcPr>
          <w:p w:rsidR="00E27AD9" w:rsidRPr="00761168" w:rsidRDefault="00E27AD9" w:rsidP="006062B9">
            <w:pPr>
              <w:spacing w:after="120" w:line="240" w:lineRule="auto"/>
            </w:pPr>
          </w:p>
        </w:tc>
      </w:tr>
      <w:tr w:rsidR="00E27AD9" w:rsidRPr="00761168">
        <w:trPr>
          <w:cantSplit/>
          <w:jc w:val="center"/>
        </w:trPr>
        <w:tc>
          <w:tcPr>
            <w:tcW w:w="9639" w:type="dxa"/>
            <w:gridSpan w:val="5"/>
            <w:shd w:val="clear" w:color="auto" w:fill="D9D9D9"/>
          </w:tcPr>
          <w:p w:rsidR="00E27AD9" w:rsidRPr="00761168" w:rsidRDefault="00E27AD9" w:rsidP="006062B9">
            <w:pPr>
              <w:spacing w:after="120" w:line="240" w:lineRule="auto"/>
              <w:rPr>
                <w:b/>
              </w:rPr>
            </w:pPr>
            <w:r w:rsidRPr="00761168">
              <w:rPr>
                <w:b/>
              </w:rPr>
              <w:t xml:space="preserve">Section 5. Perform </w:t>
            </w:r>
            <w:r w:rsidR="00AC35FE">
              <w:rPr>
                <w:b/>
              </w:rPr>
              <w:t xml:space="preserve">your </w:t>
            </w:r>
            <w:r w:rsidRPr="00761168">
              <w:rPr>
                <w:b/>
              </w:rPr>
              <w:t>theme and variation</w:t>
            </w:r>
          </w:p>
        </w:tc>
      </w:tr>
      <w:tr w:rsidR="00E27AD9" w:rsidRPr="00761168">
        <w:trPr>
          <w:jc w:val="center"/>
        </w:trPr>
        <w:tc>
          <w:tcPr>
            <w:tcW w:w="1765" w:type="dxa"/>
            <w:gridSpan w:val="2"/>
          </w:tcPr>
          <w:p w:rsidR="00E27AD9" w:rsidRPr="00761168" w:rsidRDefault="00AC35FE" w:rsidP="006062B9">
            <w:pPr>
              <w:spacing w:after="120" w:line="240" w:lineRule="auto"/>
            </w:pPr>
            <w:r>
              <w:t>30 m</w:t>
            </w:r>
            <w:r w:rsidR="00E27AD9" w:rsidRPr="00761168">
              <w:t>inutes</w:t>
            </w:r>
          </w:p>
        </w:tc>
        <w:tc>
          <w:tcPr>
            <w:tcW w:w="3096" w:type="dxa"/>
          </w:tcPr>
          <w:p w:rsidR="00E27AD9" w:rsidRPr="00761168" w:rsidRDefault="004D23BD" w:rsidP="006062B9">
            <w:pPr>
              <w:spacing w:after="120" w:line="240" w:lineRule="auto"/>
            </w:pPr>
            <w:r>
              <w:t xml:space="preserve">Let students </w:t>
            </w:r>
            <w:r w:rsidR="00E27AD9" w:rsidRPr="00761168">
              <w:t>rehearse their theme and variation.</w:t>
            </w:r>
          </w:p>
          <w:p w:rsidR="00E27AD9" w:rsidRPr="00761168" w:rsidRDefault="00E27AD9" w:rsidP="006062B9">
            <w:pPr>
              <w:spacing w:after="120" w:line="240" w:lineRule="auto"/>
            </w:pPr>
            <w:r w:rsidRPr="00761168">
              <w:t>Have students practice for each other and provide constructive feedback</w:t>
            </w:r>
            <w:r w:rsidR="004D23BD">
              <w:t>.</w:t>
            </w:r>
          </w:p>
        </w:tc>
        <w:tc>
          <w:tcPr>
            <w:tcW w:w="2520" w:type="dxa"/>
          </w:tcPr>
          <w:p w:rsidR="00E27AD9" w:rsidRPr="00761168" w:rsidRDefault="00E27AD9" w:rsidP="006062B9">
            <w:pPr>
              <w:spacing w:after="120" w:line="240" w:lineRule="auto"/>
            </w:pPr>
            <w:r w:rsidRPr="00761168">
              <w:t>Guide student rehearsal</w:t>
            </w:r>
            <w:r w:rsidR="004D23BD">
              <w:t>.</w:t>
            </w:r>
          </w:p>
        </w:tc>
        <w:tc>
          <w:tcPr>
            <w:tcW w:w="2258" w:type="dxa"/>
          </w:tcPr>
          <w:p w:rsidR="00E27AD9" w:rsidRDefault="00E27AD9" w:rsidP="006062B9">
            <w:pPr>
              <w:spacing w:after="120" w:line="240" w:lineRule="auto"/>
            </w:pPr>
            <w:r w:rsidRPr="00761168">
              <w:t>Instruments or voices</w:t>
            </w:r>
            <w:r w:rsidR="004D23BD">
              <w:t>.</w:t>
            </w:r>
          </w:p>
          <w:p w:rsidR="004D23BD" w:rsidRPr="00761168" w:rsidRDefault="004D23BD" w:rsidP="006062B9">
            <w:pPr>
              <w:spacing w:after="120" w:line="240" w:lineRule="auto"/>
            </w:pPr>
            <w:r>
              <w:t>Appendix A, Music word bank.</w:t>
            </w:r>
          </w:p>
        </w:tc>
      </w:tr>
      <w:tr w:rsidR="00E27AD9" w:rsidRPr="00761168">
        <w:trPr>
          <w:jc w:val="center"/>
        </w:trPr>
        <w:tc>
          <w:tcPr>
            <w:tcW w:w="1765" w:type="dxa"/>
            <w:gridSpan w:val="2"/>
          </w:tcPr>
          <w:p w:rsidR="00E27AD9" w:rsidRPr="00761168" w:rsidRDefault="00E27AD9" w:rsidP="006062B9">
            <w:pPr>
              <w:spacing w:after="120" w:line="240" w:lineRule="auto"/>
            </w:pPr>
            <w:r w:rsidRPr="00761168">
              <w:t>Dependant on class size</w:t>
            </w:r>
          </w:p>
        </w:tc>
        <w:tc>
          <w:tcPr>
            <w:tcW w:w="3096" w:type="dxa"/>
          </w:tcPr>
          <w:p w:rsidR="00E27AD9" w:rsidRPr="00761168" w:rsidRDefault="00E27AD9" w:rsidP="006062B9">
            <w:pPr>
              <w:spacing w:after="120" w:line="240" w:lineRule="auto"/>
            </w:pPr>
            <w:r w:rsidRPr="00761168">
              <w:t>Students perform their theme and variation for their peers</w:t>
            </w:r>
            <w:r w:rsidR="009709F9">
              <w:t>.</w:t>
            </w:r>
          </w:p>
        </w:tc>
        <w:tc>
          <w:tcPr>
            <w:tcW w:w="2520" w:type="dxa"/>
          </w:tcPr>
          <w:p w:rsidR="00E27AD9" w:rsidRPr="00761168" w:rsidRDefault="00E27AD9" w:rsidP="006062B9">
            <w:pPr>
              <w:spacing w:after="120" w:line="240" w:lineRule="auto"/>
            </w:pPr>
            <w:r w:rsidRPr="00761168">
              <w:t>Teacher guides the performance order and ensure appropriate audience behaviour.</w:t>
            </w:r>
          </w:p>
        </w:tc>
        <w:tc>
          <w:tcPr>
            <w:tcW w:w="2258" w:type="dxa"/>
          </w:tcPr>
          <w:p w:rsidR="00E27AD9" w:rsidRPr="00761168" w:rsidRDefault="004D23BD" w:rsidP="006062B9">
            <w:pPr>
              <w:spacing w:after="120" w:line="240" w:lineRule="auto"/>
            </w:pPr>
            <w:r w:rsidRPr="00761168">
              <w:t>Instruments or voices</w:t>
            </w:r>
            <w:r>
              <w:t>.</w:t>
            </w:r>
          </w:p>
        </w:tc>
      </w:tr>
      <w:tr w:rsidR="00AB2C0A" w:rsidRPr="0076116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AB2C0A" w:rsidRPr="00761168" w:rsidRDefault="00AB2C0A" w:rsidP="00E27AD9">
            <w:pPr>
              <w:spacing w:before="0" w:after="0" w:line="240" w:lineRule="auto"/>
            </w:pPr>
            <w:r w:rsidRPr="00761168">
              <w:br w:type="page"/>
            </w:r>
            <w:r w:rsidR="002A1382">
              <w:rPr>
                <w:noProof/>
              </w:rPr>
              <w:drawing>
                <wp:inline distT="0" distB="0" distL="0" distR="0">
                  <wp:extent cx="542290" cy="542290"/>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8565" w:type="dxa"/>
            <w:gridSpan w:val="4"/>
            <w:vAlign w:val="center"/>
          </w:tcPr>
          <w:p w:rsidR="00AB2C0A" w:rsidRPr="00761168" w:rsidRDefault="00AB2C0A" w:rsidP="00AA4B06">
            <w:pPr>
              <w:pStyle w:val="Heading2"/>
              <w:pageBreakBefore/>
              <w:spacing w:before="0" w:after="0"/>
            </w:pPr>
            <w:r w:rsidRPr="00761168">
              <w:rPr>
                <w:noProof/>
              </w:rPr>
              <w:t>Resources for the assessment</w:t>
            </w:r>
          </w:p>
        </w:tc>
      </w:tr>
    </w:tbl>
    <w:p w:rsidR="00E27AD9" w:rsidRPr="00761168" w:rsidRDefault="005108AD" w:rsidP="005108AD">
      <w:pPr>
        <w:tabs>
          <w:tab w:val="left" w:pos="1414"/>
        </w:tabs>
        <w:ind w:left="1418" w:hanging="1418"/>
      </w:pPr>
      <w:r>
        <w:t>Appendix A</w:t>
      </w:r>
      <w:r>
        <w:tab/>
      </w:r>
      <w:r w:rsidR="009709F9">
        <w:t>Music word b</w:t>
      </w:r>
      <w:r w:rsidR="00E27AD9" w:rsidRPr="00761168">
        <w:t xml:space="preserve">ank </w:t>
      </w:r>
      <w:r w:rsidR="004D23BD">
        <w:t>—</w:t>
      </w:r>
      <w:r w:rsidR="00E27AD9" w:rsidRPr="00761168">
        <w:t xml:space="preserve"> This </w:t>
      </w:r>
      <w:r w:rsidR="004D23BD">
        <w:t xml:space="preserve">is a bank of </w:t>
      </w:r>
      <w:r w:rsidR="00E27AD9" w:rsidRPr="00761168">
        <w:t>safe words tha</w:t>
      </w:r>
      <w:r>
        <w:t xml:space="preserve">t students can use when giving </w:t>
      </w:r>
      <w:r w:rsidR="00E27AD9" w:rsidRPr="00761168">
        <w:t>peer feedback.</w:t>
      </w:r>
    </w:p>
    <w:p w:rsidR="00E27AD9" w:rsidRPr="00761168" w:rsidRDefault="005108AD" w:rsidP="005108AD">
      <w:pPr>
        <w:tabs>
          <w:tab w:val="left" w:pos="1414"/>
        </w:tabs>
        <w:ind w:left="1418" w:hanging="1418"/>
      </w:pPr>
      <w:r>
        <w:t>Appendix B</w:t>
      </w:r>
      <w:r>
        <w:tab/>
      </w:r>
      <w:r w:rsidR="004D23BD">
        <w:t>Melody for Haydn’s “Surprise”</w:t>
      </w:r>
      <w:r w:rsidR="00E27AD9" w:rsidRPr="00761168">
        <w:t xml:space="preserve"> theme and 3rd variation</w:t>
      </w:r>
      <w:r w:rsidR="00274626">
        <w:t xml:space="preserve"> from Symphony No. 94, Movement 2.</w:t>
      </w:r>
    </w:p>
    <w:p w:rsidR="00FA5455" w:rsidRPr="00761168" w:rsidRDefault="002A1382" w:rsidP="00063FE9">
      <w:pPr>
        <w:spacing w:after="120" w:line="240" w:lineRule="auto"/>
      </w:pPr>
      <w:r>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761168">
        <w:t xml:space="preserve">During the learning process, you and your students should have developed a shared understanding of the curriculum expectations identified as part of the planning process. </w:t>
      </w:r>
    </w:p>
    <w:p w:rsidR="00FA5455" w:rsidRPr="00761168" w:rsidRDefault="00FA5455" w:rsidP="00063FE9">
      <w:pPr>
        <w:spacing w:after="120" w:line="240" w:lineRule="auto"/>
      </w:pPr>
      <w:r w:rsidRPr="00761168">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761168" w:rsidRDefault="00FA5455" w:rsidP="00063FE9">
      <w:pPr>
        <w:pStyle w:val="Bulletslevel1"/>
        <w:spacing w:after="120" w:line="240" w:lineRule="auto"/>
        <w:rPr>
          <w:i/>
        </w:rPr>
      </w:pPr>
      <w:r w:rsidRPr="00761168">
        <w:rPr>
          <w:i/>
        </w:rPr>
        <w:t>Guide to making judgments</w:t>
      </w:r>
    </w:p>
    <w:p w:rsidR="00FA5455" w:rsidRPr="00761168" w:rsidRDefault="00FA5455" w:rsidP="00063FE9">
      <w:pPr>
        <w:pStyle w:val="Bulletslevel1"/>
        <w:spacing w:after="120" w:line="240" w:lineRule="auto"/>
        <w:rPr>
          <w:i/>
        </w:rPr>
      </w:pPr>
      <w:r w:rsidRPr="00761168">
        <w:rPr>
          <w:i/>
        </w:rPr>
        <w:t>Indicative A response</w:t>
      </w:r>
    </w:p>
    <w:p w:rsidR="00FA5455" w:rsidRPr="00761168" w:rsidRDefault="00FA5455" w:rsidP="00063FE9">
      <w:pPr>
        <w:pStyle w:val="Bulletslevel1"/>
        <w:spacing w:after="120" w:line="240" w:lineRule="auto"/>
        <w:rPr>
          <w:i/>
        </w:rPr>
      </w:pPr>
      <w:r w:rsidRPr="00761168">
        <w:rPr>
          <w:i/>
        </w:rPr>
        <w:t xml:space="preserve">Sample responses </w:t>
      </w:r>
      <w:r w:rsidRPr="00761168">
        <w:t>(where available).</w:t>
      </w:r>
    </w:p>
    <w:p w:rsidR="005110F5" w:rsidRPr="00761168" w:rsidRDefault="005110F5" w:rsidP="00063FE9">
      <w:pPr>
        <w:pStyle w:val="Heading3"/>
      </w:pPr>
      <w:r w:rsidRPr="00761168">
        <w:t>Making judgments about this assessment</w:t>
      </w:r>
    </w:p>
    <w:p w:rsidR="00FA5455" w:rsidRPr="00761168" w:rsidRDefault="00063FE9" w:rsidP="00063FE9">
      <w:pPr>
        <w:spacing w:after="120" w:line="240" w:lineRule="auto"/>
      </w:pPr>
      <w:r w:rsidRPr="00761168">
        <w:t>This a</w:t>
      </w:r>
      <w:r w:rsidR="00274626">
        <w:t xml:space="preserve">ssessment assesses </w:t>
      </w:r>
      <w:r w:rsidR="004D23BD">
        <w:t>students</w:t>
      </w:r>
      <w:r w:rsidRPr="00761168">
        <w:t xml:space="preserve"> through three task-specific assessable elements. Teachers may wish to judge these areas separately </w:t>
      </w:r>
      <w:r w:rsidR="00274626">
        <w:t>making an on balance judgment</w:t>
      </w:r>
      <w:r w:rsidRPr="00761168">
        <w:t>.</w:t>
      </w:r>
    </w:p>
    <w:tbl>
      <w:tblPr>
        <w:tblW w:w="9639" w:type="dxa"/>
        <w:tblLook w:val="01E0" w:firstRow="1" w:lastRow="1" w:firstColumn="1" w:lastColumn="1" w:noHBand="0" w:noVBand="0"/>
      </w:tblPr>
      <w:tblGrid>
        <w:gridCol w:w="1070"/>
        <w:gridCol w:w="8569"/>
      </w:tblGrid>
      <w:tr w:rsidR="00FA5455" w:rsidRPr="00761168">
        <w:trPr>
          <w:trHeight w:val="870"/>
        </w:trPr>
        <w:tc>
          <w:tcPr>
            <w:tcW w:w="500" w:type="pct"/>
            <w:vAlign w:val="bottom"/>
          </w:tcPr>
          <w:p w:rsidR="00FA5455" w:rsidRPr="00761168" w:rsidRDefault="002A1382" w:rsidP="00063FE9">
            <w:pPr>
              <w:spacing w:before="0" w:after="120" w:line="240" w:lineRule="auto"/>
            </w:pPr>
            <w:r>
              <w:rPr>
                <w:noProof/>
              </w:rPr>
              <w:drawing>
                <wp:inline distT="0" distB="0" distL="0" distR="0">
                  <wp:extent cx="542290" cy="542290"/>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25" w:type="pct"/>
            <w:vAlign w:val="center"/>
          </w:tcPr>
          <w:p w:rsidR="00FA5455" w:rsidRPr="00761168" w:rsidRDefault="00FA5455" w:rsidP="00063FE9">
            <w:pPr>
              <w:spacing w:after="120" w:line="240" w:lineRule="auto"/>
            </w:pPr>
            <w:r w:rsidRPr="00761168">
              <w:t xml:space="preserve">For further information, refer to the resource </w:t>
            </w:r>
            <w:r w:rsidRPr="00761168">
              <w:rPr>
                <w:i/>
              </w:rPr>
              <w:t>Using a Guide to making judgments</w:t>
            </w:r>
            <w:r w:rsidRPr="00761168">
              <w:t>, available in the Resources section of the Assessment Bank website.</w:t>
            </w:r>
          </w:p>
        </w:tc>
      </w:tr>
    </w:tbl>
    <w:p w:rsidR="00FA5455" w:rsidRPr="00761168" w:rsidRDefault="002A1382" w:rsidP="00063FE9">
      <w:pPr>
        <w:spacing w:after="120" w:line="240" w:lineRule="auto"/>
      </w:pPr>
      <w:r>
        <w:rPr>
          <w:noProof/>
        </w:rPr>
        <w:drawing>
          <wp:anchor distT="0" distB="0" distL="114300" distR="114300" simplePos="0" relativeHeight="251659776"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rsidRPr="00761168">
        <w:t>Evaluate the information gathered from the assessment to inform teaching and learning strategies.</w:t>
      </w:r>
    </w:p>
    <w:p w:rsidR="00FA5455" w:rsidRPr="00761168" w:rsidRDefault="00FA5455" w:rsidP="00063FE9">
      <w:pPr>
        <w:spacing w:after="120" w:line="240" w:lineRule="auto"/>
      </w:pPr>
      <w:r w:rsidRPr="00761168">
        <w:t>Involve students in the feedback process. Give students opportunities to ask follow-up questions and share their learning observations or experiences</w:t>
      </w:r>
      <w:r w:rsidR="00B25C0D" w:rsidRPr="00761168">
        <w:t>.</w:t>
      </w:r>
    </w:p>
    <w:p w:rsidR="00FA5455" w:rsidRPr="00761168" w:rsidRDefault="00FA5455" w:rsidP="00063FE9">
      <w:pPr>
        <w:spacing w:after="120" w:line="240" w:lineRule="auto"/>
      </w:pPr>
      <w:r w:rsidRPr="00761168">
        <w:t xml:space="preserve">Focus feedback on the student’s personal progress. Emphasise continuous progress relative to </w:t>
      </w:r>
      <w:r w:rsidR="00171987" w:rsidRPr="00761168">
        <w:t>their</w:t>
      </w:r>
      <w:r w:rsidRPr="00761168">
        <w:t xml:space="preserve"> previous achievement and to the learning expectations — avoid comparing a student with their classmates.</w:t>
      </w:r>
    </w:p>
    <w:p w:rsidR="005110F5" w:rsidRPr="00761168" w:rsidRDefault="005110F5" w:rsidP="00063FE9">
      <w:pPr>
        <w:pStyle w:val="Heading3"/>
      </w:pPr>
      <w:r w:rsidRPr="00761168">
        <w:t>Giving feedback about this assessment</w:t>
      </w:r>
    </w:p>
    <w:p w:rsidR="00063FE9" w:rsidRPr="00761168" w:rsidRDefault="00054AA8" w:rsidP="00063FE9">
      <w:pPr>
        <w:pStyle w:val="Bulletslevel1"/>
        <w:spacing w:after="120" w:line="240" w:lineRule="auto"/>
      </w:pPr>
      <w:r>
        <w:t>H</w:t>
      </w:r>
      <w:r w:rsidR="00063FE9" w:rsidRPr="00761168">
        <w:t>ave students listen to each others performances during the rehearsal phase and give each other feedback.</w:t>
      </w:r>
      <w:r w:rsidR="00947B72">
        <w:t xml:space="preserve"> </w:t>
      </w:r>
      <w:r w:rsidR="00063FE9" w:rsidRPr="00761168">
        <w:t xml:space="preserve">Guide students </w:t>
      </w:r>
      <w:r>
        <w:t>on</w:t>
      </w:r>
      <w:r w:rsidR="00063FE9" w:rsidRPr="00761168">
        <w:t xml:space="preserve"> how to give positive and constructive feedback.</w:t>
      </w:r>
      <w:r w:rsidR="00947B72">
        <w:t xml:space="preserve"> </w:t>
      </w:r>
      <w:r w:rsidR="00063FE9" w:rsidRPr="00761168">
        <w:t>See Appendix A</w:t>
      </w:r>
      <w:r>
        <w:t xml:space="preserve">, Music word bank, </w:t>
      </w:r>
      <w:r w:rsidR="00063FE9" w:rsidRPr="00761168">
        <w:t xml:space="preserve">for </w:t>
      </w:r>
      <w:r>
        <w:t xml:space="preserve">safe word </w:t>
      </w:r>
      <w:r w:rsidR="00063FE9" w:rsidRPr="00761168">
        <w:t xml:space="preserve">suggestions. </w:t>
      </w:r>
    </w:p>
    <w:p w:rsidR="006774B8" w:rsidRPr="00761168" w:rsidRDefault="00054AA8" w:rsidP="00063FE9">
      <w:pPr>
        <w:pStyle w:val="Bulletslevel1"/>
        <w:spacing w:after="120" w:line="240" w:lineRule="auto"/>
      </w:pPr>
      <w:r>
        <w:t>G</w:t>
      </w:r>
      <w:r w:rsidR="00063FE9" w:rsidRPr="00761168">
        <w:t>ive students regular feedback about how they can enhance their performance.</w:t>
      </w:r>
    </w:p>
    <w:tbl>
      <w:tblPr>
        <w:tblW w:w="9639" w:type="dxa"/>
        <w:tblLook w:val="01E0" w:firstRow="1" w:lastRow="1" w:firstColumn="1" w:lastColumn="1" w:noHBand="0" w:noVBand="0"/>
      </w:tblPr>
      <w:tblGrid>
        <w:gridCol w:w="1070"/>
        <w:gridCol w:w="8569"/>
      </w:tblGrid>
      <w:tr w:rsidR="006774B8" w:rsidRPr="00761168">
        <w:tc>
          <w:tcPr>
            <w:tcW w:w="500" w:type="pct"/>
            <w:shd w:val="clear" w:color="auto" w:fill="auto"/>
          </w:tcPr>
          <w:p w:rsidR="006774B8" w:rsidRPr="00761168" w:rsidRDefault="002A1382" w:rsidP="002C1E49">
            <w:pPr>
              <w:spacing w:before="0" w:after="0" w:line="240" w:lineRule="auto"/>
            </w:pPr>
            <w:r>
              <w:rPr>
                <w:noProof/>
              </w:rPr>
              <w:drawing>
                <wp:inline distT="0" distB="0" distL="0" distR="0">
                  <wp:extent cx="542290" cy="542290"/>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36" w:type="pct"/>
            <w:shd w:val="clear" w:color="auto" w:fill="auto"/>
            <w:vAlign w:val="center"/>
          </w:tcPr>
          <w:p w:rsidR="006774B8" w:rsidRPr="00761168" w:rsidRDefault="006774B8" w:rsidP="002C1E49">
            <w:r w:rsidRPr="00761168">
              <w:t xml:space="preserve">For further information, refer to the resource </w:t>
            </w:r>
            <w:r w:rsidRPr="00761168">
              <w:rPr>
                <w:i/>
              </w:rPr>
              <w:t>Using feedback</w:t>
            </w:r>
            <w:r w:rsidRPr="00761168">
              <w:t>, available in the Resources section of the Assessment Bank website.</w:t>
            </w:r>
          </w:p>
        </w:tc>
      </w:tr>
    </w:tbl>
    <w:p w:rsidR="00327D43" w:rsidRPr="00761168" w:rsidRDefault="00327D43" w:rsidP="006774B8">
      <w:pPr>
        <w:pStyle w:val="smallspace"/>
      </w:pPr>
    </w:p>
    <w:p w:rsidR="002F45D0" w:rsidRPr="00761168" w:rsidRDefault="002F45D0" w:rsidP="002F45D0">
      <w:pPr>
        <w:sectPr w:rsidR="002F45D0" w:rsidRPr="00761168"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811F1B" w:rsidRPr="00761168" w:rsidRDefault="00811F1B" w:rsidP="00C92DE7">
      <w:pPr>
        <w:pStyle w:val="Heading2TOP"/>
      </w:pPr>
      <w:r w:rsidRPr="00761168">
        <w:t>Music word bank</w:t>
      </w:r>
    </w:p>
    <w:p w:rsidR="00054AA8" w:rsidRDefault="00811F1B" w:rsidP="00811F1B">
      <w:r w:rsidRPr="00761168">
        <w:t xml:space="preserve">Teachers should be sensitive to issues that may arise as students respond to their own work and that of other students. It may be useful to develop a list of appropriate and safe words that can be used to describe peer performances. This will help increase students’ Arts vocabulary and allow them to show empathy toward others. </w:t>
      </w:r>
    </w:p>
    <w:p w:rsidR="00C92DE7" w:rsidRPr="00761168" w:rsidRDefault="00811F1B" w:rsidP="00811F1B">
      <w:r w:rsidRPr="00761168">
        <w:t>Brainstorm ideas with students and add to this list.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C92DE7" w:rsidRPr="00761168" w:rsidTr="003B2680">
        <w:trPr>
          <w:jc w:val="center"/>
        </w:trPr>
        <w:tc>
          <w:tcPr>
            <w:tcW w:w="9639" w:type="dxa"/>
            <w:shd w:val="clear" w:color="auto" w:fill="E0E0E0"/>
          </w:tcPr>
          <w:p w:rsidR="00C92DE7" w:rsidRPr="003B2680" w:rsidRDefault="00C92DE7" w:rsidP="003B2680">
            <w:pPr>
              <w:widowControl w:val="0"/>
              <w:spacing w:after="80" w:line="240" w:lineRule="auto"/>
              <w:jc w:val="center"/>
              <w:rPr>
                <w:szCs w:val="22"/>
              </w:rPr>
            </w:pPr>
            <w:r w:rsidRPr="00761168">
              <w:rPr>
                <w:rStyle w:val="Heading3Char"/>
              </w:rPr>
              <w:t>Safe words to help discuss music</w:t>
            </w:r>
          </w:p>
        </w:tc>
      </w:tr>
      <w:tr w:rsidR="00C92DE7" w:rsidRPr="00761168" w:rsidTr="003B2680">
        <w:trPr>
          <w:trHeight w:val="3340"/>
          <w:jc w:val="center"/>
        </w:trPr>
        <w:tc>
          <w:tcPr>
            <w:tcW w:w="9639" w:type="dxa"/>
            <w:shd w:val="clear" w:color="auto" w:fill="auto"/>
          </w:tcPr>
          <w:p w:rsidR="00C92DE7" w:rsidRPr="003B2680" w:rsidRDefault="00C92DE7" w:rsidP="003B2680">
            <w:pPr>
              <w:widowControl w:val="0"/>
              <w:jc w:val="center"/>
              <w:rPr>
                <w:b/>
                <w:szCs w:val="22"/>
              </w:rPr>
            </w:pPr>
            <w:r w:rsidRPr="003B2680">
              <w:rPr>
                <w:b/>
                <w:szCs w:val="22"/>
              </w:rPr>
              <w:t>Words for performance</w:t>
            </w:r>
          </w:p>
          <w:p w:rsidR="00C92DE7" w:rsidRPr="003B2680" w:rsidRDefault="00C92DE7" w:rsidP="003B2680">
            <w:pPr>
              <w:widowControl w:val="0"/>
              <w:jc w:val="center"/>
              <w:rPr>
                <w:szCs w:val="22"/>
              </w:rPr>
            </w:pPr>
            <w:r w:rsidRPr="003B2680">
              <w:rPr>
                <w:szCs w:val="22"/>
              </w:rPr>
              <w:t>fluent</w:t>
            </w:r>
          </w:p>
          <w:p w:rsidR="00C92DE7" w:rsidRPr="003B2680" w:rsidRDefault="00C92DE7" w:rsidP="003B2680">
            <w:pPr>
              <w:widowControl w:val="0"/>
              <w:jc w:val="center"/>
              <w:rPr>
                <w:szCs w:val="22"/>
              </w:rPr>
            </w:pPr>
            <w:r w:rsidRPr="003B2680">
              <w:rPr>
                <w:szCs w:val="22"/>
              </w:rPr>
              <w:t>interesting</w:t>
            </w:r>
          </w:p>
          <w:p w:rsidR="00C92DE7" w:rsidRPr="003B2680" w:rsidRDefault="00C92DE7" w:rsidP="003B2680">
            <w:pPr>
              <w:widowControl w:val="0"/>
              <w:jc w:val="center"/>
              <w:rPr>
                <w:szCs w:val="22"/>
              </w:rPr>
            </w:pPr>
            <w:r w:rsidRPr="003B2680">
              <w:rPr>
                <w:szCs w:val="22"/>
              </w:rPr>
              <w:t>exciting</w:t>
            </w:r>
          </w:p>
          <w:p w:rsidR="00C92DE7" w:rsidRPr="003B2680" w:rsidRDefault="00C92DE7" w:rsidP="003B2680">
            <w:pPr>
              <w:widowControl w:val="0"/>
              <w:jc w:val="center"/>
              <w:rPr>
                <w:szCs w:val="22"/>
              </w:rPr>
            </w:pPr>
            <w:r w:rsidRPr="003B2680">
              <w:rPr>
                <w:szCs w:val="22"/>
              </w:rPr>
              <w:t>clear</w:t>
            </w:r>
          </w:p>
          <w:p w:rsidR="00C92DE7" w:rsidRPr="003B2680" w:rsidRDefault="00C92DE7" w:rsidP="003B2680">
            <w:pPr>
              <w:widowControl w:val="0"/>
              <w:jc w:val="center"/>
              <w:rPr>
                <w:szCs w:val="22"/>
              </w:rPr>
            </w:pPr>
            <w:r w:rsidRPr="003B2680">
              <w:rPr>
                <w:szCs w:val="22"/>
              </w:rPr>
              <w:t>in time</w:t>
            </w:r>
          </w:p>
          <w:p w:rsidR="00C92DE7" w:rsidRPr="003B2680" w:rsidRDefault="004D23BD" w:rsidP="003B2680">
            <w:pPr>
              <w:widowControl w:val="0"/>
              <w:jc w:val="center"/>
              <w:rPr>
                <w:szCs w:val="22"/>
              </w:rPr>
            </w:pPr>
            <w:r w:rsidRPr="003B2680">
              <w:rPr>
                <w:szCs w:val="22"/>
              </w:rPr>
              <w:t>rhythmic</w:t>
            </w:r>
          </w:p>
          <w:p w:rsidR="00C92DE7" w:rsidRPr="003B2680" w:rsidRDefault="00054AA8" w:rsidP="003B2680">
            <w:pPr>
              <w:widowControl w:val="0"/>
              <w:jc w:val="center"/>
              <w:rPr>
                <w:szCs w:val="22"/>
              </w:rPr>
            </w:pPr>
            <w:r w:rsidRPr="003B2680">
              <w:rPr>
                <w:szCs w:val="22"/>
              </w:rPr>
              <w:t xml:space="preserve">in </w:t>
            </w:r>
            <w:r w:rsidR="00C92DE7" w:rsidRPr="003B2680">
              <w:rPr>
                <w:szCs w:val="22"/>
              </w:rPr>
              <w:t>tune</w:t>
            </w:r>
          </w:p>
          <w:p w:rsidR="00C92DE7" w:rsidRPr="003B2680" w:rsidRDefault="00C92DE7" w:rsidP="003B2680">
            <w:pPr>
              <w:widowControl w:val="0"/>
              <w:jc w:val="center"/>
              <w:rPr>
                <w:szCs w:val="22"/>
              </w:rPr>
            </w:pPr>
            <w:r w:rsidRPr="003B2680">
              <w:rPr>
                <w:szCs w:val="22"/>
              </w:rPr>
              <w:t>accurate</w:t>
            </w:r>
          </w:p>
          <w:p w:rsidR="00C92DE7" w:rsidRPr="003B2680" w:rsidRDefault="00C92DE7" w:rsidP="003B2680">
            <w:pPr>
              <w:widowControl w:val="0"/>
              <w:jc w:val="center"/>
              <w:rPr>
                <w:szCs w:val="22"/>
              </w:rPr>
            </w:pPr>
            <w:r w:rsidRPr="003B2680">
              <w:rPr>
                <w:szCs w:val="22"/>
              </w:rPr>
              <w:t>musical</w:t>
            </w:r>
          </w:p>
          <w:p w:rsidR="00C92DE7" w:rsidRPr="003B2680" w:rsidRDefault="00C92DE7" w:rsidP="003B2680">
            <w:pPr>
              <w:widowControl w:val="0"/>
              <w:jc w:val="center"/>
              <w:rPr>
                <w:szCs w:val="22"/>
              </w:rPr>
            </w:pPr>
            <w:r w:rsidRPr="003B2680">
              <w:rPr>
                <w:szCs w:val="22"/>
              </w:rPr>
              <w:t>contrasting variation</w:t>
            </w:r>
          </w:p>
          <w:p w:rsidR="00C92DE7" w:rsidRPr="003B2680" w:rsidRDefault="00C92DE7" w:rsidP="003B2680">
            <w:pPr>
              <w:widowControl w:val="0"/>
              <w:jc w:val="center"/>
              <w:rPr>
                <w:szCs w:val="22"/>
              </w:rPr>
            </w:pPr>
            <w:r w:rsidRPr="003B2680">
              <w:rPr>
                <w:szCs w:val="22"/>
              </w:rPr>
              <w:t>use</w:t>
            </w:r>
            <w:r w:rsidR="00054AA8" w:rsidRPr="003B2680">
              <w:rPr>
                <w:szCs w:val="22"/>
              </w:rPr>
              <w:t>s</w:t>
            </w:r>
            <w:r w:rsidRPr="003B2680">
              <w:rPr>
                <w:szCs w:val="22"/>
              </w:rPr>
              <w:t xml:space="preserve"> dynamics</w:t>
            </w:r>
          </w:p>
          <w:p w:rsidR="00C92DE7" w:rsidRPr="003B2680" w:rsidRDefault="00C92DE7" w:rsidP="003B2680">
            <w:pPr>
              <w:widowControl w:val="0"/>
              <w:jc w:val="center"/>
              <w:rPr>
                <w:szCs w:val="22"/>
              </w:rPr>
            </w:pPr>
            <w:r w:rsidRPr="003B2680">
              <w:rPr>
                <w:szCs w:val="22"/>
              </w:rPr>
              <w:t>catchy</w:t>
            </w:r>
          </w:p>
          <w:p w:rsidR="00C92DE7" w:rsidRPr="00761168" w:rsidRDefault="00C92DE7" w:rsidP="003B2680">
            <w:pPr>
              <w:widowControl w:val="0"/>
              <w:jc w:val="center"/>
              <w:rPr>
                <w:rStyle w:val="Heading3Char"/>
              </w:rPr>
            </w:pPr>
            <w:r w:rsidRPr="003B2680">
              <w:rPr>
                <w:szCs w:val="22"/>
              </w:rPr>
              <w:t>melodic</w:t>
            </w:r>
          </w:p>
        </w:tc>
      </w:tr>
    </w:tbl>
    <w:p w:rsidR="00C92DE7" w:rsidRPr="00761168" w:rsidRDefault="00054AA8" w:rsidP="00811F1B">
      <w:pPr>
        <w:pStyle w:val="Heading2TOP"/>
      </w:pPr>
      <w:r>
        <w:t>Melody for Haydn’s “</w:t>
      </w:r>
      <w:r w:rsidR="00C92DE7" w:rsidRPr="00761168">
        <w:t>Surprise</w:t>
      </w:r>
      <w:r>
        <w:t>” theme and 3rd variation</w:t>
      </w:r>
      <w:r w:rsidR="00274626">
        <w:t xml:space="preserve"> from Symphony No. 94, Movement 2.</w:t>
      </w:r>
    </w:p>
    <w:p w:rsidR="00811F1B" w:rsidRPr="00761168" w:rsidRDefault="00811F1B" w:rsidP="00811F1B"/>
    <w:p w:rsidR="00D61E66" w:rsidRPr="00761168" w:rsidRDefault="002A1382" w:rsidP="00811F1B">
      <w:r>
        <w:rPr>
          <w:noProof/>
        </w:rPr>
        <w:drawing>
          <wp:inline distT="0" distB="0" distL="0" distR="0">
            <wp:extent cx="5645785" cy="8133715"/>
            <wp:effectExtent l="0" t="0" r="0" b="635"/>
            <wp:docPr id="6" name="Picture 6" descr="Haydn's Theme and V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ydn's Theme and Var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45785" cy="8133715"/>
                    </a:xfrm>
                    <a:prstGeom prst="rect">
                      <a:avLst/>
                    </a:prstGeom>
                    <a:noFill/>
                    <a:ln>
                      <a:noFill/>
                    </a:ln>
                  </pic:spPr>
                </pic:pic>
              </a:graphicData>
            </a:graphic>
          </wp:inline>
        </w:drawing>
      </w:r>
    </w:p>
    <w:sectPr w:rsidR="00D61E66" w:rsidRPr="00761168" w:rsidSect="00D961AA">
      <w:headerReference w:type="even" r:id="rId25"/>
      <w:headerReference w:type="default" r:id="rId26"/>
      <w:footerReference w:type="even" r:id="rId27"/>
      <w:footerReference w:type="default" r:id="rId28"/>
      <w:headerReference w:type="first" r:id="rId29"/>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35" w:rsidRDefault="00B76335">
      <w:r>
        <w:separator/>
      </w:r>
    </w:p>
    <w:p w:rsidR="00B76335" w:rsidRDefault="00B76335"/>
    <w:p w:rsidR="00B76335" w:rsidRDefault="00B76335"/>
    <w:p w:rsidR="00B76335" w:rsidRDefault="00B76335"/>
    <w:p w:rsidR="00B76335" w:rsidRDefault="00B76335"/>
    <w:p w:rsidR="00B76335" w:rsidRDefault="00B76335"/>
  </w:endnote>
  <w:endnote w:type="continuationSeparator" w:id="0">
    <w:p w:rsidR="00B76335" w:rsidRDefault="00B76335">
      <w:r>
        <w:continuationSeparator/>
      </w:r>
    </w:p>
    <w:p w:rsidR="00B76335" w:rsidRDefault="00B76335"/>
    <w:p w:rsidR="00B76335" w:rsidRDefault="00B76335"/>
    <w:p w:rsidR="00B76335" w:rsidRDefault="00B76335"/>
    <w:p w:rsidR="00B76335" w:rsidRDefault="00B76335"/>
    <w:p w:rsidR="00B76335" w:rsidRDefault="00B7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Default="00CF1CC7" w:rsidP="00C20914">
    <w:pPr>
      <w:pStyle w:val="Footereven"/>
    </w:pPr>
    <w:r w:rsidRPr="00EA7134">
      <w:fldChar w:fldCharType="begin"/>
    </w:r>
    <w:r w:rsidRPr="00EA7134">
      <w:instrText xml:space="preserve">PAGE  </w:instrText>
    </w:r>
    <w:r w:rsidRPr="00EA7134">
      <w:fldChar w:fldCharType="separate"/>
    </w:r>
    <w:r w:rsidR="002A1382">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Default="00CF1CC7" w:rsidP="00C20914">
    <w:pPr>
      <w:pStyle w:val="Footerodd"/>
    </w:pPr>
    <w:r>
      <w:fldChar w:fldCharType="begin"/>
    </w:r>
    <w:r>
      <w:instrText xml:space="preserve">PAGE  </w:instrText>
    </w:r>
    <w:r>
      <w:fldChar w:fldCharType="separate"/>
    </w:r>
    <w:r w:rsidR="00910C09">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CF1CC7" w:rsidRPr="0090603A">
      <w:trPr>
        <w:trHeight w:hRule="exact" w:val="1043"/>
        <w:jc w:val="right"/>
      </w:trPr>
      <w:tc>
        <w:tcPr>
          <w:tcW w:w="1800" w:type="dxa"/>
          <w:tcBorders>
            <w:top w:val="nil"/>
            <w:left w:val="nil"/>
            <w:bottom w:val="nil"/>
            <w:right w:val="nil"/>
          </w:tcBorders>
          <w:vAlign w:val="bottom"/>
        </w:tcPr>
        <w:p w:rsidR="00CF1CC7" w:rsidRPr="00FA3FE7" w:rsidRDefault="00CF1CC7" w:rsidP="00C85825">
          <w:pPr>
            <w:spacing w:after="0"/>
          </w:pPr>
        </w:p>
      </w:tc>
      <w:tc>
        <w:tcPr>
          <w:tcW w:w="5040" w:type="dxa"/>
          <w:tcBorders>
            <w:top w:val="nil"/>
            <w:left w:val="nil"/>
            <w:bottom w:val="nil"/>
            <w:right w:val="nil"/>
          </w:tcBorders>
          <w:shd w:val="clear" w:color="auto" w:fill="auto"/>
          <w:vAlign w:val="bottom"/>
        </w:tcPr>
        <w:p w:rsidR="00CF1CC7" w:rsidRPr="000875B8" w:rsidRDefault="00CF1CC7"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CF1CC7" w:rsidRPr="0090603A" w:rsidRDefault="002A1382" w:rsidP="00C85825">
          <w:pPr>
            <w:pStyle w:val="Footer"/>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CF1CC7" w:rsidRPr="0054418E" w:rsidRDefault="00CF1CC7"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Default="00CF1CC7"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Pr="00761168" w:rsidRDefault="00CF1CC7"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35" w:rsidRDefault="00B76335">
      <w:r>
        <w:separator/>
      </w:r>
    </w:p>
    <w:p w:rsidR="00B76335" w:rsidRDefault="00B76335"/>
    <w:p w:rsidR="00B76335" w:rsidRDefault="00B76335"/>
    <w:p w:rsidR="00B76335" w:rsidRDefault="00B76335"/>
    <w:p w:rsidR="00B76335" w:rsidRDefault="00B76335"/>
    <w:p w:rsidR="00B76335" w:rsidRDefault="00B76335"/>
  </w:footnote>
  <w:footnote w:type="continuationSeparator" w:id="0">
    <w:p w:rsidR="00B76335" w:rsidRDefault="00B76335">
      <w:r>
        <w:continuationSeparator/>
      </w:r>
    </w:p>
    <w:p w:rsidR="00B76335" w:rsidRDefault="00B76335"/>
    <w:p w:rsidR="00B76335" w:rsidRDefault="00B76335"/>
    <w:p w:rsidR="00B76335" w:rsidRDefault="00B76335"/>
    <w:p w:rsidR="00B76335" w:rsidRDefault="00B76335"/>
    <w:p w:rsidR="00B76335" w:rsidRDefault="00B763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Default="00CF1CC7"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Pr="00784506" w:rsidRDefault="00CF1CC7" w:rsidP="00E8667A">
    <w:pPr>
      <w:pStyle w:val="Headerright"/>
    </w:pPr>
    <w:r w:rsidRPr="00784506">
      <w:t xml:space="preserve">Year </w:t>
    </w:r>
    <w:r>
      <w:t>4 The Arts — Music</w:t>
    </w:r>
    <w:r w:rsidRPr="000A779D">
      <w:t xml:space="preserve">: </w:t>
    </w:r>
    <w:r>
      <w:t>Writing music like a master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Default="002A1382">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Pr="00D961AA" w:rsidRDefault="00CF1CC7" w:rsidP="00D961AA">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Pr="00761168" w:rsidRDefault="00CF1CC7" w:rsidP="003A5656">
    <w:pPr>
      <w:pStyle w:val="Headerleft"/>
    </w:pPr>
    <w:r w:rsidRPr="00761168">
      <w:t>Appendix 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CC7" w:rsidRDefault="00CF1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5935"/>
    <w:multiLevelType w:val="hybridMultilevel"/>
    <w:tmpl w:val="F88814A0"/>
    <w:lvl w:ilvl="0" w:tplc="1DAA736A">
      <w:start w:val="1"/>
      <w:numFmt w:val="bullet"/>
      <w:pStyle w:val="Checkbox"/>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4"/>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4"/>
  </w:num>
  <w:num w:numId="4">
    <w:abstractNumId w:val="14"/>
  </w:num>
  <w:num w:numId="5">
    <w:abstractNumId w:val="12"/>
  </w:num>
  <w:num w:numId="6">
    <w:abstractNumId w:val="13"/>
  </w:num>
  <w:num w:numId="7">
    <w:abstractNumId w:val="8"/>
  </w:num>
  <w:num w:numId="8">
    <w:abstractNumId w:val="3"/>
  </w:num>
  <w:num w:numId="9">
    <w:abstractNumId w:val="17"/>
  </w:num>
  <w:num w:numId="10">
    <w:abstractNumId w:val="2"/>
  </w:num>
  <w:num w:numId="11">
    <w:abstractNumId w:val="20"/>
  </w:num>
  <w:num w:numId="12">
    <w:abstractNumId w:val="18"/>
  </w:num>
  <w:num w:numId="13">
    <w:abstractNumId w:val="9"/>
  </w:num>
  <w:num w:numId="14">
    <w:abstractNumId w:val="11"/>
  </w:num>
  <w:num w:numId="15">
    <w:abstractNumId w:val="22"/>
  </w:num>
  <w:num w:numId="16">
    <w:abstractNumId w:val="1"/>
  </w:num>
  <w:num w:numId="17">
    <w:abstractNumId w:val="10"/>
  </w:num>
  <w:num w:numId="18">
    <w:abstractNumId w:val="19"/>
  </w:num>
  <w:num w:numId="19">
    <w:abstractNumId w:val="16"/>
  </w:num>
  <w:num w:numId="20">
    <w:abstractNumId w:val="8"/>
  </w:num>
  <w:num w:numId="21">
    <w:abstractNumId w:val="3"/>
  </w:num>
  <w:num w:numId="22">
    <w:abstractNumId w:val="17"/>
  </w:num>
  <w:num w:numId="23">
    <w:abstractNumId w:val="4"/>
  </w:num>
  <w:num w:numId="24">
    <w:abstractNumId w:val="14"/>
  </w:num>
  <w:num w:numId="25">
    <w:abstractNumId w:val="6"/>
  </w:num>
  <w:num w:numId="26">
    <w:abstractNumId w:val="16"/>
  </w:num>
  <w:num w:numId="27">
    <w:abstractNumId w:val="8"/>
  </w:num>
  <w:num w:numId="28">
    <w:abstractNumId w:val="3"/>
  </w:num>
  <w:num w:numId="29">
    <w:abstractNumId w:val="17"/>
  </w:num>
  <w:num w:numId="30">
    <w:abstractNumId w:val="16"/>
  </w:num>
  <w:num w:numId="31">
    <w:abstractNumId w:val="8"/>
  </w:num>
  <w:num w:numId="32">
    <w:abstractNumId w:val="3"/>
  </w:num>
  <w:num w:numId="33">
    <w:abstractNumId w:val="17"/>
  </w:num>
  <w:num w:numId="34">
    <w:abstractNumId w:val="7"/>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5"/>
  </w:num>
  <w:num w:numId="42">
    <w:abstractNumId w:val="23"/>
  </w:num>
  <w:num w:numId="43">
    <w:abstractNumId w:val="2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07"/>
    <w:rsid w:val="000022FF"/>
    <w:rsid w:val="00003280"/>
    <w:rsid w:val="000040CE"/>
    <w:rsid w:val="000043A4"/>
    <w:rsid w:val="00007DBF"/>
    <w:rsid w:val="00026548"/>
    <w:rsid w:val="0004134C"/>
    <w:rsid w:val="00042BF3"/>
    <w:rsid w:val="000517C2"/>
    <w:rsid w:val="00054AA8"/>
    <w:rsid w:val="00061D89"/>
    <w:rsid w:val="00063FE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D7F5F"/>
    <w:rsid w:val="001E43BD"/>
    <w:rsid w:val="001F0901"/>
    <w:rsid w:val="002048CE"/>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01D7"/>
    <w:rsid w:val="00271371"/>
    <w:rsid w:val="00271417"/>
    <w:rsid w:val="002723C2"/>
    <w:rsid w:val="002734E6"/>
    <w:rsid w:val="00273DE2"/>
    <w:rsid w:val="00274626"/>
    <w:rsid w:val="00274767"/>
    <w:rsid w:val="0027478D"/>
    <w:rsid w:val="00276D36"/>
    <w:rsid w:val="00284B38"/>
    <w:rsid w:val="002859A3"/>
    <w:rsid w:val="002865DA"/>
    <w:rsid w:val="002A1382"/>
    <w:rsid w:val="002A79B9"/>
    <w:rsid w:val="002B30EB"/>
    <w:rsid w:val="002B5BFC"/>
    <w:rsid w:val="002C0261"/>
    <w:rsid w:val="002C1299"/>
    <w:rsid w:val="002C1C04"/>
    <w:rsid w:val="002C1E49"/>
    <w:rsid w:val="002C4CB3"/>
    <w:rsid w:val="002D4D00"/>
    <w:rsid w:val="002D621B"/>
    <w:rsid w:val="002D7532"/>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4136"/>
    <w:rsid w:val="00327D43"/>
    <w:rsid w:val="00330421"/>
    <w:rsid w:val="00331E85"/>
    <w:rsid w:val="003347CE"/>
    <w:rsid w:val="0033529F"/>
    <w:rsid w:val="00343C39"/>
    <w:rsid w:val="00352347"/>
    <w:rsid w:val="00354B41"/>
    <w:rsid w:val="003573C7"/>
    <w:rsid w:val="00357A2A"/>
    <w:rsid w:val="00360CDA"/>
    <w:rsid w:val="00361735"/>
    <w:rsid w:val="0036290B"/>
    <w:rsid w:val="00362A07"/>
    <w:rsid w:val="00363611"/>
    <w:rsid w:val="00364F37"/>
    <w:rsid w:val="00365CC0"/>
    <w:rsid w:val="00382D15"/>
    <w:rsid w:val="00386B43"/>
    <w:rsid w:val="00391A20"/>
    <w:rsid w:val="003931E0"/>
    <w:rsid w:val="0039605F"/>
    <w:rsid w:val="003A0CE3"/>
    <w:rsid w:val="003A1874"/>
    <w:rsid w:val="003A5656"/>
    <w:rsid w:val="003A5964"/>
    <w:rsid w:val="003B2680"/>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11E67"/>
    <w:rsid w:val="00416BAF"/>
    <w:rsid w:val="004172A0"/>
    <w:rsid w:val="00421645"/>
    <w:rsid w:val="00424A51"/>
    <w:rsid w:val="004316D0"/>
    <w:rsid w:val="004423A4"/>
    <w:rsid w:val="00444D1F"/>
    <w:rsid w:val="004475A2"/>
    <w:rsid w:val="00453F95"/>
    <w:rsid w:val="00457A26"/>
    <w:rsid w:val="00457CBD"/>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23BD"/>
    <w:rsid w:val="004D42F2"/>
    <w:rsid w:val="004E0F30"/>
    <w:rsid w:val="004F20BA"/>
    <w:rsid w:val="004F68EC"/>
    <w:rsid w:val="0050177D"/>
    <w:rsid w:val="0051005F"/>
    <w:rsid w:val="005108AD"/>
    <w:rsid w:val="005110F5"/>
    <w:rsid w:val="00515192"/>
    <w:rsid w:val="0052094C"/>
    <w:rsid w:val="00526090"/>
    <w:rsid w:val="00526544"/>
    <w:rsid w:val="0052799A"/>
    <w:rsid w:val="00530616"/>
    <w:rsid w:val="0053141F"/>
    <w:rsid w:val="005336D0"/>
    <w:rsid w:val="00535835"/>
    <w:rsid w:val="005367C3"/>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062B9"/>
    <w:rsid w:val="00612547"/>
    <w:rsid w:val="00612611"/>
    <w:rsid w:val="0062663E"/>
    <w:rsid w:val="00630422"/>
    <w:rsid w:val="00635253"/>
    <w:rsid w:val="00636670"/>
    <w:rsid w:val="006432CE"/>
    <w:rsid w:val="00643803"/>
    <w:rsid w:val="0064612E"/>
    <w:rsid w:val="00646423"/>
    <w:rsid w:val="00657BB0"/>
    <w:rsid w:val="00661055"/>
    <w:rsid w:val="00664FEE"/>
    <w:rsid w:val="006651E7"/>
    <w:rsid w:val="00666387"/>
    <w:rsid w:val="006732D0"/>
    <w:rsid w:val="0067452E"/>
    <w:rsid w:val="006760FA"/>
    <w:rsid w:val="00676DF3"/>
    <w:rsid w:val="006774B8"/>
    <w:rsid w:val="0068018A"/>
    <w:rsid w:val="00683A0F"/>
    <w:rsid w:val="00683EB7"/>
    <w:rsid w:val="00691536"/>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1168"/>
    <w:rsid w:val="00764A9D"/>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2E79"/>
    <w:rsid w:val="007F3983"/>
    <w:rsid w:val="007F4428"/>
    <w:rsid w:val="007F75E1"/>
    <w:rsid w:val="00800240"/>
    <w:rsid w:val="008005A0"/>
    <w:rsid w:val="00801AAF"/>
    <w:rsid w:val="008034C1"/>
    <w:rsid w:val="008039CA"/>
    <w:rsid w:val="00805863"/>
    <w:rsid w:val="00806622"/>
    <w:rsid w:val="00807761"/>
    <w:rsid w:val="00810137"/>
    <w:rsid w:val="008111E2"/>
    <w:rsid w:val="00811F1B"/>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0C09"/>
    <w:rsid w:val="0091354C"/>
    <w:rsid w:val="009146FA"/>
    <w:rsid w:val="0092016E"/>
    <w:rsid w:val="009239B7"/>
    <w:rsid w:val="00926820"/>
    <w:rsid w:val="0092782A"/>
    <w:rsid w:val="00931054"/>
    <w:rsid w:val="00932B1D"/>
    <w:rsid w:val="00934842"/>
    <w:rsid w:val="00934DA2"/>
    <w:rsid w:val="00943157"/>
    <w:rsid w:val="00943DC9"/>
    <w:rsid w:val="00946FB9"/>
    <w:rsid w:val="00947B72"/>
    <w:rsid w:val="009611E2"/>
    <w:rsid w:val="00961B9F"/>
    <w:rsid w:val="009624E3"/>
    <w:rsid w:val="00964264"/>
    <w:rsid w:val="00964AFA"/>
    <w:rsid w:val="009709F9"/>
    <w:rsid w:val="00971609"/>
    <w:rsid w:val="0097215D"/>
    <w:rsid w:val="00972963"/>
    <w:rsid w:val="009738DE"/>
    <w:rsid w:val="0098016C"/>
    <w:rsid w:val="009809B4"/>
    <w:rsid w:val="009814CC"/>
    <w:rsid w:val="00986690"/>
    <w:rsid w:val="00987A0A"/>
    <w:rsid w:val="009935D7"/>
    <w:rsid w:val="009A1A6E"/>
    <w:rsid w:val="009B4637"/>
    <w:rsid w:val="009B51F6"/>
    <w:rsid w:val="009B7248"/>
    <w:rsid w:val="009C02F6"/>
    <w:rsid w:val="009C2FE1"/>
    <w:rsid w:val="009C3444"/>
    <w:rsid w:val="009C5022"/>
    <w:rsid w:val="009D15D5"/>
    <w:rsid w:val="009D522C"/>
    <w:rsid w:val="009E1352"/>
    <w:rsid w:val="009E3519"/>
    <w:rsid w:val="009F0A5B"/>
    <w:rsid w:val="009F1EAE"/>
    <w:rsid w:val="009F4C61"/>
    <w:rsid w:val="00A004E1"/>
    <w:rsid w:val="00A05F30"/>
    <w:rsid w:val="00A1340E"/>
    <w:rsid w:val="00A138DA"/>
    <w:rsid w:val="00A14EA8"/>
    <w:rsid w:val="00A22BB0"/>
    <w:rsid w:val="00A3071F"/>
    <w:rsid w:val="00A30C8E"/>
    <w:rsid w:val="00A326AC"/>
    <w:rsid w:val="00A3309D"/>
    <w:rsid w:val="00A33417"/>
    <w:rsid w:val="00A425D7"/>
    <w:rsid w:val="00A44765"/>
    <w:rsid w:val="00A456F4"/>
    <w:rsid w:val="00A55BB8"/>
    <w:rsid w:val="00A56A9B"/>
    <w:rsid w:val="00A652E4"/>
    <w:rsid w:val="00A66865"/>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5FE"/>
    <w:rsid w:val="00AC3675"/>
    <w:rsid w:val="00AC4581"/>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76335"/>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1C7F"/>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2DE7"/>
    <w:rsid w:val="00C946AF"/>
    <w:rsid w:val="00C96592"/>
    <w:rsid w:val="00C9682B"/>
    <w:rsid w:val="00CA27BC"/>
    <w:rsid w:val="00CA2B94"/>
    <w:rsid w:val="00CA4D62"/>
    <w:rsid w:val="00CA5CD9"/>
    <w:rsid w:val="00CA5D9D"/>
    <w:rsid w:val="00CB63B6"/>
    <w:rsid w:val="00CC247C"/>
    <w:rsid w:val="00CD0037"/>
    <w:rsid w:val="00CD0397"/>
    <w:rsid w:val="00CD5F98"/>
    <w:rsid w:val="00CE11B0"/>
    <w:rsid w:val="00CE1AFF"/>
    <w:rsid w:val="00CE1E8A"/>
    <w:rsid w:val="00CE3336"/>
    <w:rsid w:val="00CE34DF"/>
    <w:rsid w:val="00CE4055"/>
    <w:rsid w:val="00CE563C"/>
    <w:rsid w:val="00CF1A05"/>
    <w:rsid w:val="00CF1CC7"/>
    <w:rsid w:val="00CF41D8"/>
    <w:rsid w:val="00CF5C48"/>
    <w:rsid w:val="00D00E39"/>
    <w:rsid w:val="00D013A3"/>
    <w:rsid w:val="00D0400B"/>
    <w:rsid w:val="00D05C0E"/>
    <w:rsid w:val="00D10209"/>
    <w:rsid w:val="00D11B98"/>
    <w:rsid w:val="00D25A86"/>
    <w:rsid w:val="00D32A2C"/>
    <w:rsid w:val="00D43526"/>
    <w:rsid w:val="00D43BC1"/>
    <w:rsid w:val="00D442BF"/>
    <w:rsid w:val="00D45B1A"/>
    <w:rsid w:val="00D52EC3"/>
    <w:rsid w:val="00D566E3"/>
    <w:rsid w:val="00D56D88"/>
    <w:rsid w:val="00D57E32"/>
    <w:rsid w:val="00D61BD3"/>
    <w:rsid w:val="00D61E66"/>
    <w:rsid w:val="00D6560C"/>
    <w:rsid w:val="00D66A63"/>
    <w:rsid w:val="00D71223"/>
    <w:rsid w:val="00D756B0"/>
    <w:rsid w:val="00D82FD6"/>
    <w:rsid w:val="00D961AA"/>
    <w:rsid w:val="00DA169E"/>
    <w:rsid w:val="00DA483D"/>
    <w:rsid w:val="00DA60AF"/>
    <w:rsid w:val="00DA612D"/>
    <w:rsid w:val="00DB0CB9"/>
    <w:rsid w:val="00DC16A2"/>
    <w:rsid w:val="00DC597F"/>
    <w:rsid w:val="00DC5D0F"/>
    <w:rsid w:val="00DC7626"/>
    <w:rsid w:val="00DC7DB5"/>
    <w:rsid w:val="00DD52A4"/>
    <w:rsid w:val="00DD6F88"/>
    <w:rsid w:val="00DE4277"/>
    <w:rsid w:val="00DF337F"/>
    <w:rsid w:val="00DF4AC2"/>
    <w:rsid w:val="00E002DD"/>
    <w:rsid w:val="00E00B81"/>
    <w:rsid w:val="00E01ABA"/>
    <w:rsid w:val="00E060B6"/>
    <w:rsid w:val="00E0662E"/>
    <w:rsid w:val="00E069D9"/>
    <w:rsid w:val="00E071D9"/>
    <w:rsid w:val="00E07785"/>
    <w:rsid w:val="00E14E07"/>
    <w:rsid w:val="00E17B94"/>
    <w:rsid w:val="00E221B2"/>
    <w:rsid w:val="00E226E1"/>
    <w:rsid w:val="00E27AD9"/>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77B6"/>
    <w:rsid w:val="00F40B4E"/>
    <w:rsid w:val="00F4324A"/>
    <w:rsid w:val="00F446C1"/>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E6F95"/>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5367C3"/>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Heading3Char">
    <w:name w:val="Heading 3 Char"/>
    <w:link w:val="Heading3"/>
    <w:rsid w:val="00C92DE7"/>
    <w:rPr>
      <w:rFonts w:ascii="Arial" w:hAnsi="Arial" w:cs="Arial"/>
      <w:b/>
      <w:bCs/>
      <w:sz w:val="24"/>
      <w:szCs w:val="26"/>
      <w:lang w:val="en-AU" w:eastAsia="en-AU" w:bidi="ar-SA"/>
    </w:rPr>
  </w:style>
  <w:style w:type="paragraph" w:customStyle="1" w:styleId="Checkbox">
    <w:name w:val="Checkbox"/>
    <w:basedOn w:val="Normal"/>
    <w:rsid w:val="00365CC0"/>
    <w:pPr>
      <w:numPr>
        <w:numId w:val="44"/>
      </w:numPr>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5367C3"/>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Heading3Char">
    <w:name w:val="Heading 3 Char"/>
    <w:link w:val="Heading3"/>
    <w:rsid w:val="00C92DE7"/>
    <w:rPr>
      <w:rFonts w:ascii="Arial" w:hAnsi="Arial" w:cs="Arial"/>
      <w:b/>
      <w:bCs/>
      <w:sz w:val="24"/>
      <w:szCs w:val="26"/>
      <w:lang w:val="en-AU" w:eastAsia="en-AU" w:bidi="ar-SA"/>
    </w:rPr>
  </w:style>
  <w:style w:type="paragraph" w:customStyle="1" w:styleId="Checkbox">
    <w:name w:val="Checkbox"/>
    <w:basedOn w:val="Normal"/>
    <w:rsid w:val="00365CC0"/>
    <w:pPr>
      <w:numPr>
        <w:numId w:val="44"/>
      </w:numPr>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F4972-769E-4B5F-8D6F-05D2426AAB99}">
  <ds:schemaRefs>
    <ds:schemaRef ds:uri="http://schemas.microsoft.com/sharepoint/v3/contenttype/forms"/>
  </ds:schemaRefs>
</ds:datastoreItem>
</file>

<file path=customXml/itemProps2.xml><?xml version="1.0" encoding="utf-8"?>
<ds:datastoreItem xmlns:ds="http://schemas.openxmlformats.org/officeDocument/2006/customXml" ds:itemID="{5C2C789E-B3FE-4B3C-8AE2-7C5E8F2F1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C9F2E21-3CC4-4DC3-8F83-E87107C36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 4 The Arts – Music assessment teacher guidelines | Writing music like a master| Queensland Essential Learnings and Standards</vt:lpstr>
    </vt:vector>
  </TitlesOfParts>
  <Company>Queensland Studies Authority</Company>
  <LinksUpToDate>false</LinksUpToDate>
  <CharactersWithSpaces>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The Arts - Music assessment teacher guidelines | Writing music like a master | Queensland Essential Learnings and Standards</dc:title>
  <dc:subject/>
  <dc:creator>Queensland Studies Authority</dc:creator>
  <cp:keywords/>
  <dc:description>Students create and perform their own theme and variation using the second movement of Haydn’s “Surprise” Symphony No. 94 as inspiration.</dc:description>
  <cp:lastModifiedBy>QSA</cp:lastModifiedBy>
  <cp:revision>2</cp:revision>
  <cp:lastPrinted>2008-05-21T02:04:00Z</cp:lastPrinted>
  <dcterms:created xsi:type="dcterms:W3CDTF">2014-06-18T06:17:00Z</dcterms:created>
  <dcterms:modified xsi:type="dcterms:W3CDTF">2014-06-18T06:17:00Z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