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885161" w:rsidP="00BC58D9">
      <w:pPr>
        <w:pStyle w:val="CoverTitle"/>
      </w:pPr>
      <w:bookmarkStart w:id="0" w:name="_GoBack"/>
      <w:bookmarkEnd w:id="0"/>
      <w:r w:rsidRPr="00592821">
        <w:t xml:space="preserve">Vocal </w:t>
      </w:r>
      <w:r w:rsidR="008B2668">
        <w:t>c</w:t>
      </w:r>
      <w:r w:rsidRPr="00592821">
        <w:t>horeography</w:t>
      </w:r>
    </w:p>
    <w:tbl>
      <w:tblPr>
        <w:tblW w:w="0" w:type="auto"/>
        <w:tblLook w:val="01E0" w:firstRow="1" w:lastRow="1" w:firstColumn="1" w:lastColumn="1" w:noHBand="0" w:noVBand="0"/>
      </w:tblPr>
      <w:tblGrid>
        <w:gridCol w:w="1874"/>
        <w:gridCol w:w="6396"/>
      </w:tblGrid>
      <w:tr w:rsidR="00885161">
        <w:trPr>
          <w:trHeight w:val="614"/>
        </w:trPr>
        <w:tc>
          <w:tcPr>
            <w:tcW w:w="1874" w:type="dxa"/>
            <w:shd w:val="clear" w:color="auto" w:fill="B4A7C0"/>
            <w:tcMar>
              <w:top w:w="113" w:type="dxa"/>
              <w:left w:w="113" w:type="dxa"/>
              <w:bottom w:w="113" w:type="dxa"/>
              <w:right w:w="113" w:type="dxa"/>
            </w:tcMar>
            <w:vAlign w:val="center"/>
          </w:tcPr>
          <w:p w:rsidR="00885161" w:rsidRPr="00592821" w:rsidRDefault="00885161" w:rsidP="00885161">
            <w:pPr>
              <w:pStyle w:val="CoverYearKLAName"/>
            </w:pPr>
            <w:r w:rsidRPr="00592821">
              <w:t>Year 8</w:t>
            </w:r>
          </w:p>
        </w:tc>
        <w:tc>
          <w:tcPr>
            <w:tcW w:w="6396" w:type="dxa"/>
            <w:shd w:val="clear" w:color="auto" w:fill="E3DEE8"/>
            <w:tcMar>
              <w:top w:w="113" w:type="dxa"/>
              <w:left w:w="113" w:type="dxa"/>
              <w:bottom w:w="113" w:type="dxa"/>
              <w:right w:w="113" w:type="dxa"/>
            </w:tcMar>
            <w:vAlign w:val="center"/>
          </w:tcPr>
          <w:p w:rsidR="00885161" w:rsidRPr="00592821" w:rsidRDefault="00885161" w:rsidP="00885161">
            <w:pPr>
              <w:pStyle w:val="CoverYearKLAName"/>
            </w:pPr>
            <w:r w:rsidRPr="00592821">
              <w:t xml:space="preserve">The Arts </w:t>
            </w:r>
            <w:r w:rsidR="00223EDA">
              <w:t>—</w:t>
            </w:r>
            <w:r w:rsidRPr="00592821">
              <w:t xml:space="preserve"> Dance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7E23C3" w:rsidP="007E23C3">
            <w:pPr>
              <w:pStyle w:val="CoverOverview"/>
            </w:pPr>
            <w:r w:rsidRPr="00592821">
              <w:t>Students</w:t>
            </w:r>
            <w:r>
              <w:t xml:space="preserve"> work in </w:t>
            </w:r>
            <w:r w:rsidRPr="00592821">
              <w:t>groups</w:t>
            </w:r>
            <w:r>
              <w:t xml:space="preserve"> to</w:t>
            </w:r>
            <w:r w:rsidRPr="00592821">
              <w:t xml:space="preserve"> choreograph and perform a vocal sequence for a song. They write program notes to support their dance</w:t>
            </w:r>
            <w:r>
              <w:t xml:space="preserve"> </w:t>
            </w:r>
            <w:r w:rsidRPr="00592821">
              <w:t>work.</w:t>
            </w:r>
          </w:p>
        </w:tc>
      </w:tr>
      <w:tr w:rsidR="004653A1" w:rsidRPr="005E141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4653A1" w:rsidRPr="009D15D5" w:rsidRDefault="004653A1" w:rsidP="004653A1">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4653A1" w:rsidRPr="004653A1" w:rsidRDefault="004653A1" w:rsidP="004653A1">
            <w:r>
              <w:t>7–1</w:t>
            </w:r>
            <w:r w:rsidR="007C77C9">
              <w:t>0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885161" w:rsidP="00F06915">
            <w:pPr>
              <w:spacing w:before="0"/>
            </w:pPr>
            <w:r w:rsidRPr="00592821">
              <w:t xml:space="preserve">The phrase </w:t>
            </w:r>
            <w:r w:rsidRPr="007E23C3">
              <w:rPr>
                <w:i/>
              </w:rPr>
              <w:t>vocal choreography</w:t>
            </w:r>
            <w:r w:rsidRPr="00592821">
              <w:t xml:space="preserve"> was</w:t>
            </w:r>
            <w:r w:rsidR="004B57D1">
              <w:t xml:space="preserve"> coined</w:t>
            </w:r>
            <w:r w:rsidRPr="00592821">
              <w:t xml:space="preserve"> </w:t>
            </w:r>
            <w:r w:rsidR="007E23C3">
              <w:t>in the mid-</w:t>
            </w:r>
            <w:r w:rsidR="004B57D1">
              <w:t xml:space="preserve">1950s </w:t>
            </w:r>
            <w:r w:rsidRPr="00592821">
              <w:t xml:space="preserve">by Cholly Atkins who created sequences for the major Motown singing groups to </w:t>
            </w:r>
            <w:r w:rsidR="007E23C3">
              <w:t>enhance their performances and sell</w:t>
            </w:r>
            <w:r w:rsidRPr="00592821">
              <w:t xml:space="preserve"> their songs. It was choreography that asked the performers to move together, accentuating their vocal performances with their bodies and creating interest onstage with gestures and steps. Th</w:t>
            </w:r>
            <w:r w:rsidR="000D7BBB">
              <w:t>is</w:t>
            </w:r>
            <w:r w:rsidRPr="00592821">
              <w:t xml:space="preserve"> style </w:t>
            </w:r>
            <w:r w:rsidR="000D7BBB">
              <w:t>is still used to</w:t>
            </w:r>
            <w:r w:rsidRPr="00592821">
              <w:t xml:space="preserve">day </w:t>
            </w:r>
            <w:r w:rsidR="000D7BBB">
              <w:t>in</w:t>
            </w:r>
            <w:r w:rsidR="000D7BBB" w:rsidRPr="00592821">
              <w:t xml:space="preserve"> </w:t>
            </w:r>
            <w:r w:rsidRPr="00592821">
              <w:t>the synchronised sequences</w:t>
            </w:r>
            <w:r w:rsidR="005610D9">
              <w:t xml:space="preserve"> of many vocal groups. </w:t>
            </w:r>
          </w:p>
        </w:tc>
      </w:tr>
    </w:tbl>
    <w:p w:rsidR="00B34779" w:rsidRPr="00A326AC" w:rsidRDefault="00E7289C" w:rsidP="00B34779">
      <w:r>
        <w:rPr>
          <w:rStyle w:val="Publishingnote"/>
        </w:rPr>
        <w:br w:type="page"/>
      </w:r>
      <w:r w:rsidR="00036B2D">
        <w:rPr>
          <w:b/>
          <w:i/>
          <w:noProof/>
          <w:color w:val="FF0000"/>
        </w:rPr>
        <w:lastRenderedPageBreak/>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855"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85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CD0037" w:rsidRPr="00885161">
        <w:trPr>
          <w:trHeight w:val="76"/>
        </w:trPr>
        <w:tc>
          <w:tcPr>
            <w:tcW w:w="9639" w:type="dxa"/>
            <w:gridSpan w:val="2"/>
            <w:shd w:val="clear" w:color="auto" w:fill="E6E6E6"/>
          </w:tcPr>
          <w:p w:rsidR="00CD0037" w:rsidRPr="00885161" w:rsidRDefault="00885161" w:rsidP="0087211E">
            <w:pPr>
              <w:pStyle w:val="Heading2intable"/>
              <w:keepNext/>
              <w:keepLines/>
              <w:tabs>
                <w:tab w:val="clear" w:pos="9000"/>
                <w:tab w:val="right" w:pos="9360"/>
              </w:tabs>
            </w:pPr>
            <w:r w:rsidRPr="00885161">
              <w:t>The Arts</w:t>
            </w:r>
            <w:r w:rsidR="00CD0037" w:rsidRPr="00885161">
              <w:tab/>
              <w:t xml:space="preserve">Essential Learnings by the end of Year </w:t>
            </w:r>
            <w:r>
              <w:t>9</w:t>
            </w:r>
          </w:p>
        </w:tc>
      </w:tr>
      <w:tr w:rsidR="00934842">
        <w:trPr>
          <w:trHeight w:val="3454"/>
        </w:trPr>
        <w:tc>
          <w:tcPr>
            <w:tcW w:w="4819"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8B6F6F" w:rsidRDefault="008B6F6F" w:rsidP="008B6F6F">
            <w:pPr>
              <w:pStyle w:val="Bulletslevel1"/>
            </w:pPr>
            <w:r>
              <w:t>make decisions about arts elements, languages and cultural protocols in relation to specific style, function, audience and purpose of arts works</w:t>
            </w:r>
          </w:p>
          <w:p w:rsidR="008B6F6F" w:rsidRDefault="008B6F6F" w:rsidP="008B6F6F">
            <w:pPr>
              <w:pStyle w:val="Bulletslevel1"/>
            </w:pPr>
            <w:r>
              <w:t>create and shape arts works by manipulating arts elements to express meaning in different contexts</w:t>
            </w:r>
          </w:p>
          <w:p w:rsidR="008B6F6F" w:rsidRDefault="008B6F6F" w:rsidP="008B6F6F">
            <w:pPr>
              <w:pStyle w:val="Bulletslevel1"/>
            </w:pPr>
            <w:r>
              <w:t xml:space="preserve">modify and refine genre-specific arts works, using interpretive and </w:t>
            </w:r>
            <w:r w:rsidR="00C9177D">
              <w:br/>
            </w:r>
            <w:r>
              <w:t>technical skills</w:t>
            </w:r>
          </w:p>
          <w:p w:rsidR="008B6F6F" w:rsidRDefault="008B6F6F" w:rsidP="008B6F6F">
            <w:pPr>
              <w:pStyle w:val="Bulletslevel1"/>
            </w:pPr>
            <w:r>
              <w:t>present arts works to particular audiences for a specific purpose, style and function, using genre-specific arts techniques, skills, processes and cultural protocols</w:t>
            </w:r>
          </w:p>
          <w:p w:rsidR="008B6F6F" w:rsidRDefault="008B6F6F" w:rsidP="008B6F6F">
            <w:pPr>
              <w:pStyle w:val="Bulletslevel1"/>
            </w:pPr>
            <w:r>
              <w:t>identify risks and devise and apply safe practices</w:t>
            </w:r>
          </w:p>
          <w:p w:rsidR="00934842" w:rsidRPr="00A67D85" w:rsidRDefault="008B6F6F" w:rsidP="008B6F6F">
            <w:pPr>
              <w:pStyle w:val="Bulletslevel1"/>
            </w:pPr>
            <w:r>
              <w:rPr>
                <w:szCs w:val="20"/>
              </w:rPr>
              <w:t>respond by deconstructing arts works in relation to social, cultural, historical, spiritual, political, technological and economic contexts, using arts elements and language</w:t>
            </w:r>
            <w:r w:rsidR="00E86081">
              <w:rPr>
                <w:szCs w:val="20"/>
              </w:rPr>
              <w:t>.</w:t>
            </w:r>
          </w:p>
        </w:tc>
        <w:tc>
          <w:tcPr>
            <w:tcW w:w="4820" w:type="dxa"/>
          </w:tcPr>
          <w:p w:rsidR="00934842" w:rsidRDefault="00934842" w:rsidP="002C1299">
            <w:pPr>
              <w:pStyle w:val="Heading3"/>
              <w:keepLines/>
            </w:pPr>
            <w:r>
              <w:t>Knowledge and understanding</w:t>
            </w:r>
          </w:p>
          <w:p w:rsidR="008B6F6F" w:rsidRPr="008B6F6F" w:rsidRDefault="008B6F6F" w:rsidP="008B6F6F">
            <w:pPr>
              <w:pStyle w:val="Stem"/>
              <w:rPr>
                <w:b/>
                <w:i/>
              </w:rPr>
            </w:pPr>
            <w:r w:rsidRPr="008B6F6F">
              <w:rPr>
                <w:b/>
                <w:i/>
              </w:rPr>
              <w:t>Dance</w:t>
            </w:r>
          </w:p>
          <w:p w:rsidR="00934842" w:rsidRPr="008B6F6F" w:rsidRDefault="008B6F6F" w:rsidP="008B6F6F">
            <w:pPr>
              <w:pStyle w:val="Stem"/>
              <w:rPr>
                <w:b/>
                <w:szCs w:val="22"/>
              </w:rPr>
            </w:pPr>
            <w:r w:rsidRPr="008B6F6F">
              <w:rPr>
                <w:b/>
                <w:szCs w:val="22"/>
              </w:rPr>
              <w:t>Dance involves using the human body to express ideas, considering specific audiences and</w:t>
            </w:r>
            <w:r>
              <w:rPr>
                <w:b/>
                <w:szCs w:val="22"/>
              </w:rPr>
              <w:t xml:space="preserve"> </w:t>
            </w:r>
            <w:r w:rsidRPr="008B6F6F">
              <w:rPr>
                <w:b/>
                <w:szCs w:val="22"/>
              </w:rPr>
              <w:t>specific purposes, by manipulating dance elements in genre-specific dance sequences.</w:t>
            </w:r>
          </w:p>
          <w:p w:rsidR="008B6F6F" w:rsidRDefault="008B6F6F" w:rsidP="008B6F6F">
            <w:pPr>
              <w:pStyle w:val="Bulletslevel1"/>
            </w:pPr>
            <w:r>
              <w:t>Genre-specific movements are used to create actions for dance sequences</w:t>
            </w:r>
            <w:r w:rsidR="00E86081">
              <w:t>.</w:t>
            </w:r>
          </w:p>
          <w:p w:rsidR="008B6F6F" w:rsidRDefault="008B6F6F" w:rsidP="008B6F6F">
            <w:pPr>
              <w:pStyle w:val="Bulletslevel1"/>
            </w:pPr>
            <w:r>
              <w:t xml:space="preserve">Traditional and non-traditional performance areas are used to manipulate movement </w:t>
            </w:r>
            <w:r w:rsidR="00C9177D">
              <w:br/>
            </w:r>
            <w:r>
              <w:t>in space</w:t>
            </w:r>
            <w:r w:rsidR="00E86081">
              <w:t>.</w:t>
            </w:r>
          </w:p>
          <w:p w:rsidR="008B6F6F" w:rsidRDefault="008B6F6F" w:rsidP="008B6F6F">
            <w:pPr>
              <w:pStyle w:val="Bulletslevel1"/>
            </w:pPr>
            <w:r>
              <w:t>Irregular and mixed metres are used to manipulate timing</w:t>
            </w:r>
            <w:r w:rsidR="00E86081">
              <w:t>.</w:t>
            </w:r>
          </w:p>
          <w:p w:rsidR="008B6F6F" w:rsidRDefault="008B6F6F" w:rsidP="008B6F6F">
            <w:pPr>
              <w:pStyle w:val="Bulletslevel1"/>
            </w:pPr>
            <w:r>
              <w:t>Combinations of movement qualities are used to manipulate energy</w:t>
            </w:r>
            <w:r w:rsidR="00E86081">
              <w:t>.</w:t>
            </w:r>
          </w:p>
          <w:p w:rsidR="008B6F6F" w:rsidRDefault="008B6F6F" w:rsidP="008B6F6F">
            <w:pPr>
              <w:pStyle w:val="Bulletslevel1"/>
            </w:pPr>
            <w:r>
              <w:t>Structuring devices, including embellishment, abstraction and variation forms, are used to organise movement</w:t>
            </w:r>
            <w:r w:rsidR="00E86081">
              <w:t>.</w:t>
            </w:r>
          </w:p>
        </w:tc>
      </w:tr>
      <w:tr w:rsidR="00B34779" w:rsidRPr="00AD12C7">
        <w:trPr>
          <w:trHeight w:val="1559"/>
        </w:trPr>
        <w:tc>
          <w:tcPr>
            <w:tcW w:w="9639" w:type="dxa"/>
            <w:gridSpan w:val="2"/>
          </w:tcPr>
          <w:p w:rsidR="00B34779" w:rsidRDefault="00B34779" w:rsidP="002C1299">
            <w:pPr>
              <w:pStyle w:val="Heading3"/>
              <w:keepLines/>
            </w:pPr>
            <w:r>
              <w:t xml:space="preserve">Assessable </w:t>
            </w:r>
            <w:r w:rsidRPr="00AD12C7">
              <w:t>el</w:t>
            </w:r>
            <w:r>
              <w:t>ements</w:t>
            </w:r>
          </w:p>
          <w:p w:rsidR="00885161" w:rsidRDefault="008B6F6F" w:rsidP="00885161">
            <w:pPr>
              <w:pStyle w:val="Bulletslevel1"/>
            </w:pPr>
            <w:r>
              <w:t>Knowledge and understanding</w:t>
            </w:r>
          </w:p>
          <w:p w:rsidR="00885161" w:rsidRDefault="008B6F6F" w:rsidP="00885161">
            <w:pPr>
              <w:pStyle w:val="Bulletslevel1"/>
            </w:pPr>
            <w:r>
              <w:t>Creating</w:t>
            </w:r>
          </w:p>
          <w:p w:rsidR="00885161" w:rsidRDefault="008B6F6F" w:rsidP="00885161">
            <w:pPr>
              <w:pStyle w:val="Bulletslevel1"/>
            </w:pPr>
            <w:r>
              <w:t>Presenting</w:t>
            </w:r>
          </w:p>
          <w:p w:rsidR="00B34779" w:rsidRPr="00AD12C7" w:rsidRDefault="008B6F6F" w:rsidP="00885161">
            <w:pPr>
              <w:pStyle w:val="Bulletslevel1"/>
            </w:pPr>
            <w:r>
              <w:t>Resp</w:t>
            </w:r>
            <w:r w:rsidR="00885161">
              <w:t>onding</w:t>
            </w:r>
          </w:p>
        </w:tc>
      </w:tr>
      <w:tr w:rsidR="00B34779" w:rsidRPr="00474B75">
        <w:trPr>
          <w:trHeight w:val="76"/>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885161" w:rsidRPr="00885161">
              <w:rPr>
                <w:rStyle w:val="SourceTitleChar"/>
              </w:rPr>
              <w:t>The Arts</w:t>
            </w:r>
            <w:r w:rsidRPr="00885161">
              <w:rPr>
                <w:rStyle w:val="SourceTitleChar"/>
              </w:rPr>
              <w:t xml:space="preserve"> Essential Learnings by the end of Year </w:t>
            </w:r>
            <w:r w:rsidR="00885161" w:rsidRPr="00885161">
              <w:rPr>
                <w:rStyle w:val="SourceTitleChar"/>
              </w:rPr>
              <w:t>9</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8F3048" w:rsidRDefault="002734E6" w:rsidP="009D15D5">
      <w:pPr>
        <w:pStyle w:val="Stem"/>
      </w:pPr>
      <w:r>
        <w:br w:type="page"/>
      </w:r>
      <w:r w:rsidR="00036B2D">
        <w:rPr>
          <w:noProof/>
        </w:rPr>
        <w:lastRenderedPageBreak/>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9D15D5">
        <w:rPr>
          <w:b/>
        </w:rPr>
        <w:t>learning experiences</w:t>
      </w:r>
      <w:r w:rsidR="008F3048">
        <w:t xml:space="preserve"> for students be</w:t>
      </w:r>
      <w:r w:rsidR="00D43BC1">
        <w:t xml:space="preserve">fore </w:t>
      </w:r>
      <w:r w:rsidR="00F06915">
        <w:t>attempting</w:t>
      </w:r>
      <w:r w:rsidR="00D43BC1">
        <w:t xml:space="preserve"> this assessment.</w:t>
      </w:r>
    </w:p>
    <w:p w:rsidR="00885161" w:rsidRPr="00592821" w:rsidRDefault="00885161" w:rsidP="00885161">
      <w:pPr>
        <w:pStyle w:val="Bulletslevel1"/>
      </w:pPr>
      <w:r>
        <w:t>R</w:t>
      </w:r>
      <w:r w:rsidRPr="00592821">
        <w:t>esearch</w:t>
      </w:r>
      <w:r w:rsidR="00974228" w:rsidRPr="00974228">
        <w:t xml:space="preserve"> </w:t>
      </w:r>
      <w:r w:rsidR="00974228" w:rsidRPr="00592821">
        <w:t>vocal choreography</w:t>
      </w:r>
      <w:r w:rsidR="00974228">
        <w:t xml:space="preserve"> in</w:t>
      </w:r>
      <w:r w:rsidRPr="00592821">
        <w:t xml:space="preserve"> popular dance</w:t>
      </w:r>
      <w:r w:rsidR="00974228">
        <w:t xml:space="preserve">, </w:t>
      </w:r>
      <w:r w:rsidR="002E10FC">
        <w:t>exploring key figures</w:t>
      </w:r>
      <w:r w:rsidRPr="00592821">
        <w:t xml:space="preserve"> from </w:t>
      </w:r>
      <w:r w:rsidR="00974228">
        <w:t xml:space="preserve">the </w:t>
      </w:r>
      <w:r w:rsidRPr="00592821">
        <w:t xml:space="preserve">1950s to </w:t>
      </w:r>
      <w:r w:rsidR="00974228">
        <w:t xml:space="preserve">the </w:t>
      </w:r>
      <w:r w:rsidRPr="00592821">
        <w:t>present day (including Cholly Atkins</w:t>
      </w:r>
      <w:r w:rsidR="00974228">
        <w:t>,</w:t>
      </w:r>
      <w:r w:rsidR="00974228" w:rsidRPr="00592821">
        <w:t xml:space="preserve"> </w:t>
      </w:r>
      <w:r w:rsidR="005E2304">
        <w:t>Motown artists such as</w:t>
      </w:r>
      <w:r w:rsidRPr="00592821">
        <w:t xml:space="preserve"> The Temptations, The Supremes</w:t>
      </w:r>
      <w:r w:rsidR="00974228">
        <w:t>,</w:t>
      </w:r>
      <w:r w:rsidR="005E2304">
        <w:t xml:space="preserve"> and</w:t>
      </w:r>
      <w:r w:rsidRPr="00592821">
        <w:t xml:space="preserve"> boy and girl bands of other decades)</w:t>
      </w:r>
      <w:r w:rsidR="00727ACA">
        <w:t>.</w:t>
      </w:r>
    </w:p>
    <w:p w:rsidR="00885161" w:rsidRPr="00592821" w:rsidRDefault="00885161" w:rsidP="00885161">
      <w:pPr>
        <w:pStyle w:val="Bulletslevel1"/>
      </w:pPr>
      <w:r w:rsidRPr="00592821">
        <w:t>Identify</w:t>
      </w:r>
      <w:r w:rsidR="00E9276F">
        <w:t xml:space="preserve"> </w:t>
      </w:r>
      <w:r w:rsidRPr="00592821">
        <w:t>commercial use</w:t>
      </w:r>
      <w:r w:rsidR="00E9276F">
        <w:t>s</w:t>
      </w:r>
      <w:r w:rsidRPr="00592821">
        <w:t xml:space="preserve"> of dance in </w:t>
      </w:r>
      <w:r w:rsidR="00E9276F">
        <w:t xml:space="preserve">the </w:t>
      </w:r>
      <w:r w:rsidRPr="00592821">
        <w:t>music industry</w:t>
      </w:r>
      <w:r w:rsidR="00E9276F">
        <w:t>, how it</w:t>
      </w:r>
      <w:r w:rsidR="00E9276F" w:rsidRPr="00592821">
        <w:t xml:space="preserve"> </w:t>
      </w:r>
      <w:r w:rsidRPr="00592821">
        <w:t>contribute</w:t>
      </w:r>
      <w:r w:rsidR="00E9276F">
        <w:t>s</w:t>
      </w:r>
      <w:r w:rsidRPr="00592821">
        <w:t xml:space="preserve"> to audience appeal and help</w:t>
      </w:r>
      <w:r w:rsidR="00E9276F">
        <w:t>s to</w:t>
      </w:r>
      <w:r w:rsidRPr="00592821">
        <w:t xml:space="preserve"> market songs</w:t>
      </w:r>
      <w:r w:rsidR="00727ACA">
        <w:t>.</w:t>
      </w:r>
    </w:p>
    <w:p w:rsidR="00885161" w:rsidRPr="00592821" w:rsidRDefault="00885161" w:rsidP="00885161">
      <w:pPr>
        <w:pStyle w:val="Bulletslevel1"/>
      </w:pPr>
      <w:r w:rsidRPr="00592821">
        <w:t>Explore dance</w:t>
      </w:r>
      <w:r w:rsidR="00E9276F">
        <w:t>’s ability to</w:t>
      </w:r>
      <w:r w:rsidRPr="00592821">
        <w:t xml:space="preserve"> provid</w:t>
      </w:r>
      <w:r w:rsidR="00E9276F">
        <w:t>e</w:t>
      </w:r>
      <w:r w:rsidRPr="00592821">
        <w:t xml:space="preserve"> information </w:t>
      </w:r>
      <w:r w:rsidR="00E9276F">
        <w:t>about the</w:t>
      </w:r>
      <w:r w:rsidR="00E9276F" w:rsidRPr="00592821">
        <w:t xml:space="preserve"> </w:t>
      </w:r>
      <w:r w:rsidRPr="00592821">
        <w:t xml:space="preserve">social context of </w:t>
      </w:r>
      <w:r w:rsidR="00E9276F">
        <w:t xml:space="preserve">specific </w:t>
      </w:r>
      <w:r w:rsidRPr="00592821">
        <w:t xml:space="preserve">time periods (e.g. </w:t>
      </w:r>
      <w:r w:rsidR="00E9276F">
        <w:t xml:space="preserve">the </w:t>
      </w:r>
      <w:r w:rsidR="005E2304">
        <w:t>1960s</w:t>
      </w:r>
      <w:r w:rsidRPr="00592821">
        <w:t xml:space="preserve"> and later </w:t>
      </w:r>
      <w:r w:rsidR="00E9276F">
        <w:t>decade</w:t>
      </w:r>
      <w:r w:rsidR="00E9276F" w:rsidRPr="00592821">
        <w:t>s</w:t>
      </w:r>
      <w:r w:rsidRPr="00592821">
        <w:t>)</w:t>
      </w:r>
      <w:r w:rsidR="00727ACA">
        <w:t>.</w:t>
      </w:r>
    </w:p>
    <w:p w:rsidR="00885161" w:rsidRPr="00592821" w:rsidRDefault="00885161" w:rsidP="00885161">
      <w:pPr>
        <w:pStyle w:val="Bulletslevel1"/>
      </w:pPr>
      <w:r w:rsidRPr="00592821">
        <w:t xml:space="preserve">Identify characteristics of vocal choreography </w:t>
      </w:r>
      <w:r w:rsidR="00223EDA">
        <w:t>—</w:t>
      </w:r>
      <w:r w:rsidRPr="00592821">
        <w:t xml:space="preserve"> style, function, purpose</w:t>
      </w:r>
      <w:r w:rsidR="00727ACA">
        <w:t>.</w:t>
      </w:r>
    </w:p>
    <w:p w:rsidR="00885161" w:rsidRPr="00592821" w:rsidRDefault="00885161" w:rsidP="00885161">
      <w:pPr>
        <w:pStyle w:val="Bulletslevel1"/>
      </w:pPr>
      <w:r w:rsidRPr="00592821">
        <w:t xml:space="preserve">Experiment with dance elements to create short popular dance sequences </w:t>
      </w:r>
      <w:r w:rsidR="00E9276F">
        <w:t>—</w:t>
      </w:r>
      <w:r w:rsidR="00E9276F" w:rsidRPr="00592821">
        <w:t xml:space="preserve"> </w:t>
      </w:r>
      <w:r w:rsidRPr="00592821">
        <w:t>action</w:t>
      </w:r>
      <w:r w:rsidR="00D13657">
        <w:t>;</w:t>
      </w:r>
      <w:r w:rsidRPr="00592821">
        <w:t xml:space="preserve"> space (direction, shape, focus)</w:t>
      </w:r>
      <w:r w:rsidR="00D13657">
        <w:t>;</w:t>
      </w:r>
      <w:r w:rsidRPr="00592821">
        <w:t xml:space="preserve"> time (tempo)</w:t>
      </w:r>
      <w:r w:rsidR="00D13657">
        <w:t>;</w:t>
      </w:r>
      <w:r w:rsidRPr="00592821">
        <w:t xml:space="preserve"> energy (movement qualities) and form (repetition, canon, contrast).</w:t>
      </w:r>
    </w:p>
    <w:p w:rsidR="00885161" w:rsidRPr="00592821" w:rsidRDefault="00E9276F" w:rsidP="00885161">
      <w:pPr>
        <w:pStyle w:val="Bulletslevel1"/>
      </w:pPr>
      <w:r>
        <w:t>D</w:t>
      </w:r>
      <w:r w:rsidR="00885161" w:rsidRPr="00592821">
        <w:t xml:space="preserve">evelop and refine interpretive and technical skills in </w:t>
      </w:r>
      <w:r>
        <w:t xml:space="preserve">dance </w:t>
      </w:r>
      <w:r w:rsidR="00885161" w:rsidRPr="00592821">
        <w:t>performance</w:t>
      </w:r>
      <w:r w:rsidR="00727ACA">
        <w:t>.</w:t>
      </w:r>
    </w:p>
    <w:p w:rsidR="00885161" w:rsidRPr="00592821" w:rsidRDefault="00E9276F" w:rsidP="00885161">
      <w:pPr>
        <w:pStyle w:val="Bulletslevel1"/>
      </w:pPr>
      <w:r>
        <w:t xml:space="preserve">Develop </w:t>
      </w:r>
      <w:r w:rsidR="0096366F" w:rsidRPr="00592821">
        <w:t>skills</w:t>
      </w:r>
      <w:r w:rsidR="0096366F">
        <w:t xml:space="preserve"> in </w:t>
      </w:r>
      <w:r>
        <w:t>a</w:t>
      </w:r>
      <w:r w:rsidR="00885161" w:rsidRPr="00592821">
        <w:t>nalysis and evaluation</w:t>
      </w:r>
      <w:r w:rsidR="0096366F">
        <w:t>,</w:t>
      </w:r>
      <w:r w:rsidR="00885161" w:rsidRPr="00592821">
        <w:t xml:space="preserve"> </w:t>
      </w:r>
      <w:r w:rsidR="0096366F">
        <w:t>considering the</w:t>
      </w:r>
      <w:r w:rsidR="0096366F" w:rsidRPr="00592821">
        <w:t xml:space="preserve"> </w:t>
      </w:r>
      <w:r w:rsidR="00885161" w:rsidRPr="00592821">
        <w:t>style, function and purpose of popular dance.</w:t>
      </w:r>
    </w:p>
    <w:tbl>
      <w:tblPr>
        <w:tblW w:w="9639" w:type="dxa"/>
        <w:tblLook w:val="01E0" w:firstRow="1" w:lastRow="1" w:firstColumn="1" w:lastColumn="1" w:noHBand="0" w:noVBand="0"/>
      </w:tblPr>
      <w:tblGrid>
        <w:gridCol w:w="1008"/>
        <w:gridCol w:w="8631"/>
      </w:tblGrid>
      <w:tr w:rsidR="00C61C2F" w:rsidRPr="008814B0">
        <w:trPr>
          <w:trHeight w:val="870"/>
        </w:trPr>
        <w:tc>
          <w:tcPr>
            <w:tcW w:w="523" w:type="pct"/>
          </w:tcPr>
          <w:p w:rsidR="00C61C2F" w:rsidRPr="000B2F55" w:rsidRDefault="00036B2D" w:rsidP="008B6F6F">
            <w:pPr>
              <w:pageBreakBefore/>
            </w:pPr>
            <w:r>
              <w:rPr>
                <w:noProof/>
              </w:rPr>
              <w:drawing>
                <wp:anchor distT="0" distB="0" distL="114300" distR="114300" simplePos="0" relativeHeight="251656704"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8814B0" w:rsidRDefault="00C61C2F" w:rsidP="008B6F6F">
            <w:pPr>
              <w:pStyle w:val="Heading2"/>
              <w:pageBreakBefore/>
            </w:pPr>
            <w:r w:rsidRPr="00B03C83">
              <w:rPr>
                <w:noProof/>
              </w:rPr>
              <w:t>Teacher resources</w:t>
            </w:r>
          </w:p>
        </w:tc>
      </w:tr>
    </w:tbl>
    <w:p w:rsidR="00F35704" w:rsidRPr="00C063B4" w:rsidRDefault="00F35704" w:rsidP="00F35704">
      <w:pPr>
        <w:pStyle w:val="Stem"/>
        <w:rPr>
          <w:b/>
        </w:rPr>
      </w:pPr>
      <w:r w:rsidRPr="00C063B4">
        <w:rPr>
          <w:b/>
        </w:rPr>
        <w:t>Texts</w:t>
      </w:r>
    </w:p>
    <w:p w:rsidR="00F35704" w:rsidRPr="00592821" w:rsidRDefault="00F35704" w:rsidP="00F35704">
      <w:r w:rsidRPr="00592821">
        <w:t xml:space="preserve">Atkins, </w:t>
      </w:r>
      <w:r>
        <w:t>C 2001,</w:t>
      </w:r>
      <w:r w:rsidRPr="00592821">
        <w:t xml:space="preserve"> </w:t>
      </w:r>
      <w:r w:rsidRPr="006A0926">
        <w:rPr>
          <w:i/>
        </w:rPr>
        <w:t>Class Act: The Jazz Life of Choreographer Cholly Atkins</w:t>
      </w:r>
      <w:r>
        <w:t xml:space="preserve">, </w:t>
      </w:r>
      <w:smartTag w:uri="urn:schemas-microsoft-com:office:smarttags" w:element="place">
        <w:smartTag w:uri="urn:schemas-microsoft-com:office:smarttags" w:element="PlaceName">
          <w:r w:rsidRPr="00592821">
            <w:t>Columbia</w:t>
          </w:r>
        </w:smartTag>
        <w:r w:rsidRPr="00592821">
          <w:t xml:space="preserve"> </w:t>
        </w:r>
        <w:smartTag w:uri="urn:schemas-microsoft-com:office:smarttags" w:element="PlaceType">
          <w:r w:rsidRPr="00592821">
            <w:t>University</w:t>
          </w:r>
        </w:smartTag>
      </w:smartTag>
      <w:r w:rsidRPr="00592821">
        <w:t xml:space="preserve"> Press</w:t>
      </w:r>
      <w:r>
        <w:t>.</w:t>
      </w:r>
    </w:p>
    <w:p w:rsidR="00F35704" w:rsidRPr="00885161" w:rsidRDefault="00F35704" w:rsidP="00F35704">
      <w:pPr>
        <w:pStyle w:val="Stem"/>
        <w:rPr>
          <w:b/>
        </w:rPr>
      </w:pPr>
      <w:r w:rsidRPr="00885161">
        <w:rPr>
          <w:b/>
        </w:rPr>
        <w:t>Websites</w:t>
      </w:r>
    </w:p>
    <w:p w:rsidR="009D4900" w:rsidRDefault="009D4900" w:rsidP="009D4900">
      <w:r w:rsidRPr="00777A32">
        <w:rPr>
          <w:i/>
        </w:rPr>
        <w:t xml:space="preserve">Music </w:t>
      </w:r>
      <w:r>
        <w:rPr>
          <w:i/>
        </w:rPr>
        <w:t>c</w:t>
      </w:r>
      <w:r w:rsidRPr="00777A32">
        <w:rPr>
          <w:i/>
        </w:rPr>
        <w:t>opyright for schools</w:t>
      </w:r>
      <w:r w:rsidRPr="00592821">
        <w:t>, 3rd edn, 2006</w:t>
      </w:r>
      <w:r>
        <w:t>, accessed 3 Mar 2008, &lt;</w:t>
      </w:r>
      <w:r w:rsidRPr="00384512">
        <w:t>www.apra.com.au/music-users/</w:t>
      </w:r>
      <w:r>
        <w:t>apra_publications.asp&gt;.</w:t>
      </w:r>
    </w:p>
    <w:p w:rsidR="00F35704" w:rsidRPr="00592821" w:rsidRDefault="00F35704" w:rsidP="00F35704">
      <w:pPr>
        <w:pStyle w:val="Bulletslevel1"/>
        <w:numPr>
          <w:ilvl w:val="0"/>
          <w:numId w:val="0"/>
        </w:numPr>
      </w:pPr>
      <w:r>
        <w:t>“Symposium celebrates 40 years of p</w:t>
      </w:r>
      <w:r w:rsidRPr="008416C0">
        <w:t xml:space="preserve">opular </w:t>
      </w:r>
      <w:r>
        <w:t>m</w:t>
      </w:r>
      <w:r w:rsidRPr="008416C0">
        <w:t>usic”</w:t>
      </w:r>
      <w:r>
        <w:t>,</w:t>
      </w:r>
      <w:r w:rsidRPr="008416C0">
        <w:t xml:space="preserve"> </w:t>
      </w:r>
      <w:r w:rsidRPr="00E67AAA">
        <w:rPr>
          <w:i/>
        </w:rPr>
        <w:t>Information Bulletin</w:t>
      </w:r>
      <w:r>
        <w:t xml:space="preserve">, </w:t>
      </w:r>
      <w:r w:rsidRPr="008416C0">
        <w:t>January 1999</w:t>
      </w:r>
      <w:r>
        <w:t>,</w:t>
      </w:r>
      <w:r w:rsidRPr="008416C0">
        <w:t xml:space="preserve"> Vol 58</w:t>
      </w:r>
      <w:r>
        <w:t>, No.1,</w:t>
      </w:r>
      <w:r w:rsidRPr="008416C0">
        <w:t xml:space="preserve">The Library of Congress, </w:t>
      </w:r>
      <w:r>
        <w:t xml:space="preserve">accessed </w:t>
      </w:r>
      <w:r w:rsidRPr="008416C0">
        <w:t>25 January 2008</w:t>
      </w:r>
      <w:r>
        <w:t>, &lt;</w:t>
      </w:r>
      <w:r w:rsidRPr="009D15AA">
        <w:t>www.loc.gov/loc/lcib/9901/motown.html</w:t>
      </w:r>
      <w:r>
        <w:t>&gt;.</w:t>
      </w:r>
    </w:p>
    <w:p w:rsidR="00F35704" w:rsidRPr="00592821" w:rsidRDefault="00F35704" w:rsidP="00F35704">
      <w:r>
        <w:t xml:space="preserve">Wikipedia entry on boy bands: </w:t>
      </w:r>
      <w:r w:rsidR="00D13657">
        <w:t>&lt;</w:t>
      </w:r>
      <w:hyperlink r:id="rId15" w:history="1">
        <w:r w:rsidRPr="00E67AAA">
          <w:t>http://en.wikipedia.org/wiki/Boy_band</w:t>
        </w:r>
      </w:hyperlink>
      <w:r w:rsidR="00D13657">
        <w:t>&gt;</w:t>
      </w:r>
      <w:r w:rsidRPr="00E67AAA">
        <w:t>.</w:t>
      </w:r>
    </w:p>
    <w:p w:rsidR="00F35704" w:rsidRPr="00592821" w:rsidRDefault="00F35704" w:rsidP="00F35704">
      <w:r>
        <w:t xml:space="preserve">Wikipedia entry on girl bands: </w:t>
      </w:r>
      <w:r w:rsidR="00D13657">
        <w:t>&lt;</w:t>
      </w:r>
      <w:hyperlink r:id="rId16" w:history="1">
        <w:r w:rsidRPr="00E67AAA">
          <w:t>http://en.wikipedia.org/wiki/Girl_band</w:t>
        </w:r>
      </w:hyperlink>
      <w:r w:rsidR="00D13657">
        <w:t>&gt;</w:t>
      </w:r>
      <w:r w:rsidRPr="00E67AAA">
        <w:t>.</w:t>
      </w:r>
    </w:p>
    <w:p w:rsidR="00F35704" w:rsidRPr="00885161" w:rsidRDefault="00F35704" w:rsidP="00F35704">
      <w:pPr>
        <w:pStyle w:val="Stem"/>
        <w:rPr>
          <w:b/>
        </w:rPr>
      </w:pPr>
      <w:r w:rsidRPr="00885161">
        <w:rPr>
          <w:b/>
        </w:rPr>
        <w:t>DVD</w:t>
      </w:r>
      <w:r>
        <w:rPr>
          <w:b/>
        </w:rPr>
        <w:t>s and v</w:t>
      </w:r>
      <w:r w:rsidRPr="00885161">
        <w:rPr>
          <w:b/>
        </w:rPr>
        <w:t>ideos</w:t>
      </w:r>
    </w:p>
    <w:p w:rsidR="00F35704" w:rsidRDefault="00F35704" w:rsidP="00F35704">
      <w:pPr>
        <w:rPr>
          <w:i/>
        </w:rPr>
      </w:pPr>
      <w:r w:rsidRPr="000C5A0D">
        <w:rPr>
          <w:i/>
        </w:rPr>
        <w:t>Tape Services</w:t>
      </w:r>
      <w:r>
        <w:t xml:space="preserve">, Department of Education and Children's Services, </w:t>
      </w:r>
      <w:smartTag w:uri="urn:schemas-microsoft-com:office:smarttags" w:element="place">
        <w:smartTag w:uri="urn:schemas-microsoft-com:office:smarttags" w:element="State">
          <w:r>
            <w:t>South Australia</w:t>
          </w:r>
        </w:smartTag>
      </w:smartTag>
      <w:r>
        <w:t xml:space="preserve"> 1999, accessed 25 January 2008, &lt;</w:t>
      </w:r>
      <w:hyperlink r:id="rId17" w:history="1">
        <w:r w:rsidRPr="00E67AAA">
          <w:t>www.tapeservices.sa.edu.au</w:t>
        </w:r>
      </w:hyperlink>
      <w:r>
        <w:t>&gt;. Search the catalogue for:</w:t>
      </w:r>
      <w:r w:rsidRPr="00BA11ED">
        <w:rPr>
          <w:i/>
        </w:rPr>
        <w:t xml:space="preserve"> </w:t>
      </w:r>
    </w:p>
    <w:p w:rsidR="00F35704" w:rsidRPr="00592821" w:rsidRDefault="00F35704" w:rsidP="00F35704">
      <w:pPr>
        <w:pStyle w:val="Bulletslevel1"/>
      </w:pPr>
      <w:r w:rsidRPr="000C5A0D">
        <w:rPr>
          <w:i/>
        </w:rPr>
        <w:t xml:space="preserve">Sounds </w:t>
      </w:r>
      <w:r>
        <w:rPr>
          <w:i/>
        </w:rPr>
        <w:t>of the s</w:t>
      </w:r>
      <w:r w:rsidRPr="000C5A0D">
        <w:rPr>
          <w:i/>
        </w:rPr>
        <w:t>ixties: 2. Getting</w:t>
      </w:r>
      <w:r w:rsidRPr="000C5A0D">
        <w:rPr>
          <w:i/>
        </w:rPr>
        <w:t xml:space="preserve"> </w:t>
      </w:r>
      <w:r>
        <w:rPr>
          <w:i/>
        </w:rPr>
        <w:t>in on the a</w:t>
      </w:r>
      <w:r w:rsidRPr="000C5A0D">
        <w:rPr>
          <w:i/>
        </w:rPr>
        <w:t>ct</w:t>
      </w:r>
      <w:r w:rsidRPr="00285176">
        <w:t>. (</w:t>
      </w:r>
      <w:r w:rsidRPr="00592821">
        <w:t>Classic archive performances from The Rolling Stones, Dave Clark Five, Roy Orbison, The Supremes, The Hollies, Herman’s Hermits, The Seekers, Sonny and Cher, Dave Dee, Dozy, Mick and Tich, Jonathan King and The Byrds.</w:t>
      </w:r>
      <w:r>
        <w:t>)</w:t>
      </w:r>
    </w:p>
    <w:p w:rsidR="00D13657" w:rsidRPr="00D13657" w:rsidRDefault="00F35704" w:rsidP="00F35704">
      <w:pPr>
        <w:pStyle w:val="Bulletslevel1"/>
        <w:rPr>
          <w:i/>
        </w:rPr>
      </w:pPr>
      <w:r>
        <w:rPr>
          <w:i/>
        </w:rPr>
        <w:t>Songs t</w:t>
      </w:r>
      <w:r w:rsidRPr="009D15AA">
        <w:rPr>
          <w:i/>
        </w:rPr>
        <w:t xml:space="preserve">hat </w:t>
      </w:r>
      <w:r>
        <w:rPr>
          <w:i/>
        </w:rPr>
        <w:t>changed the world: 3. Stayin' a</w:t>
      </w:r>
      <w:r w:rsidRPr="009D15AA">
        <w:rPr>
          <w:i/>
        </w:rPr>
        <w:t>live</w:t>
      </w:r>
      <w:r>
        <w:t>. (Episode three of a</w:t>
      </w:r>
      <w:r w:rsidRPr="00592821">
        <w:t xml:space="preserve"> nine-part series that looks at some of the most influential contemporary songs of the second half of the twentieth century. Dance crazes abound throughou</w:t>
      </w:r>
      <w:r w:rsidR="00D13657">
        <w:t>t the history of popular music.)</w:t>
      </w:r>
    </w:p>
    <w:p w:rsidR="00F35704" w:rsidRPr="00BA11ED" w:rsidRDefault="00F35704" w:rsidP="00F35704">
      <w:pPr>
        <w:pStyle w:val="Bulletslevel1"/>
        <w:rPr>
          <w:i/>
        </w:rPr>
      </w:pPr>
      <w:r w:rsidRPr="00BA11ED">
        <w:rPr>
          <w:i/>
        </w:rPr>
        <w:t>Walk on by: The story of Popular Sons</w:t>
      </w:r>
      <w:r>
        <w:t>.</w:t>
      </w:r>
      <w:r w:rsidRPr="00592821">
        <w:t xml:space="preserve"> </w:t>
      </w:r>
      <w:r>
        <w:t>(</w:t>
      </w:r>
      <w:r w:rsidRPr="00592821">
        <w:t>2002</w:t>
      </w:r>
      <w:r>
        <w:t>. C</w:t>
      </w:r>
      <w:r w:rsidRPr="00592821">
        <w:t>omplete series</w:t>
      </w:r>
      <w:r>
        <w:t>.)</w:t>
      </w:r>
      <w:r w:rsidRPr="00BA11ED">
        <w:t xml:space="preserve"> </w:t>
      </w:r>
    </w:p>
    <w:p w:rsidR="00F35704" w:rsidRPr="00DA3A4E" w:rsidRDefault="00F35704" w:rsidP="00F35704">
      <w:pPr>
        <w:rPr>
          <w:b/>
        </w:rPr>
      </w:pPr>
      <w:r w:rsidRPr="00DA3A4E">
        <w:rPr>
          <w:b/>
        </w:rPr>
        <w:t>Other commercially available resources</w:t>
      </w:r>
    </w:p>
    <w:p w:rsidR="00F35704" w:rsidRPr="00592821" w:rsidRDefault="00F35704" w:rsidP="00F35704">
      <w:pPr>
        <w:pStyle w:val="Bulletslevel1"/>
      </w:pPr>
      <w:r>
        <w:t>The Temptations</w:t>
      </w:r>
      <w:r w:rsidRPr="00592821">
        <w:t xml:space="preserve"> </w:t>
      </w:r>
      <w:r>
        <w:t xml:space="preserve">(various, such as, </w:t>
      </w:r>
      <w:r w:rsidRPr="00516B7B">
        <w:rPr>
          <w:i/>
        </w:rPr>
        <w:t>Get Ready: Definitive Performances 1965–1972</w:t>
      </w:r>
      <w:r>
        <w:rPr>
          <w:i/>
        </w:rPr>
        <w:t>—The Temptations</w:t>
      </w:r>
      <w:r w:rsidRPr="00B8394C">
        <w:t>,</w:t>
      </w:r>
      <w:r>
        <w:rPr>
          <w:i/>
        </w:rPr>
        <w:t xml:space="preserve"> </w:t>
      </w:r>
      <w:r w:rsidRPr="00B8394C">
        <w:t>2006</w:t>
      </w:r>
      <w:r>
        <w:t>, DVD, Motown)</w:t>
      </w:r>
      <w:r w:rsidR="00D13657">
        <w:t>.</w:t>
      </w:r>
    </w:p>
    <w:p w:rsidR="00F35704" w:rsidRPr="00592821" w:rsidRDefault="00F35704" w:rsidP="00F35704">
      <w:pPr>
        <w:pStyle w:val="Bulletslevel1"/>
      </w:pPr>
      <w:r>
        <w:t>The Supremes (various recordings)</w:t>
      </w:r>
      <w:r w:rsidR="00D13657">
        <w:t>.</w:t>
      </w:r>
    </w:p>
    <w:p w:rsidR="00D13657" w:rsidRDefault="00F35704" w:rsidP="00D13657">
      <w:pPr>
        <w:pStyle w:val="Bulletslevel1"/>
      </w:pPr>
      <w:r w:rsidRPr="00433474">
        <w:rPr>
          <w:i/>
        </w:rPr>
        <w:t>Dreamgirls</w:t>
      </w:r>
      <w:r>
        <w:rPr>
          <w:i/>
        </w:rPr>
        <w:t xml:space="preserve"> </w:t>
      </w:r>
      <w:r>
        <w:t xml:space="preserve">2006, </w:t>
      </w:r>
      <w:r w:rsidRPr="00592821">
        <w:t>DVD</w:t>
      </w:r>
      <w:r>
        <w:t xml:space="preserve">, Dreamworks &amp; </w:t>
      </w:r>
      <w:smartTag w:uri="urn:schemas-microsoft-com:office:smarttags" w:element="place">
        <w:r>
          <w:t>Paramount</w:t>
        </w:r>
      </w:smartTag>
      <w:r>
        <w:t xml:space="preserve"> Pictures.</w:t>
      </w:r>
      <w:r w:rsidR="00D13657" w:rsidRPr="00D13657">
        <w:t xml:space="preserve"> </w:t>
      </w:r>
    </w:p>
    <w:p w:rsidR="00885161" w:rsidRPr="00D13657" w:rsidRDefault="00D13657" w:rsidP="00D13657">
      <w:pPr>
        <w:pStyle w:val="Bulletslevel1"/>
        <w:rPr>
          <w:b/>
        </w:rPr>
      </w:pPr>
      <w:r>
        <w:t>Commerical DVD and video source, Marcom Projects Pty Ltd: &lt;</w:t>
      </w:r>
      <w:r w:rsidRPr="009D15AA">
        <w:t>www.marcom.com.au</w:t>
      </w:r>
      <w:r>
        <w:t>&gt;.</w:t>
      </w:r>
    </w:p>
    <w:p w:rsidR="00233FC0" w:rsidRDefault="00F35704" w:rsidP="00233FC0">
      <w:pPr>
        <w:pStyle w:val="Heading2"/>
      </w:pPr>
      <w:r>
        <w:br w:type="page"/>
      </w:r>
      <w:r w:rsidR="00036B2D">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855"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85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885161" w:rsidRPr="00592821" w:rsidRDefault="00885161" w:rsidP="00885161">
      <w:r w:rsidRPr="00592821">
        <w:t xml:space="preserve">This </w:t>
      </w:r>
      <w:r w:rsidR="00010023">
        <w:t>assessment</w:t>
      </w:r>
      <w:r w:rsidRPr="00592821">
        <w:t xml:space="preserve"> will provide you with valuable information about your students’ understanding of vocal choreography. It will also allow students to rehearse and polish their performance skills and write appropriate program</w:t>
      </w:r>
      <w:r w:rsidR="00010023">
        <w:t xml:space="preserve"> notes to support the intention or </w:t>
      </w:r>
      <w:r w:rsidRPr="00592821">
        <w:t xml:space="preserve">meaning </w:t>
      </w:r>
      <w:r w:rsidR="00516B7B">
        <w:t>of</w:t>
      </w:r>
      <w:r w:rsidR="00516B7B" w:rsidRPr="00592821">
        <w:t xml:space="preserve"> </w:t>
      </w:r>
      <w:r w:rsidRPr="00592821">
        <w:t>their work.</w:t>
      </w:r>
    </w:p>
    <w:p w:rsidR="00885161" w:rsidRPr="00592821" w:rsidRDefault="00885161" w:rsidP="00885161">
      <w:pPr>
        <w:pStyle w:val="Stem"/>
      </w:pPr>
      <w:r w:rsidRPr="00592821">
        <w:t>You will need to:</w:t>
      </w:r>
    </w:p>
    <w:p w:rsidR="00885161" w:rsidRPr="00592821" w:rsidRDefault="00885161" w:rsidP="00885161">
      <w:pPr>
        <w:pStyle w:val="Bulletslevel1"/>
      </w:pPr>
      <w:r w:rsidRPr="00592821">
        <w:t>provide research opportunities, class notes and video footage to develop students</w:t>
      </w:r>
      <w:r w:rsidR="00516B7B">
        <w:t>’</w:t>
      </w:r>
      <w:r w:rsidRPr="00592821">
        <w:t xml:space="preserve"> knowledge and understanding of vocal choreography </w:t>
      </w:r>
    </w:p>
    <w:p w:rsidR="00885161" w:rsidRPr="00592821" w:rsidRDefault="00885161" w:rsidP="00010023">
      <w:pPr>
        <w:pStyle w:val="Bulletslevel1"/>
      </w:pPr>
      <w:r w:rsidRPr="00592821">
        <w:t>select suitable music for vocal choreography (</w:t>
      </w:r>
      <w:r w:rsidR="00AB7501">
        <w:t xml:space="preserve">from the </w:t>
      </w:r>
      <w:r w:rsidRPr="00592821">
        <w:t xml:space="preserve">1950s to </w:t>
      </w:r>
      <w:r w:rsidR="00AB7501">
        <w:t xml:space="preserve">the </w:t>
      </w:r>
      <w:r w:rsidRPr="00592821">
        <w:t>present day)</w:t>
      </w:r>
      <w:r w:rsidR="00516B7B">
        <w:t>,</w:t>
      </w:r>
      <w:r w:rsidRPr="00592821">
        <w:t xml:space="preserve"> choosing songs that have clear lyrics, </w:t>
      </w:r>
      <w:r w:rsidR="00516B7B">
        <w:t xml:space="preserve">are </w:t>
      </w:r>
      <w:r w:rsidRPr="00592821">
        <w:t>appropriate to school and age</w:t>
      </w:r>
      <w:r w:rsidR="00516B7B">
        <w:t>,</w:t>
      </w:r>
      <w:r w:rsidRPr="00592821">
        <w:t xml:space="preserve"> and allow</w:t>
      </w:r>
      <w:r w:rsidR="00CC1EED">
        <w:t xml:space="preserve"> </w:t>
      </w:r>
      <w:r w:rsidRPr="00592821">
        <w:t xml:space="preserve">for easy interpretation in a movement context </w:t>
      </w:r>
      <w:r w:rsidR="00AB7501">
        <w:t>(</w:t>
      </w:r>
      <w:r w:rsidRPr="00885161">
        <w:t>e</w:t>
      </w:r>
      <w:r w:rsidR="00516B7B">
        <w:t>.</w:t>
      </w:r>
      <w:r w:rsidRPr="00885161">
        <w:t xml:space="preserve">g. </w:t>
      </w:r>
      <w:r w:rsidRPr="00D84B6E">
        <w:rPr>
          <w:i/>
        </w:rPr>
        <w:t xml:space="preserve">Stop in the </w:t>
      </w:r>
      <w:r w:rsidR="00010023">
        <w:rPr>
          <w:i/>
        </w:rPr>
        <w:t>n</w:t>
      </w:r>
      <w:r w:rsidRPr="00D84B6E">
        <w:rPr>
          <w:i/>
        </w:rPr>
        <w:t xml:space="preserve">ame of </w:t>
      </w:r>
      <w:r w:rsidR="00010023">
        <w:rPr>
          <w:i/>
        </w:rPr>
        <w:t>l</w:t>
      </w:r>
      <w:r w:rsidRPr="00D84B6E">
        <w:rPr>
          <w:i/>
        </w:rPr>
        <w:t>ove</w:t>
      </w:r>
      <w:r w:rsidR="00AB7501">
        <w:t xml:space="preserve">, </w:t>
      </w:r>
      <w:r w:rsidR="00D84B6E">
        <w:t xml:space="preserve">The </w:t>
      </w:r>
      <w:r w:rsidR="00AB7501">
        <w:t>Supremes</w:t>
      </w:r>
      <w:r w:rsidR="00D84B6E">
        <w:t>;</w:t>
      </w:r>
      <w:r w:rsidRPr="00885161">
        <w:t xml:space="preserve"> </w:t>
      </w:r>
      <w:r w:rsidRPr="00D84B6E">
        <w:rPr>
          <w:i/>
        </w:rPr>
        <w:t>Think</w:t>
      </w:r>
      <w:r w:rsidR="00D84B6E">
        <w:t>,</w:t>
      </w:r>
      <w:r w:rsidRPr="00885161">
        <w:t xml:space="preserve"> </w:t>
      </w:r>
      <w:r w:rsidRPr="00D84B6E">
        <w:rPr>
          <w:i/>
        </w:rPr>
        <w:t>Respect</w:t>
      </w:r>
      <w:r w:rsidR="00AB7501">
        <w:t>, Aretha Franklin</w:t>
      </w:r>
      <w:r w:rsidR="00D84B6E">
        <w:t>;</w:t>
      </w:r>
      <w:r w:rsidRPr="00885161">
        <w:t xml:space="preserve"> </w:t>
      </w:r>
      <w:r w:rsidRPr="00D84B6E">
        <w:rPr>
          <w:i/>
        </w:rPr>
        <w:t>Stop</w:t>
      </w:r>
      <w:r w:rsidR="00AB7501">
        <w:t>, Spice Girls</w:t>
      </w:r>
      <w:r w:rsidR="00D84B6E">
        <w:t>;</w:t>
      </w:r>
      <w:r>
        <w:t xml:space="preserve"> </w:t>
      </w:r>
      <w:r w:rsidRPr="00D84B6E">
        <w:rPr>
          <w:i/>
        </w:rPr>
        <w:t xml:space="preserve">Every </w:t>
      </w:r>
      <w:r w:rsidR="00010023">
        <w:rPr>
          <w:i/>
        </w:rPr>
        <w:t>t</w:t>
      </w:r>
      <w:r w:rsidRPr="00D84B6E">
        <w:rPr>
          <w:i/>
        </w:rPr>
        <w:t xml:space="preserve">ime </w:t>
      </w:r>
      <w:r w:rsidR="00010023">
        <w:rPr>
          <w:i/>
        </w:rPr>
        <w:t>y</w:t>
      </w:r>
      <w:r w:rsidRPr="00D84B6E">
        <w:rPr>
          <w:i/>
        </w:rPr>
        <w:t xml:space="preserve">ou </w:t>
      </w:r>
      <w:r w:rsidR="00010023">
        <w:rPr>
          <w:i/>
        </w:rPr>
        <w:t>c</w:t>
      </w:r>
      <w:r w:rsidRPr="00D84B6E">
        <w:rPr>
          <w:i/>
        </w:rPr>
        <w:t>ry</w:t>
      </w:r>
      <w:r w:rsidR="00AB7501">
        <w:t>, Human Nature;</w:t>
      </w:r>
      <w:r w:rsidRPr="00592821">
        <w:t xml:space="preserve"> </w:t>
      </w:r>
      <w:r w:rsidRPr="00D84B6E">
        <w:rPr>
          <w:i/>
        </w:rPr>
        <w:t xml:space="preserve">Bye </w:t>
      </w:r>
      <w:r w:rsidR="00010023">
        <w:rPr>
          <w:i/>
        </w:rPr>
        <w:t>b</w:t>
      </w:r>
      <w:r w:rsidRPr="00D84B6E">
        <w:rPr>
          <w:i/>
        </w:rPr>
        <w:t xml:space="preserve">ye </w:t>
      </w:r>
      <w:r w:rsidR="00010023">
        <w:rPr>
          <w:i/>
        </w:rPr>
        <w:t>b</w:t>
      </w:r>
      <w:r w:rsidRPr="00D84B6E">
        <w:rPr>
          <w:i/>
        </w:rPr>
        <w:t>ye</w:t>
      </w:r>
      <w:r w:rsidR="00AB7501">
        <w:t xml:space="preserve">, </w:t>
      </w:r>
      <w:r w:rsidRPr="00592821">
        <w:t>NSync)</w:t>
      </w:r>
    </w:p>
    <w:p w:rsidR="00885161" w:rsidRPr="00592821" w:rsidRDefault="00885161" w:rsidP="00885161">
      <w:pPr>
        <w:pStyle w:val="Bulletslevel1"/>
      </w:pPr>
      <w:r w:rsidRPr="00592821">
        <w:t>be aware of copyright guidelines for use of music (</w:t>
      </w:r>
      <w:r w:rsidR="00F17F55">
        <w:t>se</w:t>
      </w:r>
      <w:r w:rsidR="00AB7501">
        <w:t>e Appendix B: Copyright issues)</w:t>
      </w:r>
    </w:p>
    <w:p w:rsidR="00885161" w:rsidRPr="00592821" w:rsidRDefault="00885161" w:rsidP="00885161">
      <w:pPr>
        <w:pStyle w:val="Bulletslevel1"/>
      </w:pPr>
      <w:r w:rsidRPr="00592821">
        <w:t xml:space="preserve">provide </w:t>
      </w:r>
      <w:r w:rsidR="009642F8">
        <w:t xml:space="preserve">an open, uncluttered space and </w:t>
      </w:r>
      <w:r w:rsidRPr="00592821">
        <w:t xml:space="preserve">access to </w:t>
      </w:r>
      <w:r w:rsidR="00C360D5">
        <w:t>music</w:t>
      </w:r>
      <w:r w:rsidRPr="00592821">
        <w:t xml:space="preserve"> players</w:t>
      </w:r>
      <w:r w:rsidR="00E86081">
        <w:t>.</w:t>
      </w:r>
    </w:p>
    <w:p w:rsidR="00E53F6C" w:rsidRDefault="00E53F6C" w:rsidP="00E53F6C">
      <w:pPr>
        <w:pStyle w:val="Heading2"/>
      </w:pPr>
      <w:r>
        <w:t>Implementation</w:t>
      </w:r>
    </w:p>
    <w:p w:rsidR="007F284A" w:rsidRDefault="007F284A" w:rsidP="007F284A">
      <w:r>
        <w:t>Consider these points w</w:t>
      </w:r>
      <w:r w:rsidR="00526822">
        <w:t>hen implementing the assessment.</w:t>
      </w:r>
    </w:p>
    <w:p w:rsidR="00885161" w:rsidRPr="00592821" w:rsidRDefault="00885161" w:rsidP="007F284A">
      <w:pPr>
        <w:pStyle w:val="Bulletslevel1"/>
      </w:pPr>
      <w:r w:rsidRPr="00592821">
        <w:t xml:space="preserve">Students may need </w:t>
      </w:r>
      <w:r w:rsidR="007C77C9">
        <w:t>additional time</w:t>
      </w:r>
      <w:r w:rsidR="00526822">
        <w:t xml:space="preserve"> to </w:t>
      </w:r>
      <w:r w:rsidR="007C77C9">
        <w:t xml:space="preserve">rehearse in </w:t>
      </w:r>
      <w:r w:rsidR="007D5D88">
        <w:t xml:space="preserve">the </w:t>
      </w:r>
      <w:r w:rsidRPr="00592821">
        <w:t xml:space="preserve">facilities </w:t>
      </w:r>
      <w:r w:rsidR="007D5D88">
        <w:t>t</w:t>
      </w:r>
      <w:r w:rsidR="00526822">
        <w:t>hey will use for the performance</w:t>
      </w:r>
      <w:r w:rsidRPr="00592821">
        <w:t xml:space="preserve">. </w:t>
      </w:r>
    </w:p>
    <w:p w:rsidR="00885161" w:rsidRPr="00592821" w:rsidRDefault="00885161" w:rsidP="007F284A">
      <w:pPr>
        <w:pStyle w:val="Bulletslevel1"/>
      </w:pPr>
      <w:r w:rsidRPr="00592821">
        <w:t xml:space="preserve">Students should be encouraged to sing the lyrics to get the feel of the style. Non-movement components </w:t>
      </w:r>
      <w:r w:rsidR="00274EED">
        <w:t>—</w:t>
      </w:r>
      <w:r w:rsidR="00274EED" w:rsidRPr="00592821">
        <w:t xml:space="preserve"> </w:t>
      </w:r>
      <w:r w:rsidRPr="00592821">
        <w:t>props and costume</w:t>
      </w:r>
      <w:r w:rsidR="00274EED">
        <w:t xml:space="preserve"> —</w:t>
      </w:r>
      <w:r w:rsidRPr="00592821">
        <w:t xml:space="preserve"> could also be included to enhance the performance but</w:t>
      </w:r>
      <w:r w:rsidR="004D0E55">
        <w:t xml:space="preserve"> are not assessable</w:t>
      </w:r>
      <w:r w:rsidRPr="00592821">
        <w:t>.</w:t>
      </w:r>
    </w:p>
    <w:p w:rsidR="004B3FE1" w:rsidRDefault="000E71D8" w:rsidP="007F284A">
      <w:pPr>
        <w:pStyle w:val="Bulletslevel1"/>
      </w:pPr>
      <w:r>
        <w:t>E</w:t>
      </w:r>
      <w:r w:rsidR="00885161" w:rsidRPr="00592821">
        <w:t xml:space="preserve">nsure that </w:t>
      </w:r>
      <w:r w:rsidR="00274EED">
        <w:t xml:space="preserve">the </w:t>
      </w:r>
      <w:r w:rsidR="00885161" w:rsidRPr="00592821">
        <w:t xml:space="preserve">choice of songs and material is inclusive of a range of beliefs and perspectives where possible. </w:t>
      </w:r>
    </w:p>
    <w:p w:rsidR="00233FC0" w:rsidRPr="004B3FE1" w:rsidRDefault="00C320C7" w:rsidP="004B3FE1">
      <w:pPr>
        <w:rPr>
          <w:rStyle w:val="Heading2TOPChar"/>
        </w:rPr>
      </w:pPr>
      <w:r>
        <w:rPr>
          <w:rStyle w:val="Heading2TOPChar"/>
        </w:rPr>
        <w:br w:type="page"/>
      </w:r>
      <w:r w:rsidR="00233FC0" w:rsidRPr="004B3FE1">
        <w:rPr>
          <w:rStyle w:val="Heading2TOPChar"/>
        </w:rPr>
        <w:t>Sample implementation plan</w:t>
      </w:r>
    </w:p>
    <w:p w:rsidR="00C360D5" w:rsidRDefault="00216C8D" w:rsidP="00C360D5">
      <w:pPr>
        <w:rPr>
          <w:highlight w:val="yellow"/>
        </w:rPr>
      </w:pPr>
      <w:r>
        <w:t xml:space="preserve">This table shows one way </w:t>
      </w:r>
      <w:r w:rsidR="00274EED">
        <w:t xml:space="preserve">of doing </w:t>
      </w:r>
      <w:r>
        <w:t xml:space="preserve">this </w:t>
      </w:r>
      <w:r w:rsidR="00233FC0">
        <w:t>assessment</w:t>
      </w:r>
      <w:r>
        <w:t xml:space="preserve">.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r w:rsidR="00C360D5" w:rsidRPr="00C360D5">
        <w:rPr>
          <w:highlight w:val="yellow"/>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908"/>
        <w:gridCol w:w="3866"/>
        <w:gridCol w:w="3866"/>
      </w:tblGrid>
      <w:tr w:rsidR="00C360D5" w:rsidRPr="0032268E" w:rsidTr="0032268E">
        <w:trPr>
          <w:trHeight w:val="89"/>
          <w:jc w:val="center"/>
        </w:trPr>
        <w:tc>
          <w:tcPr>
            <w:tcW w:w="1908" w:type="dxa"/>
            <w:tcBorders>
              <w:bottom w:val="single" w:sz="4" w:space="0" w:color="auto"/>
            </w:tcBorders>
            <w:shd w:val="clear" w:color="auto" w:fill="CCCCCC"/>
          </w:tcPr>
          <w:p w:rsidR="00C360D5" w:rsidRPr="0032268E" w:rsidRDefault="00C360D5" w:rsidP="0032268E">
            <w:pPr>
              <w:pStyle w:val="tablesml"/>
              <w:widowControl w:val="0"/>
              <w:spacing w:before="60" w:after="60"/>
              <w:rPr>
                <w:b/>
                <w:sz w:val="22"/>
                <w:szCs w:val="22"/>
              </w:rPr>
            </w:pPr>
            <w:r w:rsidRPr="0032268E">
              <w:rPr>
                <w:b/>
                <w:sz w:val="22"/>
                <w:szCs w:val="22"/>
              </w:rPr>
              <w:t>Suggested time</w:t>
            </w:r>
          </w:p>
        </w:tc>
        <w:tc>
          <w:tcPr>
            <w:tcW w:w="3866" w:type="dxa"/>
            <w:tcBorders>
              <w:bottom w:val="single" w:sz="4" w:space="0" w:color="auto"/>
            </w:tcBorders>
            <w:shd w:val="clear" w:color="auto" w:fill="CCCCCC"/>
          </w:tcPr>
          <w:p w:rsidR="00C360D5" w:rsidRPr="0032268E" w:rsidRDefault="00C360D5" w:rsidP="0032268E">
            <w:pPr>
              <w:pStyle w:val="tablesml"/>
              <w:widowControl w:val="0"/>
              <w:spacing w:before="60" w:after="60"/>
              <w:rPr>
                <w:b/>
                <w:sz w:val="22"/>
                <w:szCs w:val="22"/>
              </w:rPr>
            </w:pPr>
            <w:r w:rsidRPr="0032268E">
              <w:rPr>
                <w:b/>
                <w:sz w:val="22"/>
                <w:szCs w:val="22"/>
              </w:rPr>
              <w:t>Student activity</w:t>
            </w:r>
          </w:p>
        </w:tc>
        <w:tc>
          <w:tcPr>
            <w:tcW w:w="3866" w:type="dxa"/>
            <w:tcBorders>
              <w:bottom w:val="single" w:sz="4" w:space="0" w:color="auto"/>
            </w:tcBorders>
            <w:shd w:val="clear" w:color="auto" w:fill="CCCCCC"/>
          </w:tcPr>
          <w:p w:rsidR="00C360D5" w:rsidRPr="0032268E" w:rsidRDefault="00C360D5" w:rsidP="0032268E">
            <w:pPr>
              <w:pStyle w:val="tablesml"/>
              <w:widowControl w:val="0"/>
              <w:spacing w:before="60" w:after="60"/>
              <w:rPr>
                <w:b/>
                <w:sz w:val="22"/>
                <w:szCs w:val="22"/>
              </w:rPr>
            </w:pPr>
            <w:r w:rsidRPr="0032268E">
              <w:rPr>
                <w:b/>
                <w:sz w:val="22"/>
                <w:szCs w:val="22"/>
              </w:rPr>
              <w:t>Teacher role</w:t>
            </w:r>
          </w:p>
        </w:tc>
      </w:tr>
      <w:tr w:rsidR="00C360D5" w:rsidRPr="0032268E" w:rsidTr="0032268E">
        <w:trPr>
          <w:trHeight w:val="97"/>
          <w:jc w:val="center"/>
        </w:trPr>
        <w:tc>
          <w:tcPr>
            <w:tcW w:w="9640" w:type="dxa"/>
            <w:gridSpan w:val="3"/>
            <w:shd w:val="clear" w:color="auto" w:fill="E6E6E6"/>
          </w:tcPr>
          <w:p w:rsidR="00C360D5" w:rsidRPr="0032268E" w:rsidRDefault="00C360D5" w:rsidP="0032268E">
            <w:pPr>
              <w:pStyle w:val="tablesml"/>
              <w:widowControl w:val="0"/>
              <w:spacing w:before="80"/>
              <w:rPr>
                <w:b/>
                <w:sz w:val="22"/>
                <w:szCs w:val="22"/>
              </w:rPr>
            </w:pPr>
            <w:r w:rsidRPr="0032268E">
              <w:rPr>
                <w:b/>
                <w:sz w:val="22"/>
                <w:szCs w:val="22"/>
              </w:rPr>
              <w:t>Section 1. Create a vocal choreography</w:t>
            </w:r>
          </w:p>
        </w:tc>
      </w:tr>
      <w:tr w:rsidR="00C360D5" w:rsidTr="0032268E">
        <w:trPr>
          <w:trHeight w:val="2955"/>
          <w:jc w:val="center"/>
        </w:trPr>
        <w:tc>
          <w:tcPr>
            <w:tcW w:w="1908" w:type="dxa"/>
            <w:tcBorders>
              <w:right w:val="single" w:sz="4" w:space="0" w:color="auto"/>
            </w:tcBorders>
            <w:shd w:val="clear" w:color="auto" w:fill="auto"/>
          </w:tcPr>
          <w:p w:rsidR="00C360D5" w:rsidRPr="0032268E" w:rsidRDefault="00C360D5" w:rsidP="0032268E">
            <w:pPr>
              <w:pStyle w:val="tablesml"/>
              <w:widowControl w:val="0"/>
              <w:spacing w:before="60" w:after="60"/>
              <w:rPr>
                <w:sz w:val="22"/>
                <w:szCs w:val="22"/>
              </w:rPr>
            </w:pPr>
            <w:r w:rsidRPr="0032268E">
              <w:rPr>
                <w:sz w:val="22"/>
                <w:szCs w:val="22"/>
              </w:rPr>
              <w:t>4–6 hours</w:t>
            </w:r>
          </w:p>
        </w:tc>
        <w:tc>
          <w:tcPr>
            <w:tcW w:w="3866" w:type="dxa"/>
            <w:tcBorders>
              <w:top w:val="nil"/>
              <w:left w:val="single" w:sz="4" w:space="0" w:color="auto"/>
            </w:tcBorders>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 xml:space="preserve">Students work in groups of 3 </w:t>
            </w:r>
            <w:r w:rsidR="00BF1AEA" w:rsidRPr="0032268E">
              <w:rPr>
                <w:sz w:val="22"/>
                <w:szCs w:val="22"/>
              </w:rPr>
              <w:t xml:space="preserve">or 4 to create </w:t>
            </w:r>
            <w:r w:rsidRPr="0032268E">
              <w:rPr>
                <w:sz w:val="22"/>
                <w:szCs w:val="22"/>
              </w:rPr>
              <w:t>vocal choreography for a set piece of music.</w:t>
            </w:r>
          </w:p>
          <w:p w:rsidR="00C360D5" w:rsidRPr="0032268E" w:rsidRDefault="00C360D5" w:rsidP="0032268E">
            <w:pPr>
              <w:pStyle w:val="tablesml"/>
              <w:widowControl w:val="0"/>
              <w:spacing w:before="60" w:after="120"/>
              <w:rPr>
                <w:sz w:val="22"/>
                <w:szCs w:val="22"/>
              </w:rPr>
            </w:pPr>
            <w:r w:rsidRPr="0032268E">
              <w:rPr>
                <w:sz w:val="22"/>
                <w:szCs w:val="22"/>
              </w:rPr>
              <w:t>Students adapt and modify movements using the following dance elements to shape and communicate meaning:</w:t>
            </w:r>
          </w:p>
          <w:p w:rsidR="00C360D5" w:rsidRPr="0032268E" w:rsidRDefault="00C360D5" w:rsidP="0032268E">
            <w:pPr>
              <w:pStyle w:val="Bulletslevel1"/>
              <w:widowControl w:val="0"/>
              <w:numPr>
                <w:ilvl w:val="0"/>
                <w:numId w:val="19"/>
              </w:numPr>
              <w:spacing w:before="60" w:after="60" w:line="240" w:lineRule="auto"/>
              <w:rPr>
                <w:szCs w:val="22"/>
              </w:rPr>
            </w:pPr>
            <w:r w:rsidRPr="0032268E">
              <w:rPr>
                <w:szCs w:val="22"/>
              </w:rPr>
              <w:t>action</w:t>
            </w:r>
          </w:p>
          <w:p w:rsidR="00C360D5" w:rsidRPr="0032268E" w:rsidRDefault="00C360D5" w:rsidP="0032268E">
            <w:pPr>
              <w:pStyle w:val="Bulletslevel1"/>
              <w:widowControl w:val="0"/>
              <w:numPr>
                <w:ilvl w:val="0"/>
                <w:numId w:val="19"/>
              </w:numPr>
              <w:spacing w:before="60" w:after="60" w:line="240" w:lineRule="auto"/>
              <w:rPr>
                <w:szCs w:val="22"/>
              </w:rPr>
            </w:pPr>
            <w:r w:rsidRPr="0032268E">
              <w:rPr>
                <w:szCs w:val="22"/>
              </w:rPr>
              <w:t>space (direction, shape, focus)</w:t>
            </w:r>
          </w:p>
          <w:p w:rsidR="00C360D5" w:rsidRPr="0032268E" w:rsidRDefault="00C360D5" w:rsidP="0032268E">
            <w:pPr>
              <w:pStyle w:val="Bulletslevel1"/>
              <w:widowControl w:val="0"/>
              <w:numPr>
                <w:ilvl w:val="0"/>
                <w:numId w:val="19"/>
              </w:numPr>
              <w:spacing w:before="60" w:after="60" w:line="240" w:lineRule="auto"/>
              <w:rPr>
                <w:szCs w:val="22"/>
              </w:rPr>
            </w:pPr>
            <w:r w:rsidRPr="0032268E">
              <w:rPr>
                <w:szCs w:val="22"/>
              </w:rPr>
              <w:t>time (tempo)</w:t>
            </w:r>
          </w:p>
          <w:p w:rsidR="00C360D5" w:rsidRPr="0032268E" w:rsidRDefault="00C360D5" w:rsidP="0032268E">
            <w:pPr>
              <w:pStyle w:val="Bulletslevel1"/>
              <w:widowControl w:val="0"/>
              <w:numPr>
                <w:ilvl w:val="0"/>
                <w:numId w:val="19"/>
              </w:numPr>
              <w:spacing w:before="60" w:after="60" w:line="240" w:lineRule="auto"/>
              <w:rPr>
                <w:szCs w:val="22"/>
              </w:rPr>
            </w:pPr>
            <w:r w:rsidRPr="0032268E">
              <w:rPr>
                <w:szCs w:val="22"/>
              </w:rPr>
              <w:t xml:space="preserve">energy (movement qualities) </w:t>
            </w:r>
          </w:p>
          <w:p w:rsidR="00C360D5" w:rsidRPr="0032268E" w:rsidRDefault="00C360D5" w:rsidP="0032268E">
            <w:pPr>
              <w:pStyle w:val="Bulletslevel1"/>
              <w:widowControl w:val="0"/>
              <w:numPr>
                <w:ilvl w:val="0"/>
                <w:numId w:val="19"/>
              </w:numPr>
              <w:spacing w:before="60" w:after="60" w:line="240" w:lineRule="auto"/>
              <w:rPr>
                <w:szCs w:val="22"/>
              </w:rPr>
            </w:pPr>
            <w:r w:rsidRPr="0032268E">
              <w:rPr>
                <w:szCs w:val="22"/>
              </w:rPr>
              <w:t>form (repetition, canon, contrast).</w:t>
            </w:r>
          </w:p>
        </w:tc>
        <w:tc>
          <w:tcPr>
            <w:tcW w:w="3866" w:type="dxa"/>
            <w:tcBorders>
              <w:top w:val="nil"/>
            </w:tcBorders>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Select music, provide lyrics.</w:t>
            </w:r>
          </w:p>
          <w:p w:rsidR="00C360D5" w:rsidRPr="0032268E" w:rsidRDefault="00C360D5" w:rsidP="0032268E">
            <w:pPr>
              <w:pStyle w:val="tablesml"/>
              <w:widowControl w:val="0"/>
              <w:spacing w:before="60" w:after="120"/>
              <w:rPr>
                <w:sz w:val="22"/>
                <w:szCs w:val="22"/>
              </w:rPr>
            </w:pPr>
            <w:r w:rsidRPr="0032268E">
              <w:rPr>
                <w:sz w:val="22"/>
                <w:szCs w:val="22"/>
              </w:rPr>
              <w:t xml:space="preserve">Discuss and reinforce dance elements. </w:t>
            </w:r>
            <w:r w:rsidR="00FE1EAE" w:rsidRPr="0032268E">
              <w:rPr>
                <w:sz w:val="22"/>
                <w:szCs w:val="22"/>
              </w:rPr>
              <w:br/>
            </w:r>
            <w:r w:rsidRPr="0032268E">
              <w:rPr>
                <w:sz w:val="22"/>
                <w:szCs w:val="22"/>
              </w:rPr>
              <w:t>Use Appendix A: Glossary — Dance terms.</w:t>
            </w:r>
          </w:p>
          <w:p w:rsidR="00C360D5" w:rsidRPr="0032268E" w:rsidRDefault="00C360D5" w:rsidP="0032268E">
            <w:pPr>
              <w:pStyle w:val="tablesml"/>
              <w:widowControl w:val="0"/>
              <w:spacing w:before="60" w:after="120"/>
              <w:rPr>
                <w:sz w:val="22"/>
                <w:szCs w:val="22"/>
              </w:rPr>
            </w:pPr>
            <w:r w:rsidRPr="0032268E">
              <w:rPr>
                <w:sz w:val="22"/>
                <w:szCs w:val="22"/>
              </w:rPr>
              <w:t>Monitor group collaboration and involvement, checking to see that each group member is responsible for choreographing and developing ideas for a clear section of the sequence, e.g. a verse and/or chorus of selected song.</w:t>
            </w:r>
          </w:p>
          <w:p w:rsidR="00C360D5" w:rsidRPr="0032268E" w:rsidRDefault="00C360D5" w:rsidP="0032268E">
            <w:pPr>
              <w:pStyle w:val="tablesml"/>
              <w:widowControl w:val="0"/>
              <w:spacing w:before="60" w:after="120"/>
              <w:rPr>
                <w:sz w:val="22"/>
                <w:szCs w:val="22"/>
              </w:rPr>
            </w:pPr>
            <w:r w:rsidRPr="0032268E">
              <w:rPr>
                <w:sz w:val="22"/>
                <w:szCs w:val="22"/>
              </w:rPr>
              <w:t xml:space="preserve">Provide feedback on choreography. Use the Choreography feedback guidelines in the </w:t>
            </w:r>
            <w:r w:rsidRPr="0032268E">
              <w:rPr>
                <w:i/>
                <w:sz w:val="22"/>
                <w:szCs w:val="22"/>
              </w:rPr>
              <w:t>Student booklet.</w:t>
            </w:r>
          </w:p>
        </w:tc>
      </w:tr>
      <w:tr w:rsidR="00C360D5" w:rsidRPr="0032268E" w:rsidTr="0032268E">
        <w:trPr>
          <w:jc w:val="center"/>
        </w:trPr>
        <w:tc>
          <w:tcPr>
            <w:tcW w:w="9640" w:type="dxa"/>
            <w:gridSpan w:val="3"/>
            <w:shd w:val="clear" w:color="auto" w:fill="E6E6E6"/>
          </w:tcPr>
          <w:p w:rsidR="00C360D5" w:rsidRPr="0032268E" w:rsidRDefault="00C360D5" w:rsidP="0032268E">
            <w:pPr>
              <w:pStyle w:val="tablesml"/>
              <w:widowControl w:val="0"/>
              <w:spacing w:before="80"/>
              <w:rPr>
                <w:b/>
                <w:sz w:val="22"/>
                <w:szCs w:val="22"/>
              </w:rPr>
            </w:pPr>
            <w:r w:rsidRPr="0032268E">
              <w:rPr>
                <w:b/>
                <w:sz w:val="22"/>
                <w:szCs w:val="22"/>
              </w:rPr>
              <w:t>Section 2. Write program notes for a vocal choreography</w:t>
            </w:r>
          </w:p>
        </w:tc>
      </w:tr>
      <w:tr w:rsidR="00C360D5" w:rsidTr="0032268E">
        <w:trPr>
          <w:trHeight w:val="543"/>
          <w:jc w:val="center"/>
        </w:trPr>
        <w:tc>
          <w:tcPr>
            <w:tcW w:w="1908"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1–2 hours</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Students write a 200–250 word outline in the form of program notes about their choreography, analysing and evaluating how their piece reflects the style, function and purpose of this popular dance style.</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Guide and assist students as required.</w:t>
            </w:r>
          </w:p>
          <w:p w:rsidR="00C360D5" w:rsidRPr="0032268E" w:rsidRDefault="00C360D5" w:rsidP="0032268E">
            <w:pPr>
              <w:pStyle w:val="tablesml"/>
              <w:widowControl w:val="0"/>
              <w:spacing w:before="60" w:after="120"/>
              <w:rPr>
                <w:sz w:val="22"/>
                <w:szCs w:val="22"/>
              </w:rPr>
            </w:pPr>
            <w:r w:rsidRPr="0032268E">
              <w:rPr>
                <w:sz w:val="22"/>
                <w:szCs w:val="22"/>
              </w:rPr>
              <w:t>Collect program notes before performances.</w:t>
            </w:r>
          </w:p>
        </w:tc>
      </w:tr>
      <w:tr w:rsidR="00C360D5" w:rsidRPr="0032268E" w:rsidTr="0032268E">
        <w:trPr>
          <w:jc w:val="center"/>
        </w:trPr>
        <w:tc>
          <w:tcPr>
            <w:tcW w:w="9640" w:type="dxa"/>
            <w:gridSpan w:val="3"/>
            <w:shd w:val="clear" w:color="auto" w:fill="E6E6E6"/>
          </w:tcPr>
          <w:p w:rsidR="00C360D5" w:rsidRPr="0032268E" w:rsidRDefault="00C360D5" w:rsidP="0032268E">
            <w:pPr>
              <w:pStyle w:val="tablesml"/>
              <w:widowControl w:val="0"/>
              <w:spacing w:before="80"/>
              <w:rPr>
                <w:b/>
                <w:sz w:val="22"/>
                <w:szCs w:val="22"/>
              </w:rPr>
            </w:pPr>
            <w:r w:rsidRPr="0032268E">
              <w:rPr>
                <w:b/>
                <w:sz w:val="22"/>
                <w:szCs w:val="22"/>
              </w:rPr>
              <w:t>Section 3. Perform a vocal choreography</w:t>
            </w:r>
          </w:p>
        </w:tc>
      </w:tr>
      <w:tr w:rsidR="00C360D5" w:rsidTr="0032268E">
        <w:trPr>
          <w:trHeight w:val="543"/>
          <w:jc w:val="center"/>
        </w:trPr>
        <w:tc>
          <w:tcPr>
            <w:tcW w:w="1908"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1 hour</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Students rehearse and polish their choreography for performance.</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 xml:space="preserve">During rehearsal, provide feedback on performance skills. Use the Performance feedback guidelines in the </w:t>
            </w:r>
            <w:r w:rsidRPr="0032268E">
              <w:rPr>
                <w:i/>
                <w:sz w:val="22"/>
                <w:szCs w:val="22"/>
              </w:rPr>
              <w:t>Student booklet.</w:t>
            </w:r>
          </w:p>
        </w:tc>
      </w:tr>
      <w:tr w:rsidR="00C360D5" w:rsidTr="0032268E">
        <w:trPr>
          <w:trHeight w:val="487"/>
          <w:jc w:val="center"/>
        </w:trPr>
        <w:tc>
          <w:tcPr>
            <w:tcW w:w="1908"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1 hour</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Students perform choreography for other class members.</w:t>
            </w:r>
          </w:p>
        </w:tc>
        <w:tc>
          <w:tcPr>
            <w:tcW w:w="3866" w:type="dxa"/>
            <w:shd w:val="clear" w:color="auto" w:fill="auto"/>
          </w:tcPr>
          <w:p w:rsidR="00C360D5" w:rsidRPr="0032268E" w:rsidRDefault="00C360D5" w:rsidP="0032268E">
            <w:pPr>
              <w:pStyle w:val="tablesml"/>
              <w:widowControl w:val="0"/>
              <w:spacing w:before="60" w:after="120"/>
              <w:rPr>
                <w:sz w:val="22"/>
                <w:szCs w:val="22"/>
              </w:rPr>
            </w:pPr>
            <w:r w:rsidRPr="0032268E">
              <w:rPr>
                <w:sz w:val="22"/>
                <w:szCs w:val="22"/>
              </w:rPr>
              <w:t>Select groups for performance.</w:t>
            </w:r>
          </w:p>
          <w:p w:rsidR="00C360D5" w:rsidRPr="0032268E" w:rsidRDefault="00C360D5" w:rsidP="0032268E">
            <w:pPr>
              <w:pStyle w:val="tablesml"/>
              <w:widowControl w:val="0"/>
              <w:spacing w:before="60" w:after="120"/>
              <w:rPr>
                <w:sz w:val="22"/>
                <w:szCs w:val="22"/>
              </w:rPr>
            </w:pPr>
            <w:r w:rsidRPr="0032268E">
              <w:rPr>
                <w:sz w:val="22"/>
                <w:szCs w:val="22"/>
              </w:rPr>
              <w:t>Video performances for informal feedback.</w:t>
            </w:r>
          </w:p>
        </w:tc>
      </w:tr>
    </w:tbl>
    <w:p w:rsidR="00DA1D85" w:rsidRDefault="00C360D5" w:rsidP="00B21C92">
      <w:pPr>
        <w:pStyle w:val="tablesml"/>
      </w:pPr>
      <w:r>
        <w:t xml:space="preserve"> </w:t>
      </w:r>
    </w:p>
    <w:p w:rsidR="00B21C92" w:rsidRDefault="00DA1D85" w:rsidP="00DA1D85">
      <w:pPr>
        <w:pStyle w:val="smallspace"/>
      </w:pPr>
      <w:r>
        <w:br w:type="page"/>
      </w:r>
    </w:p>
    <w:tbl>
      <w:tblPr>
        <w:tblW w:w="9854" w:type="dxa"/>
        <w:tblInd w:w="-34" w:type="dxa"/>
        <w:tblCellMar>
          <w:top w:w="74" w:type="dxa"/>
          <w:left w:w="74" w:type="dxa"/>
          <w:bottom w:w="74" w:type="dxa"/>
          <w:right w:w="74" w:type="dxa"/>
        </w:tblCellMar>
        <w:tblLook w:val="01E0" w:firstRow="1" w:lastRow="1" w:firstColumn="1" w:lastColumn="1" w:noHBand="0" w:noVBand="0"/>
      </w:tblPr>
      <w:tblGrid>
        <w:gridCol w:w="1008"/>
        <w:gridCol w:w="8846"/>
      </w:tblGrid>
      <w:tr w:rsidR="00B21C92" w:rsidTr="0032268E">
        <w:tc>
          <w:tcPr>
            <w:tcW w:w="1008" w:type="dxa"/>
            <w:shd w:val="clear" w:color="auto" w:fill="auto"/>
          </w:tcPr>
          <w:p w:rsidR="00B21C92" w:rsidRPr="0032268E" w:rsidRDefault="00036B2D" w:rsidP="0032268E">
            <w:pPr>
              <w:widowControl w:val="0"/>
              <w:rPr>
                <w:szCs w:val="22"/>
              </w:rPr>
            </w:pPr>
            <w:r>
              <w:rPr>
                <w:noProof/>
                <w:szCs w:val="22"/>
              </w:rPr>
              <w:drawing>
                <wp:anchor distT="0" distB="0" distL="114300" distR="114300" simplePos="0" relativeHeight="251661824" behindDoc="0" locked="0" layoutInCell="1" allowOverlap="1">
                  <wp:simplePos x="0" y="0"/>
                  <wp:positionH relativeFrom="margin">
                    <wp:posOffset>15240</wp:posOffset>
                  </wp:positionH>
                  <wp:positionV relativeFrom="paragraph">
                    <wp:posOffset>-47625</wp:posOffset>
                  </wp:positionV>
                  <wp:extent cx="542290" cy="542290"/>
                  <wp:effectExtent l="0" t="0" r="0" b="0"/>
                  <wp:wrapNone/>
                  <wp:docPr id="53" name="Picture 5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46" w:type="dxa"/>
            <w:shd w:val="clear" w:color="auto" w:fill="auto"/>
          </w:tcPr>
          <w:p w:rsidR="00B21C92" w:rsidRDefault="00E72FAF" w:rsidP="0032268E">
            <w:pPr>
              <w:pStyle w:val="Heading2"/>
              <w:widowControl w:val="0"/>
            </w:pPr>
            <w:r>
              <w:rPr>
                <w:noProof/>
              </w:rPr>
              <w:t>Resources for the assessment</w:t>
            </w:r>
          </w:p>
        </w:tc>
      </w:tr>
    </w:tbl>
    <w:p w:rsidR="00B21C92" w:rsidRPr="00D43BC1" w:rsidRDefault="00B21C92" w:rsidP="00B21C92">
      <w:r w:rsidRPr="00D43BC1">
        <w:t>Appendix A</w:t>
      </w:r>
      <w:r w:rsidRPr="00D43BC1">
        <w:tab/>
      </w:r>
      <w:r w:rsidRPr="00D43BC1">
        <w:tab/>
      </w:r>
      <w:r w:rsidRPr="00592821">
        <w:t xml:space="preserve">Glossary </w:t>
      </w:r>
      <w:r>
        <w:t>—</w:t>
      </w:r>
      <w:r w:rsidRPr="00592821">
        <w:t xml:space="preserve"> Dance </w:t>
      </w:r>
      <w:r>
        <w:t>t</w:t>
      </w:r>
      <w:r w:rsidRPr="00592821">
        <w:t>erms</w:t>
      </w:r>
    </w:p>
    <w:p w:rsidR="00B21C92" w:rsidRDefault="00B21C92" w:rsidP="00B21C92">
      <w:r w:rsidRPr="00D43BC1">
        <w:t>Appendix B</w:t>
      </w:r>
      <w:r w:rsidRPr="00D43BC1">
        <w:tab/>
      </w:r>
      <w:r w:rsidRPr="00D43BC1">
        <w:tab/>
      </w:r>
      <w:r>
        <w:t>Copyright issues</w:t>
      </w:r>
    </w:p>
    <w:p w:rsidR="00E72FAF" w:rsidRDefault="00E72FAF" w:rsidP="00B21C92">
      <w:r>
        <w:t>Lyrics sheets</w:t>
      </w:r>
    </w:p>
    <w:p w:rsidR="00F1101B" w:rsidRDefault="002F226C" w:rsidP="00B21C92">
      <w:r>
        <w:t xml:space="preserve">Song recordings (e.g. CD, </w:t>
      </w:r>
      <w:r w:rsidR="00C040DF">
        <w:t>MP3</w:t>
      </w:r>
      <w:r>
        <w:t>)</w:t>
      </w:r>
    </w:p>
    <w:p w:rsidR="00F1101B" w:rsidRDefault="002F226C" w:rsidP="00B21C92">
      <w:r>
        <w:t>Music</w:t>
      </w:r>
      <w:r w:rsidR="00F1101B">
        <w:t xml:space="preserve"> players</w:t>
      </w:r>
    </w:p>
    <w:p w:rsidR="00E72FAF" w:rsidRPr="00D43BC1" w:rsidRDefault="00E72FAF" w:rsidP="00F1101B">
      <w:pPr>
        <w:spacing w:after="0"/>
      </w:pPr>
      <w:r>
        <w:t>Electronic recording equipment</w:t>
      </w:r>
    </w:p>
    <w:p w:rsidR="009F1EAE" w:rsidRDefault="009F1EAE" w:rsidP="009E0AEE">
      <w:pPr>
        <w:pStyle w:val="smallspace"/>
        <w:rPr>
          <w:rStyle w:val="Publishingnote"/>
          <w:b w:val="0"/>
          <w:i w:val="0"/>
          <w:color w:val="auto"/>
          <w:sz w:val="2"/>
        </w:rPr>
      </w:pPr>
    </w:p>
    <w:p w:rsidR="00FA5455" w:rsidRDefault="00DA1D85" w:rsidP="00FA5455">
      <w:r>
        <w:br w:type="page"/>
      </w:r>
      <w:r w:rsidR="00FA5455">
        <w:t xml:space="preserve">During the learning process, you and your students should have developed a shared understanding of the curriculum expectations identified as part of the planning process. </w:t>
      </w:r>
    </w:p>
    <w:p w:rsidR="00FA5455" w:rsidRDefault="00036B2D" w:rsidP="00FA5455">
      <w:r>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After students have completed the assessment, identify, gather and interpret the information provided in student responses. Use only the evidence in student responses to make your judgment about the quality of the student</w:t>
      </w:r>
      <w:r w:rsidR="005332AF">
        <w:t>’s</w:t>
      </w:r>
      <w:r w:rsidR="00FA5455">
        <w:t xml:space="preserve"> learning. Refer to the following documents to assist you in making standards-referenced judgments:</w:t>
      </w:r>
    </w:p>
    <w:p w:rsidR="00FA5455" w:rsidRPr="009954C9" w:rsidRDefault="00FA5455" w:rsidP="005571B4">
      <w:pPr>
        <w:pStyle w:val="Bulletslevel1"/>
        <w:rPr>
          <w:i/>
        </w:rPr>
      </w:pPr>
      <w:r w:rsidRPr="009954C9">
        <w:rPr>
          <w:i/>
        </w:rPr>
        <w:t>Guide to making judgments</w:t>
      </w:r>
    </w:p>
    <w:p w:rsidR="00FA5455" w:rsidRPr="009954C9" w:rsidRDefault="00FA5455" w:rsidP="005571B4">
      <w:pPr>
        <w:pStyle w:val="Bulletslevel1"/>
        <w:rPr>
          <w:i/>
        </w:rPr>
      </w:pPr>
      <w:r w:rsidRPr="009954C9">
        <w:rPr>
          <w:i/>
        </w:rPr>
        <w:t>Indicative A response</w:t>
      </w:r>
    </w:p>
    <w:p w:rsidR="00FA5455" w:rsidRPr="00F1768D" w:rsidRDefault="00FA5455" w:rsidP="005571B4">
      <w:pPr>
        <w:pStyle w:val="Bulletslevel1"/>
        <w:rPr>
          <w:i/>
        </w:rPr>
      </w:pPr>
      <w:r w:rsidRPr="009954C9">
        <w:rPr>
          <w:i/>
        </w:rPr>
        <w:t>Sample responses</w:t>
      </w:r>
      <w:r w:rsidRPr="005571B4">
        <w:rPr>
          <w:i/>
        </w:rPr>
        <w:t xml:space="preserve"> </w:t>
      </w:r>
      <w:r w:rsidRPr="009F1EAE">
        <w:t>(where available).</w:t>
      </w:r>
    </w:p>
    <w:p w:rsidR="00F1768D" w:rsidRPr="007C0953" w:rsidRDefault="00F1768D" w:rsidP="00F1768D">
      <w:pPr>
        <w:pStyle w:val="Stem"/>
        <w:rPr>
          <w:b/>
          <w:sz w:val="24"/>
        </w:rPr>
      </w:pPr>
      <w:r w:rsidRPr="007C0953">
        <w:rPr>
          <w:b/>
          <w:sz w:val="24"/>
        </w:rPr>
        <w:t>Making judgments about this assessment</w:t>
      </w:r>
    </w:p>
    <w:p w:rsidR="00F1768D" w:rsidRPr="00F1768D" w:rsidRDefault="00F1768D" w:rsidP="00F1768D">
      <w:r w:rsidRPr="00592821">
        <w:t>You will need to continually monitor the progress of students to ensure that they are all contributing and have tried to include the dance elements required.</w:t>
      </w:r>
      <w:r>
        <w:t xml:space="preserve"> </w:t>
      </w:r>
      <w:r w:rsidRPr="00592821">
        <w:t xml:space="preserve">They will </w:t>
      </w:r>
      <w:r>
        <w:t xml:space="preserve">be </w:t>
      </w:r>
      <w:r w:rsidRPr="00592821">
        <w:t>assessed only on their sectio</w:t>
      </w:r>
      <w:r>
        <w:t>n of choreography</w:t>
      </w:r>
      <w:r w:rsidR="007F284A">
        <w:t xml:space="preserve"> </w:t>
      </w:r>
      <w:r w:rsidR="007F284A" w:rsidRPr="00592821">
        <w:t>and performance of the dance movements</w:t>
      </w:r>
      <w:r>
        <w:t>, rather than the vocal component</w:t>
      </w:r>
      <w:r w:rsidRPr="00592821">
        <w:t>.</w:t>
      </w:r>
      <w:r w:rsidR="002A52DF">
        <w:t xml:space="preserve"> </w:t>
      </w:r>
      <w:r w:rsidR="002A52DF">
        <w:br/>
      </w:r>
      <w:r w:rsidR="007623FB">
        <w:t xml:space="preserve">The choreography, </w:t>
      </w:r>
      <w:r w:rsidR="002A52DF">
        <w:t>performance and the program notes will be assessed individually.</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036B2D" w:rsidP="006E3C63">
            <w:r>
              <w:rPr>
                <w:noProof/>
              </w:rPr>
              <w:drawing>
                <wp:anchor distT="0" distB="0" distL="114300" distR="114300" simplePos="0" relativeHeight="251655680"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further information, refer to</w:t>
            </w:r>
            <w:r w:rsidRPr="008814B0">
              <w:t xml:space="preserve"> </w:t>
            </w:r>
            <w:r w:rsidRPr="002543D0">
              <w:rPr>
                <w:rStyle w:val="Hyperlink"/>
                <w:i/>
                <w:color w:val="auto"/>
                <w:u w:val="none"/>
              </w:rPr>
              <w:t>Using a Guide to making judgments</w:t>
            </w:r>
            <w:r>
              <w:t>, available in the Resources section of the Assessment Bank website.</w:t>
            </w:r>
          </w:p>
        </w:tc>
      </w:tr>
    </w:tbl>
    <w:p w:rsidR="00FA5455" w:rsidRDefault="00036B2D"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16510</wp:posOffset>
            </wp:positionV>
            <wp:extent cx="6713855" cy="1322070"/>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385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Evaluate the information gathered from the assessment to </w:t>
      </w:r>
      <w:r w:rsidR="005332AF">
        <w:t xml:space="preserve">guide </w:t>
      </w:r>
      <w:r w:rsidR="00FA5455">
        <w:t>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9954C9">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036B2D"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further information, refer to</w:t>
            </w:r>
            <w:r w:rsidRPr="008814B0">
              <w:t xml:space="preserve"> </w:t>
            </w:r>
            <w:r w:rsidRPr="005E2304">
              <w:rPr>
                <w:rStyle w:val="Hyperlink"/>
                <w:i/>
                <w:color w:val="000000"/>
                <w:u w:val="none"/>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315D9C">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cols w:space="708"/>
          <w:titlePg/>
          <w:docGrid w:linePitch="360"/>
        </w:sectPr>
      </w:pPr>
    </w:p>
    <w:p w:rsidR="00326746" w:rsidRPr="00326746" w:rsidRDefault="009E56E3" w:rsidP="00C52A76">
      <w:pPr>
        <w:pStyle w:val="Heading2TOP"/>
      </w:pPr>
      <w:r w:rsidRPr="00592821">
        <w:t xml:space="preserve">Glossary </w:t>
      </w:r>
      <w:r w:rsidR="00955809">
        <w:t>—</w:t>
      </w:r>
      <w:r w:rsidR="00955809" w:rsidRPr="00592821">
        <w:t xml:space="preserve"> </w:t>
      </w:r>
      <w:r w:rsidRPr="00592821">
        <w:t xml:space="preserve">Dance </w:t>
      </w:r>
      <w:r w:rsidR="00955809">
        <w:t>t</w:t>
      </w:r>
      <w:r w:rsidRPr="00592821">
        <w:t>erms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409"/>
        <w:gridCol w:w="7230"/>
      </w:tblGrid>
      <w:tr w:rsidR="009E56E3" w:rsidRPr="00760E18">
        <w:trPr>
          <w:jc w:val="center"/>
        </w:trPr>
        <w:tc>
          <w:tcPr>
            <w:tcW w:w="2448" w:type="dxa"/>
            <w:tcBorders>
              <w:bottom w:val="single" w:sz="4" w:space="0" w:color="auto"/>
            </w:tcBorders>
            <w:shd w:val="clear" w:color="auto" w:fill="A6A6A6"/>
          </w:tcPr>
          <w:p w:rsidR="009E56E3" w:rsidRPr="00760E18" w:rsidRDefault="009E56E3" w:rsidP="00760E18">
            <w:pPr>
              <w:widowControl w:val="0"/>
              <w:spacing w:before="120" w:after="120"/>
              <w:rPr>
                <w:b/>
                <w:color w:val="FFFFFF"/>
                <w:sz w:val="24"/>
              </w:rPr>
            </w:pPr>
            <w:r w:rsidRPr="00760E18">
              <w:rPr>
                <w:b/>
                <w:color w:val="FFFFFF"/>
                <w:sz w:val="24"/>
              </w:rPr>
              <w:t>Term</w:t>
            </w:r>
          </w:p>
        </w:tc>
        <w:tc>
          <w:tcPr>
            <w:tcW w:w="7372" w:type="dxa"/>
            <w:shd w:val="clear" w:color="auto" w:fill="A6A6A6"/>
          </w:tcPr>
          <w:p w:rsidR="009E56E3" w:rsidRPr="00760E18" w:rsidRDefault="009E56E3" w:rsidP="00760E18">
            <w:pPr>
              <w:widowControl w:val="0"/>
              <w:spacing w:before="120" w:after="120"/>
              <w:rPr>
                <w:b/>
                <w:color w:val="FFFFFF"/>
                <w:sz w:val="24"/>
              </w:rPr>
            </w:pPr>
            <w:r w:rsidRPr="00760E18">
              <w:rPr>
                <w:b/>
                <w:color w:val="FFFFFF"/>
                <w:sz w:val="24"/>
              </w:rPr>
              <w:t>Definition</w:t>
            </w:r>
          </w:p>
        </w:tc>
      </w:tr>
      <w:tr w:rsidR="009E56E3">
        <w:trPr>
          <w:jc w:val="center"/>
        </w:trPr>
        <w:tc>
          <w:tcPr>
            <w:tcW w:w="2448" w:type="dxa"/>
            <w:tcBorders>
              <w:bottom w:val="single" w:sz="4" w:space="0" w:color="auto"/>
            </w:tcBorders>
            <w:shd w:val="clear" w:color="auto" w:fill="auto"/>
          </w:tcPr>
          <w:p w:rsidR="009E56E3" w:rsidRPr="00491037" w:rsidRDefault="005E2304" w:rsidP="00491037">
            <w:pPr>
              <w:widowControl w:val="0"/>
              <w:rPr>
                <w:szCs w:val="22"/>
              </w:rPr>
            </w:pPr>
            <w:r>
              <w:rPr>
                <w:szCs w:val="22"/>
              </w:rPr>
              <w:t>A</w:t>
            </w:r>
            <w:r w:rsidR="009E56E3" w:rsidRPr="00491037">
              <w:rPr>
                <w:szCs w:val="22"/>
              </w:rPr>
              <w:t>ction</w:t>
            </w:r>
          </w:p>
        </w:tc>
        <w:tc>
          <w:tcPr>
            <w:tcW w:w="7372" w:type="dxa"/>
          </w:tcPr>
          <w:p w:rsidR="009E56E3" w:rsidRPr="00491037" w:rsidRDefault="005E2304" w:rsidP="00491037">
            <w:pPr>
              <w:widowControl w:val="0"/>
              <w:rPr>
                <w:szCs w:val="22"/>
              </w:rPr>
            </w:pPr>
            <w:r>
              <w:rPr>
                <w:szCs w:val="22"/>
              </w:rPr>
              <w:t>M</w:t>
            </w:r>
            <w:r w:rsidR="009E56E3" w:rsidRPr="00491037">
              <w:rPr>
                <w:szCs w:val="22"/>
              </w:rPr>
              <w:t>ovements of the human body used in dance, using technical (physical) and expressive (interpretive) skills</w:t>
            </w:r>
            <w:r>
              <w:rPr>
                <w:szCs w:val="22"/>
              </w:rPr>
              <w:t>.</w:t>
            </w:r>
          </w:p>
        </w:tc>
      </w:tr>
      <w:tr w:rsidR="009E56E3">
        <w:trPr>
          <w:jc w:val="center"/>
        </w:trPr>
        <w:tc>
          <w:tcPr>
            <w:tcW w:w="2448" w:type="dxa"/>
            <w:tcBorders>
              <w:bottom w:val="single" w:sz="4" w:space="0" w:color="auto"/>
            </w:tcBorders>
            <w:shd w:val="clear" w:color="auto" w:fill="E6E6E6"/>
          </w:tcPr>
          <w:p w:rsidR="009E56E3" w:rsidRPr="00491037" w:rsidRDefault="005E2304" w:rsidP="00491037">
            <w:pPr>
              <w:widowControl w:val="0"/>
              <w:rPr>
                <w:szCs w:val="22"/>
              </w:rPr>
            </w:pPr>
            <w:r>
              <w:rPr>
                <w:szCs w:val="22"/>
              </w:rPr>
              <w:t>D</w:t>
            </w:r>
            <w:r w:rsidR="009E56E3" w:rsidRPr="00491037">
              <w:rPr>
                <w:szCs w:val="22"/>
              </w:rPr>
              <w:t>irection</w:t>
            </w:r>
          </w:p>
        </w:tc>
        <w:tc>
          <w:tcPr>
            <w:tcW w:w="7372" w:type="dxa"/>
          </w:tcPr>
          <w:p w:rsidR="009E56E3" w:rsidRPr="00491037" w:rsidRDefault="005E2304" w:rsidP="00491037">
            <w:pPr>
              <w:widowControl w:val="0"/>
              <w:rPr>
                <w:szCs w:val="22"/>
              </w:rPr>
            </w:pPr>
            <w:r>
              <w:rPr>
                <w:szCs w:val="22"/>
              </w:rPr>
              <w:t>Refers to w</w:t>
            </w:r>
            <w:r w:rsidR="009E56E3" w:rsidRPr="00491037">
              <w:rPr>
                <w:szCs w:val="22"/>
              </w:rPr>
              <w:t>hich way a dancer or body part is moving</w:t>
            </w:r>
            <w:r w:rsidR="00955809" w:rsidRPr="00491037">
              <w:rPr>
                <w:szCs w:val="22"/>
              </w:rPr>
              <w:t>,</w:t>
            </w:r>
            <w:r w:rsidR="009E56E3" w:rsidRPr="00491037">
              <w:rPr>
                <w:szCs w:val="22"/>
              </w:rPr>
              <w:t xml:space="preserve"> e.g. backwards, sideways</w:t>
            </w:r>
            <w:r>
              <w:rPr>
                <w:szCs w:val="22"/>
              </w:rPr>
              <w:t>.</w:t>
            </w:r>
          </w:p>
        </w:tc>
      </w:tr>
      <w:tr w:rsidR="009E56E3">
        <w:trPr>
          <w:jc w:val="center"/>
        </w:trPr>
        <w:tc>
          <w:tcPr>
            <w:tcW w:w="2448" w:type="dxa"/>
            <w:tcBorders>
              <w:bottom w:val="single" w:sz="4" w:space="0" w:color="auto"/>
            </w:tcBorders>
            <w:shd w:val="clear" w:color="auto" w:fill="auto"/>
          </w:tcPr>
          <w:p w:rsidR="009E56E3" w:rsidRPr="00491037" w:rsidRDefault="005E2304" w:rsidP="00491037">
            <w:pPr>
              <w:widowControl w:val="0"/>
              <w:rPr>
                <w:szCs w:val="22"/>
              </w:rPr>
            </w:pPr>
            <w:r>
              <w:rPr>
                <w:szCs w:val="22"/>
              </w:rPr>
              <w:t>S</w:t>
            </w:r>
            <w:r w:rsidR="009E56E3" w:rsidRPr="00491037">
              <w:rPr>
                <w:szCs w:val="22"/>
              </w:rPr>
              <w:t xml:space="preserve">hape </w:t>
            </w:r>
          </w:p>
        </w:tc>
        <w:tc>
          <w:tcPr>
            <w:tcW w:w="7372" w:type="dxa"/>
          </w:tcPr>
          <w:p w:rsidR="009E56E3" w:rsidRPr="00491037" w:rsidRDefault="005E2304" w:rsidP="00491037">
            <w:pPr>
              <w:widowControl w:val="0"/>
              <w:rPr>
                <w:szCs w:val="22"/>
              </w:rPr>
            </w:pPr>
            <w:r>
              <w:rPr>
                <w:szCs w:val="22"/>
              </w:rPr>
              <w:t>T</w:t>
            </w:r>
            <w:r w:rsidR="009E56E3" w:rsidRPr="00491037">
              <w:rPr>
                <w:szCs w:val="22"/>
              </w:rPr>
              <w:t>he form created by the body's position in space</w:t>
            </w:r>
            <w:r w:rsidR="005C4D90" w:rsidRPr="00491037">
              <w:rPr>
                <w:szCs w:val="22"/>
              </w:rPr>
              <w:t>,</w:t>
            </w:r>
            <w:r w:rsidR="009E56E3" w:rsidRPr="00491037">
              <w:rPr>
                <w:szCs w:val="22"/>
              </w:rPr>
              <w:t xml:space="preserve"> e.g. symmetrical/asymmetrical, angular/curved</w:t>
            </w:r>
            <w:r>
              <w:rPr>
                <w:szCs w:val="22"/>
              </w:rPr>
              <w:t>.</w:t>
            </w:r>
          </w:p>
        </w:tc>
      </w:tr>
      <w:tr w:rsidR="009E56E3">
        <w:trPr>
          <w:jc w:val="center"/>
        </w:trPr>
        <w:tc>
          <w:tcPr>
            <w:tcW w:w="2448" w:type="dxa"/>
            <w:tcBorders>
              <w:bottom w:val="single" w:sz="4" w:space="0" w:color="auto"/>
            </w:tcBorders>
            <w:shd w:val="clear" w:color="auto" w:fill="E6E6E6"/>
          </w:tcPr>
          <w:p w:rsidR="009E56E3" w:rsidRPr="00491037" w:rsidRDefault="005E2304" w:rsidP="00491037">
            <w:pPr>
              <w:widowControl w:val="0"/>
              <w:rPr>
                <w:szCs w:val="22"/>
              </w:rPr>
            </w:pPr>
            <w:r>
              <w:rPr>
                <w:szCs w:val="22"/>
              </w:rPr>
              <w:t>F</w:t>
            </w:r>
            <w:r w:rsidR="009E56E3" w:rsidRPr="00491037">
              <w:rPr>
                <w:szCs w:val="22"/>
              </w:rPr>
              <w:t>ocus</w:t>
            </w:r>
          </w:p>
        </w:tc>
        <w:tc>
          <w:tcPr>
            <w:tcW w:w="7372" w:type="dxa"/>
          </w:tcPr>
          <w:p w:rsidR="005C4D90" w:rsidRPr="00491037" w:rsidRDefault="005E2304" w:rsidP="00491037">
            <w:pPr>
              <w:widowControl w:val="0"/>
              <w:numPr>
                <w:ilvl w:val="0"/>
                <w:numId w:val="36"/>
              </w:numPr>
              <w:rPr>
                <w:szCs w:val="22"/>
              </w:rPr>
            </w:pPr>
            <w:r>
              <w:rPr>
                <w:szCs w:val="22"/>
              </w:rPr>
              <w:t>W</w:t>
            </w:r>
            <w:r w:rsidR="009E56E3" w:rsidRPr="00491037">
              <w:rPr>
                <w:szCs w:val="22"/>
              </w:rPr>
              <w:t>here the dancer is looking</w:t>
            </w:r>
            <w:r>
              <w:rPr>
                <w:szCs w:val="22"/>
              </w:rPr>
              <w:t>.</w:t>
            </w:r>
            <w:r w:rsidR="009E56E3" w:rsidRPr="00491037">
              <w:rPr>
                <w:szCs w:val="22"/>
              </w:rPr>
              <w:t xml:space="preserve"> </w:t>
            </w:r>
          </w:p>
          <w:p w:rsidR="005C4D90" w:rsidRPr="00491037" w:rsidRDefault="005E2304" w:rsidP="00491037">
            <w:pPr>
              <w:widowControl w:val="0"/>
              <w:numPr>
                <w:ilvl w:val="0"/>
                <w:numId w:val="36"/>
              </w:numPr>
              <w:rPr>
                <w:szCs w:val="22"/>
              </w:rPr>
            </w:pPr>
            <w:r>
              <w:rPr>
                <w:szCs w:val="22"/>
              </w:rPr>
              <w:t>W</w:t>
            </w:r>
            <w:r w:rsidR="009E56E3" w:rsidRPr="00491037">
              <w:rPr>
                <w:szCs w:val="22"/>
              </w:rPr>
              <w:t>here the audience’s attention is directed</w:t>
            </w:r>
            <w:r>
              <w:rPr>
                <w:szCs w:val="22"/>
              </w:rPr>
              <w:t>.</w:t>
            </w:r>
          </w:p>
          <w:p w:rsidR="009E56E3" w:rsidRPr="00491037" w:rsidRDefault="005E2304" w:rsidP="00491037">
            <w:pPr>
              <w:widowControl w:val="0"/>
              <w:numPr>
                <w:ilvl w:val="0"/>
                <w:numId w:val="36"/>
              </w:numPr>
              <w:rPr>
                <w:szCs w:val="22"/>
              </w:rPr>
            </w:pPr>
            <w:r>
              <w:rPr>
                <w:szCs w:val="22"/>
              </w:rPr>
              <w:t>T</w:t>
            </w:r>
            <w:r w:rsidR="009E56E3" w:rsidRPr="00491037">
              <w:rPr>
                <w:szCs w:val="22"/>
              </w:rPr>
              <w:t xml:space="preserve">he ability to concentrate attention </w:t>
            </w:r>
            <w:r w:rsidR="001E7CCE">
              <w:rPr>
                <w:szCs w:val="22"/>
              </w:rPr>
              <w:t>and effort</w:t>
            </w:r>
            <w:r>
              <w:rPr>
                <w:szCs w:val="22"/>
              </w:rPr>
              <w:t>.</w:t>
            </w:r>
          </w:p>
        </w:tc>
      </w:tr>
      <w:tr w:rsidR="009E56E3">
        <w:trPr>
          <w:jc w:val="center"/>
        </w:trPr>
        <w:tc>
          <w:tcPr>
            <w:tcW w:w="2448" w:type="dxa"/>
            <w:tcBorders>
              <w:bottom w:val="single" w:sz="4" w:space="0" w:color="auto"/>
            </w:tcBorders>
            <w:shd w:val="clear" w:color="auto" w:fill="auto"/>
          </w:tcPr>
          <w:p w:rsidR="009E56E3" w:rsidRPr="00491037" w:rsidRDefault="005E2304" w:rsidP="00491037">
            <w:pPr>
              <w:widowControl w:val="0"/>
              <w:rPr>
                <w:szCs w:val="22"/>
              </w:rPr>
            </w:pPr>
            <w:r>
              <w:rPr>
                <w:szCs w:val="22"/>
              </w:rPr>
              <w:t>T</w:t>
            </w:r>
            <w:r w:rsidR="009E56E3" w:rsidRPr="00491037">
              <w:rPr>
                <w:szCs w:val="22"/>
              </w:rPr>
              <w:t>empo</w:t>
            </w:r>
          </w:p>
        </w:tc>
        <w:tc>
          <w:tcPr>
            <w:tcW w:w="7372" w:type="dxa"/>
          </w:tcPr>
          <w:p w:rsidR="009E56E3" w:rsidRPr="00491037" w:rsidRDefault="005E2304" w:rsidP="00491037">
            <w:pPr>
              <w:widowControl w:val="0"/>
              <w:rPr>
                <w:szCs w:val="22"/>
              </w:rPr>
            </w:pPr>
            <w:r>
              <w:rPr>
                <w:szCs w:val="22"/>
              </w:rPr>
              <w:t>T</w:t>
            </w:r>
            <w:r w:rsidR="009E56E3" w:rsidRPr="00491037">
              <w:rPr>
                <w:szCs w:val="22"/>
              </w:rPr>
              <w:t>he speed with which a movement is performed</w:t>
            </w:r>
            <w:r>
              <w:rPr>
                <w:szCs w:val="22"/>
              </w:rPr>
              <w:t>.</w:t>
            </w:r>
          </w:p>
        </w:tc>
      </w:tr>
      <w:tr w:rsidR="009E56E3">
        <w:trPr>
          <w:jc w:val="center"/>
        </w:trPr>
        <w:tc>
          <w:tcPr>
            <w:tcW w:w="2448" w:type="dxa"/>
            <w:tcBorders>
              <w:bottom w:val="single" w:sz="4" w:space="0" w:color="auto"/>
            </w:tcBorders>
            <w:shd w:val="clear" w:color="auto" w:fill="E6E6E6"/>
          </w:tcPr>
          <w:p w:rsidR="009E56E3" w:rsidRPr="00491037" w:rsidRDefault="005E2304" w:rsidP="00491037">
            <w:pPr>
              <w:widowControl w:val="0"/>
              <w:rPr>
                <w:szCs w:val="22"/>
              </w:rPr>
            </w:pPr>
            <w:r>
              <w:rPr>
                <w:szCs w:val="22"/>
              </w:rPr>
              <w:t>M</w:t>
            </w:r>
            <w:r w:rsidR="009E56E3" w:rsidRPr="00491037">
              <w:rPr>
                <w:szCs w:val="22"/>
              </w:rPr>
              <w:t>ovement qualities</w:t>
            </w:r>
          </w:p>
        </w:tc>
        <w:tc>
          <w:tcPr>
            <w:tcW w:w="7372" w:type="dxa"/>
          </w:tcPr>
          <w:p w:rsidR="009E56E3" w:rsidRPr="00491037" w:rsidRDefault="005E2304" w:rsidP="009E5A28">
            <w:pPr>
              <w:widowControl w:val="0"/>
              <w:rPr>
                <w:szCs w:val="22"/>
              </w:rPr>
            </w:pPr>
            <w:r>
              <w:rPr>
                <w:szCs w:val="22"/>
              </w:rPr>
              <w:t>T</w:t>
            </w:r>
            <w:r w:rsidR="009E56E3" w:rsidRPr="00491037">
              <w:rPr>
                <w:szCs w:val="22"/>
              </w:rPr>
              <w:t xml:space="preserve">he </w:t>
            </w:r>
            <w:r w:rsidR="009E5A28">
              <w:rPr>
                <w:szCs w:val="22"/>
              </w:rPr>
              <w:t>id</w:t>
            </w:r>
            <w:r w:rsidR="00C52A76">
              <w:rPr>
                <w:szCs w:val="22"/>
              </w:rPr>
              <w:t xml:space="preserve">entifying characteristics that </w:t>
            </w:r>
            <w:r w:rsidR="009E5A28">
              <w:rPr>
                <w:szCs w:val="22"/>
              </w:rPr>
              <w:t xml:space="preserve">relate to how a movement is </w:t>
            </w:r>
            <w:r w:rsidR="00243740">
              <w:rPr>
                <w:szCs w:val="22"/>
              </w:rPr>
              <w:t>made</w:t>
            </w:r>
            <w:r w:rsidR="009E5A28">
              <w:rPr>
                <w:szCs w:val="22"/>
              </w:rPr>
              <w:t xml:space="preserve"> — the release, follow-through and terminati</w:t>
            </w:r>
            <w:r w:rsidR="007D5D88">
              <w:rPr>
                <w:szCs w:val="22"/>
              </w:rPr>
              <w:t>o</w:t>
            </w:r>
            <w:r w:rsidR="009E5A28">
              <w:rPr>
                <w:szCs w:val="22"/>
              </w:rPr>
              <w:t xml:space="preserve">n of energy. Terms used to </w:t>
            </w:r>
            <w:r w:rsidR="00243740">
              <w:rPr>
                <w:szCs w:val="22"/>
              </w:rPr>
              <w:t>describe</w:t>
            </w:r>
            <w:r w:rsidR="009E5A28">
              <w:rPr>
                <w:szCs w:val="22"/>
              </w:rPr>
              <w:t xml:space="preserve"> qualities include sustained, percussive, collapsing, vibratory and swinging</w:t>
            </w:r>
            <w:r>
              <w:rPr>
                <w:szCs w:val="22"/>
              </w:rPr>
              <w:t>.</w:t>
            </w:r>
          </w:p>
        </w:tc>
      </w:tr>
      <w:tr w:rsidR="009E56E3">
        <w:trPr>
          <w:jc w:val="center"/>
        </w:trPr>
        <w:tc>
          <w:tcPr>
            <w:tcW w:w="2448" w:type="dxa"/>
            <w:tcBorders>
              <w:bottom w:val="single" w:sz="4" w:space="0" w:color="auto"/>
            </w:tcBorders>
            <w:shd w:val="clear" w:color="auto" w:fill="auto"/>
          </w:tcPr>
          <w:p w:rsidR="009E56E3" w:rsidRPr="00491037" w:rsidRDefault="005E2304" w:rsidP="00491037">
            <w:pPr>
              <w:widowControl w:val="0"/>
              <w:rPr>
                <w:szCs w:val="22"/>
              </w:rPr>
            </w:pPr>
            <w:r>
              <w:rPr>
                <w:szCs w:val="22"/>
              </w:rPr>
              <w:t>R</w:t>
            </w:r>
            <w:r w:rsidR="009E56E3" w:rsidRPr="00491037">
              <w:rPr>
                <w:szCs w:val="22"/>
              </w:rPr>
              <w:t>epetition</w:t>
            </w:r>
          </w:p>
        </w:tc>
        <w:tc>
          <w:tcPr>
            <w:tcW w:w="7372" w:type="dxa"/>
          </w:tcPr>
          <w:p w:rsidR="009E56E3" w:rsidRPr="00491037" w:rsidRDefault="005E2304" w:rsidP="00491037">
            <w:pPr>
              <w:widowControl w:val="0"/>
              <w:rPr>
                <w:szCs w:val="22"/>
              </w:rPr>
            </w:pPr>
            <w:r>
              <w:rPr>
                <w:szCs w:val="22"/>
              </w:rPr>
              <w:t>T</w:t>
            </w:r>
            <w:r w:rsidR="009E56E3" w:rsidRPr="00491037">
              <w:rPr>
                <w:szCs w:val="22"/>
              </w:rPr>
              <w:t>he repeated use of an arts element to create rhythm or unity</w:t>
            </w:r>
            <w:r w:rsidR="00243740">
              <w:rPr>
                <w:szCs w:val="22"/>
              </w:rPr>
              <w:t>.</w:t>
            </w:r>
          </w:p>
        </w:tc>
      </w:tr>
      <w:tr w:rsidR="009E56E3">
        <w:trPr>
          <w:jc w:val="center"/>
        </w:trPr>
        <w:tc>
          <w:tcPr>
            <w:tcW w:w="2448" w:type="dxa"/>
            <w:tcBorders>
              <w:bottom w:val="single" w:sz="4" w:space="0" w:color="auto"/>
            </w:tcBorders>
            <w:shd w:val="clear" w:color="auto" w:fill="E6E6E6"/>
          </w:tcPr>
          <w:p w:rsidR="009E56E3" w:rsidRPr="00491037" w:rsidRDefault="005E2304" w:rsidP="00491037">
            <w:pPr>
              <w:widowControl w:val="0"/>
              <w:rPr>
                <w:szCs w:val="22"/>
              </w:rPr>
            </w:pPr>
            <w:r>
              <w:rPr>
                <w:szCs w:val="22"/>
              </w:rPr>
              <w:t>C</w:t>
            </w:r>
            <w:r w:rsidR="009E56E3" w:rsidRPr="00491037">
              <w:rPr>
                <w:szCs w:val="22"/>
              </w:rPr>
              <w:t xml:space="preserve">anon </w:t>
            </w:r>
          </w:p>
        </w:tc>
        <w:tc>
          <w:tcPr>
            <w:tcW w:w="7372" w:type="dxa"/>
          </w:tcPr>
          <w:p w:rsidR="009E56E3" w:rsidRPr="00491037" w:rsidRDefault="005E2304" w:rsidP="00491037">
            <w:pPr>
              <w:widowControl w:val="0"/>
              <w:rPr>
                <w:szCs w:val="22"/>
              </w:rPr>
            </w:pPr>
            <w:r>
              <w:rPr>
                <w:szCs w:val="22"/>
              </w:rPr>
              <w:t>I</w:t>
            </w:r>
            <w:r w:rsidR="009E56E3" w:rsidRPr="00491037">
              <w:rPr>
                <w:szCs w:val="22"/>
              </w:rPr>
              <w:t>ndividuals and groups perform the same movement/phrase beginning at different times, e.g.</w:t>
            </w:r>
            <w:r w:rsidR="005C4D90" w:rsidRPr="00491037">
              <w:rPr>
                <w:szCs w:val="22"/>
              </w:rPr>
              <w:t xml:space="preserve"> the</w:t>
            </w:r>
            <w:r w:rsidR="009E56E3" w:rsidRPr="00491037">
              <w:rPr>
                <w:szCs w:val="22"/>
              </w:rPr>
              <w:t xml:space="preserve"> Mexican wave</w:t>
            </w:r>
            <w:r>
              <w:rPr>
                <w:szCs w:val="22"/>
              </w:rPr>
              <w:t>.</w:t>
            </w:r>
          </w:p>
        </w:tc>
      </w:tr>
      <w:tr w:rsidR="009E56E3">
        <w:trPr>
          <w:jc w:val="center"/>
        </w:trPr>
        <w:tc>
          <w:tcPr>
            <w:tcW w:w="2448" w:type="dxa"/>
            <w:tcBorders>
              <w:bottom w:val="single" w:sz="4" w:space="0" w:color="auto"/>
            </w:tcBorders>
            <w:shd w:val="clear" w:color="auto" w:fill="auto"/>
          </w:tcPr>
          <w:p w:rsidR="009E56E3" w:rsidRPr="00491037" w:rsidRDefault="005E2304" w:rsidP="00491037">
            <w:pPr>
              <w:widowControl w:val="0"/>
              <w:rPr>
                <w:szCs w:val="22"/>
              </w:rPr>
            </w:pPr>
            <w:r>
              <w:rPr>
                <w:szCs w:val="22"/>
              </w:rPr>
              <w:t>C</w:t>
            </w:r>
            <w:r w:rsidR="009E56E3" w:rsidRPr="00491037">
              <w:rPr>
                <w:szCs w:val="22"/>
              </w:rPr>
              <w:t xml:space="preserve">ontrast </w:t>
            </w:r>
          </w:p>
        </w:tc>
        <w:tc>
          <w:tcPr>
            <w:tcW w:w="7372" w:type="dxa"/>
          </w:tcPr>
          <w:p w:rsidR="009E56E3" w:rsidRPr="00491037" w:rsidRDefault="005E2304" w:rsidP="00491037">
            <w:pPr>
              <w:widowControl w:val="0"/>
              <w:rPr>
                <w:szCs w:val="22"/>
              </w:rPr>
            </w:pPr>
            <w:r>
              <w:rPr>
                <w:szCs w:val="22"/>
              </w:rPr>
              <w:t>S</w:t>
            </w:r>
            <w:r w:rsidR="009E56E3" w:rsidRPr="00491037">
              <w:rPr>
                <w:szCs w:val="22"/>
              </w:rPr>
              <w:t>etting e</w:t>
            </w:r>
            <w:r>
              <w:rPr>
                <w:szCs w:val="22"/>
              </w:rPr>
              <w:t>lements side by side to emphasis</w:t>
            </w:r>
            <w:r w:rsidR="009E56E3" w:rsidRPr="00491037">
              <w:rPr>
                <w:szCs w:val="22"/>
              </w:rPr>
              <w:t>e their differences, e.g. two contrasting movements might d</w:t>
            </w:r>
            <w:r>
              <w:rPr>
                <w:szCs w:val="22"/>
              </w:rPr>
              <w:t>iffer in energy and space (</w:t>
            </w:r>
            <w:r w:rsidR="009E56E3" w:rsidRPr="00491037">
              <w:rPr>
                <w:szCs w:val="22"/>
              </w:rPr>
              <w:t>size, di</w:t>
            </w:r>
            <w:r w:rsidR="00D34D03">
              <w:rPr>
                <w:szCs w:val="22"/>
              </w:rPr>
              <w:t>rection or</w:t>
            </w:r>
            <w:r>
              <w:rPr>
                <w:szCs w:val="22"/>
              </w:rPr>
              <w:t xml:space="preserve"> level) or timing (</w:t>
            </w:r>
            <w:r w:rsidR="009E56E3" w:rsidRPr="00491037">
              <w:rPr>
                <w:szCs w:val="22"/>
              </w:rPr>
              <w:t>fast or slow, even or uneven)</w:t>
            </w:r>
            <w:r>
              <w:rPr>
                <w:szCs w:val="22"/>
              </w:rPr>
              <w:t>.</w:t>
            </w:r>
          </w:p>
        </w:tc>
      </w:tr>
      <w:tr w:rsidR="009E5A28">
        <w:trPr>
          <w:jc w:val="center"/>
        </w:trPr>
        <w:tc>
          <w:tcPr>
            <w:tcW w:w="2448" w:type="dxa"/>
            <w:shd w:val="clear" w:color="auto" w:fill="E6E6E6"/>
          </w:tcPr>
          <w:p w:rsidR="009E5A28" w:rsidRPr="00491037" w:rsidRDefault="005E2304" w:rsidP="00491037">
            <w:pPr>
              <w:widowControl w:val="0"/>
              <w:rPr>
                <w:szCs w:val="22"/>
              </w:rPr>
            </w:pPr>
            <w:r>
              <w:rPr>
                <w:szCs w:val="22"/>
              </w:rPr>
              <w:t>M</w:t>
            </w:r>
            <w:r w:rsidR="009E5A28">
              <w:rPr>
                <w:szCs w:val="22"/>
              </w:rPr>
              <w:t>usicality</w:t>
            </w:r>
          </w:p>
        </w:tc>
        <w:tc>
          <w:tcPr>
            <w:tcW w:w="7372" w:type="dxa"/>
          </w:tcPr>
          <w:p w:rsidR="009E5A28" w:rsidRPr="00491037" w:rsidRDefault="005E2304" w:rsidP="005E2304">
            <w:pPr>
              <w:widowControl w:val="0"/>
              <w:rPr>
                <w:szCs w:val="22"/>
              </w:rPr>
            </w:pPr>
            <w:r>
              <w:rPr>
                <w:szCs w:val="22"/>
              </w:rPr>
              <w:t>I</w:t>
            </w:r>
            <w:r w:rsidR="009E5A28">
              <w:rPr>
                <w:szCs w:val="22"/>
              </w:rPr>
              <w:t>n the context of dance, this refers to fitting a dance to the music being played with the goal of relating the dance to the music’s rhythm, melody and mood</w:t>
            </w:r>
            <w:r>
              <w:rPr>
                <w:szCs w:val="22"/>
              </w:rPr>
              <w:t>.</w:t>
            </w:r>
          </w:p>
        </w:tc>
      </w:tr>
    </w:tbl>
    <w:p w:rsidR="00326746" w:rsidRDefault="00326746" w:rsidP="009E56E3">
      <w:pPr>
        <w:pStyle w:val="Stem"/>
        <w:rPr>
          <w:lang w:val="en-US"/>
        </w:rPr>
      </w:pPr>
    </w:p>
    <w:p w:rsidR="009E56E3" w:rsidRPr="00DF7655" w:rsidRDefault="009E56E3" w:rsidP="0027322E">
      <w:pPr>
        <w:pStyle w:val="Source"/>
        <w:rPr>
          <w:lang w:val="en-US"/>
        </w:rPr>
      </w:pPr>
      <w:r w:rsidRPr="00DF7655">
        <w:rPr>
          <w:lang w:val="en-US"/>
        </w:rPr>
        <w:t xml:space="preserve">Adapted from: </w:t>
      </w:r>
    </w:p>
    <w:p w:rsidR="009E56E3" w:rsidRPr="00DF7655" w:rsidRDefault="002543D0" w:rsidP="0027322E">
      <w:pPr>
        <w:pStyle w:val="Source"/>
        <w:rPr>
          <w:lang w:val="en-US"/>
        </w:rPr>
      </w:pPr>
      <w:r w:rsidRPr="002543D0">
        <w:rPr>
          <w:lang w:val="en-US"/>
        </w:rPr>
        <w:t>Queensland Studies Authority</w:t>
      </w:r>
      <w:r>
        <w:rPr>
          <w:i/>
          <w:lang w:val="en-US"/>
        </w:rPr>
        <w:t xml:space="preserve"> </w:t>
      </w:r>
      <w:r w:rsidRPr="002543D0">
        <w:rPr>
          <w:lang w:val="en-US"/>
        </w:rPr>
        <w:t>2004</w:t>
      </w:r>
      <w:r>
        <w:rPr>
          <w:i/>
          <w:lang w:val="en-US"/>
        </w:rPr>
        <w:t xml:space="preserve">, </w:t>
      </w:r>
      <w:r w:rsidR="009E56E3" w:rsidRPr="005E2304">
        <w:rPr>
          <w:i/>
          <w:lang w:val="en-US"/>
        </w:rPr>
        <w:t>Dance Senior Syllabus 2004</w:t>
      </w:r>
      <w:r w:rsidR="009E56E3" w:rsidRPr="00DF7655">
        <w:rPr>
          <w:lang w:val="en-US"/>
        </w:rPr>
        <w:t xml:space="preserve">, </w:t>
      </w:r>
      <w:r>
        <w:rPr>
          <w:lang w:val="en-US"/>
        </w:rPr>
        <w:t xml:space="preserve">available from </w:t>
      </w:r>
      <w:r w:rsidR="009E56E3" w:rsidRPr="00DF7655">
        <w:rPr>
          <w:lang w:val="en-US"/>
        </w:rPr>
        <w:t>Queensland Studies Authority</w:t>
      </w:r>
      <w:r>
        <w:rPr>
          <w:lang w:val="en-US"/>
        </w:rPr>
        <w:t xml:space="preserve"> website</w:t>
      </w:r>
      <w:r w:rsidR="00D34D03">
        <w:rPr>
          <w:lang w:val="en-US"/>
        </w:rPr>
        <w:t>,</w:t>
      </w:r>
      <w:r>
        <w:rPr>
          <w:lang w:val="en-US"/>
        </w:rPr>
        <w:t xml:space="preserve"> </w:t>
      </w:r>
      <w:r w:rsidR="00EB79CB">
        <w:rPr>
          <w:lang w:val="en-US"/>
        </w:rPr>
        <w:t>&lt;</w:t>
      </w:r>
      <w:r w:rsidRPr="002543D0">
        <w:rPr>
          <w:lang w:val="en-US"/>
        </w:rPr>
        <w:t>www.qsa.qld.edu.au</w:t>
      </w:r>
      <w:r w:rsidR="00EB79CB">
        <w:rPr>
          <w:lang w:val="en-US"/>
        </w:rPr>
        <w:t>&gt;</w:t>
      </w:r>
      <w:r>
        <w:rPr>
          <w:lang w:val="en-US"/>
        </w:rPr>
        <w:t>.</w:t>
      </w:r>
    </w:p>
    <w:p w:rsidR="009E56E3" w:rsidRPr="0027322E" w:rsidRDefault="00D34D03" w:rsidP="0027322E">
      <w:pPr>
        <w:pStyle w:val="Source"/>
        <w:rPr>
          <w:szCs w:val="22"/>
        </w:rPr>
      </w:pPr>
      <w:r w:rsidRPr="0027322E">
        <w:rPr>
          <w:szCs w:val="18"/>
        </w:rPr>
        <w:t>California State Board of Education 2007</w:t>
      </w:r>
      <w:r w:rsidRPr="0027322E">
        <w:t xml:space="preserve">, </w:t>
      </w:r>
      <w:r w:rsidRPr="00D12972">
        <w:rPr>
          <w:i/>
          <w:szCs w:val="18"/>
        </w:rPr>
        <w:t>Visual and Performing Arts: Dance Content Standards</w:t>
      </w:r>
      <w:r w:rsidR="0027322E" w:rsidRPr="00D12972">
        <w:rPr>
          <w:i/>
        </w:rPr>
        <w:t xml:space="preserve"> </w:t>
      </w:r>
      <w:r w:rsidRPr="00D12972">
        <w:rPr>
          <w:i/>
          <w:szCs w:val="18"/>
        </w:rPr>
        <w:t>—</w:t>
      </w:r>
      <w:r w:rsidR="0027322E" w:rsidRPr="00D12972">
        <w:rPr>
          <w:i/>
        </w:rPr>
        <w:t xml:space="preserve"> </w:t>
      </w:r>
      <w:r w:rsidRPr="00D12972">
        <w:rPr>
          <w:i/>
          <w:szCs w:val="18"/>
        </w:rPr>
        <w:t>Glossary</w:t>
      </w:r>
      <w:r w:rsidR="00D12972">
        <w:rPr>
          <w:szCs w:val="18"/>
        </w:rPr>
        <w:t>,</w:t>
      </w:r>
      <w:r w:rsidRPr="0027322E">
        <w:rPr>
          <w:szCs w:val="18"/>
        </w:rPr>
        <w:t xml:space="preserve"> accessed 25 January 2008, &lt;</w:t>
      </w:r>
      <w:hyperlink r:id="rId28" w:history="1">
        <w:r w:rsidRPr="0027322E">
          <w:t>www.cde.ca.gov/be/st/ss/daglossary.asp</w:t>
        </w:r>
      </w:hyperlink>
      <w:r w:rsidRPr="0027322E">
        <w:rPr>
          <w:szCs w:val="22"/>
        </w:rPr>
        <w:t xml:space="preserve">&gt;. </w:t>
      </w:r>
    </w:p>
    <w:p w:rsidR="009E56E3" w:rsidRPr="00C52A76" w:rsidRDefault="00B34371" w:rsidP="0027322E">
      <w:pPr>
        <w:pStyle w:val="Source"/>
        <w:rPr>
          <w:lang w:val="en-US"/>
        </w:rPr>
      </w:pPr>
      <w:r>
        <w:rPr>
          <w:lang w:val="en-US"/>
        </w:rPr>
        <w:t xml:space="preserve">Kentucky Educational Television </w:t>
      </w:r>
      <w:r w:rsidR="007314A3">
        <w:rPr>
          <w:lang w:val="en-US"/>
        </w:rPr>
        <w:t xml:space="preserve">2008, </w:t>
      </w:r>
      <w:r w:rsidR="0027322E" w:rsidRPr="0027322E">
        <w:rPr>
          <w:i/>
          <w:lang w:val="en-US"/>
        </w:rPr>
        <w:t>Arts toolkit — Dance — Glossary</w:t>
      </w:r>
      <w:r w:rsidR="00243740" w:rsidRPr="00243740">
        <w:rPr>
          <w:lang w:val="en-US"/>
        </w:rPr>
        <w:t>,</w:t>
      </w:r>
      <w:r w:rsidR="0027322E">
        <w:rPr>
          <w:i/>
          <w:lang w:val="en-US"/>
        </w:rPr>
        <w:t xml:space="preserve"> </w:t>
      </w:r>
      <w:r w:rsidR="0027322E" w:rsidRPr="0027322E">
        <w:rPr>
          <w:lang w:val="en-US"/>
        </w:rPr>
        <w:t>accessed</w:t>
      </w:r>
      <w:r w:rsidR="0027322E">
        <w:rPr>
          <w:i/>
          <w:lang w:val="en-US"/>
        </w:rPr>
        <w:t xml:space="preserve"> 25 </w:t>
      </w:r>
      <w:r w:rsidR="0027322E">
        <w:rPr>
          <w:lang w:val="en-US"/>
        </w:rPr>
        <w:t>Ja</w:t>
      </w:r>
      <w:r w:rsidR="0027322E" w:rsidRPr="0027322E">
        <w:rPr>
          <w:lang w:val="en-US"/>
        </w:rPr>
        <w:t>n</w:t>
      </w:r>
      <w:r w:rsidR="0027322E">
        <w:rPr>
          <w:lang w:val="en-US"/>
        </w:rPr>
        <w:t>u</w:t>
      </w:r>
      <w:r w:rsidR="0027322E" w:rsidRPr="0027322E">
        <w:rPr>
          <w:lang w:val="en-US"/>
        </w:rPr>
        <w:t>ary</w:t>
      </w:r>
      <w:r w:rsidR="0027322E">
        <w:rPr>
          <w:i/>
          <w:lang w:val="en-US"/>
        </w:rPr>
        <w:t xml:space="preserve"> </w:t>
      </w:r>
      <w:r w:rsidR="0027322E" w:rsidRPr="0027322E">
        <w:rPr>
          <w:lang w:val="en-US"/>
        </w:rPr>
        <w:t>2008,</w:t>
      </w:r>
      <w:r w:rsidR="0027322E">
        <w:rPr>
          <w:i/>
          <w:lang w:val="en-US"/>
        </w:rPr>
        <w:t xml:space="preserve"> &lt;</w:t>
      </w:r>
      <w:r w:rsidR="0027322E" w:rsidRPr="0027322E">
        <w:rPr>
          <w:lang w:val="en-US"/>
        </w:rPr>
        <w:t>www.ket.org/artstoolkit/dance/glossary.htm</w:t>
      </w:r>
      <w:r w:rsidR="0027322E">
        <w:rPr>
          <w:lang w:val="en-US"/>
        </w:rPr>
        <w:t>&gt;.</w:t>
      </w:r>
    </w:p>
    <w:p w:rsidR="00885161" w:rsidRPr="00592821" w:rsidRDefault="00885161" w:rsidP="00CB038E">
      <w:pPr>
        <w:pStyle w:val="Heading2TOP"/>
      </w:pPr>
      <w:r w:rsidRPr="00592821">
        <w:t xml:space="preserve">Copyright </w:t>
      </w:r>
      <w:r w:rsidR="00777A32">
        <w:t>i</w:t>
      </w:r>
      <w:r w:rsidRPr="00592821">
        <w:t>ssues</w:t>
      </w:r>
    </w:p>
    <w:p w:rsidR="001862E5" w:rsidRPr="00592821" w:rsidRDefault="001862E5" w:rsidP="001862E5">
      <w:r>
        <w:t xml:space="preserve">The guidelines below cover copyright for school music performances both </w:t>
      </w:r>
      <w:r w:rsidRPr="00592821">
        <w:t>inside and outside the classroom.</w:t>
      </w:r>
      <w:r>
        <w:t xml:space="preserve"> They are an excerpt from</w:t>
      </w:r>
      <w:r>
        <w:rPr>
          <w:i/>
        </w:rPr>
        <w:t xml:space="preserve"> </w:t>
      </w:r>
      <w:r w:rsidRPr="00777A32">
        <w:rPr>
          <w:i/>
        </w:rPr>
        <w:t xml:space="preserve">Music </w:t>
      </w:r>
      <w:r>
        <w:rPr>
          <w:i/>
        </w:rPr>
        <w:t>c</w:t>
      </w:r>
      <w:r w:rsidRPr="00777A32">
        <w:rPr>
          <w:i/>
        </w:rPr>
        <w:t>opyright for schools</w:t>
      </w:r>
      <w:r w:rsidRPr="00592821">
        <w:t xml:space="preserve">, 3rd edn, 2006 available at </w:t>
      </w:r>
      <w:r>
        <w:t>&lt;</w:t>
      </w:r>
      <w:r w:rsidRPr="00384512">
        <w:t>www.apra.com.au/music-users/</w:t>
      </w:r>
      <w:r>
        <w:t>apra_publications.asp&gt;.</w:t>
      </w:r>
    </w:p>
    <w:p w:rsidR="00885161" w:rsidRPr="00F06915" w:rsidRDefault="00885161" w:rsidP="00AD3C1E">
      <w:pPr>
        <w:pStyle w:val="Stem"/>
      </w:pPr>
      <w:r w:rsidRPr="00F06915">
        <w:t>4.1 Introduction</w:t>
      </w:r>
    </w:p>
    <w:p w:rsidR="00885161" w:rsidRPr="00F06915" w:rsidRDefault="00885161" w:rsidP="00AD3C1E">
      <w:pPr>
        <w:ind w:left="380"/>
      </w:pPr>
      <w:r w:rsidRPr="00F06915">
        <w:t xml:space="preserve">Most schools in </w:t>
      </w:r>
      <w:smartTag w:uri="urn:schemas-microsoft-com:office:smarttags" w:element="country-region">
        <w:smartTag w:uri="urn:schemas-microsoft-com:office:smarttags" w:element="place">
          <w:r w:rsidRPr="00F06915">
            <w:t>Australia</w:t>
          </w:r>
        </w:smartTag>
      </w:smartTag>
      <w:r w:rsidRPr="00F06915">
        <w:t xml:space="preserve"> are involved in the public performance of music in some way, either by organising school concerts, or simply by playing music via CDs or other types of commercial recordings, radio or television. Although there is an exception in the Copyright Act for performances within a class setting, all public performances of copyright musical works by schools or authorised by schools outside of the class context require the coverage of an APRA licence.</w:t>
      </w:r>
    </w:p>
    <w:p w:rsidR="00885161" w:rsidRPr="00F06915" w:rsidRDefault="00885161" w:rsidP="00AD3C1E">
      <w:pPr>
        <w:pStyle w:val="Stem"/>
      </w:pPr>
      <w:r w:rsidRPr="00F06915">
        <w:t>4.2 Performances in a class context</w:t>
      </w:r>
    </w:p>
    <w:p w:rsidR="00885161" w:rsidRPr="00F06915" w:rsidRDefault="00885161" w:rsidP="00AD3C1E">
      <w:pPr>
        <w:ind w:left="380"/>
      </w:pPr>
      <w:r w:rsidRPr="00F06915">
        <w:t xml:space="preserve">There is a limited exception under the Copyright Act for the performance (playing) of copyright musical works and sound recordings in the course of educational instruction. </w:t>
      </w:r>
      <w:r w:rsidRPr="00F06915">
        <w:rPr>
          <w:b/>
        </w:rPr>
        <w:t>These performances are deemed not to be public performances and therefore do not require any type of licence.</w:t>
      </w:r>
      <w:r w:rsidRPr="00F06915">
        <w:t xml:space="preserve"> The permission of the copyright owner is not required where a literary, dramatic or musical work, sound recording or film is performed: </w:t>
      </w:r>
    </w:p>
    <w:p w:rsidR="00885161" w:rsidRPr="00F06915" w:rsidRDefault="00705016" w:rsidP="00AD3C1E">
      <w:pPr>
        <w:pStyle w:val="Bullet1"/>
      </w:pPr>
      <w:r>
        <w:t>i</w:t>
      </w:r>
      <w:r w:rsidR="00885161" w:rsidRPr="00F06915">
        <w:t>n class or otherwise in the presence of an audience</w:t>
      </w:r>
    </w:p>
    <w:p w:rsidR="00885161" w:rsidRPr="00F06915" w:rsidRDefault="00705016" w:rsidP="00AD3C1E">
      <w:pPr>
        <w:pStyle w:val="Bullet1"/>
      </w:pPr>
      <w:r>
        <w:t>b</w:t>
      </w:r>
      <w:r w:rsidR="00885161" w:rsidRPr="00F06915">
        <w:t xml:space="preserve">y a teacher in the course of giving educational instruction, </w:t>
      </w:r>
      <w:r w:rsidR="00F06915">
        <w:t>provided the</w:t>
      </w:r>
      <w:r w:rsidR="00885161" w:rsidRPr="00F06915">
        <w:t xml:space="preserve"> instruction </w:t>
      </w:r>
      <w:r w:rsidR="00F06915">
        <w:t xml:space="preserve">is not being </w:t>
      </w:r>
      <w:r w:rsidR="00885161" w:rsidRPr="00F06915">
        <w:t xml:space="preserve">given for profit, or by a student in the course of receiving such instruction, and </w:t>
      </w:r>
    </w:p>
    <w:p w:rsidR="00885161" w:rsidRPr="00F06915" w:rsidRDefault="00705016" w:rsidP="00AD3C1E">
      <w:pPr>
        <w:pStyle w:val="Bullet1"/>
      </w:pPr>
      <w:r>
        <w:t>t</w:t>
      </w:r>
      <w:r w:rsidR="00885161" w:rsidRPr="00F06915">
        <w:t xml:space="preserve">he audience is limited to persons who are taking part in the instruction or are otherwise directly connected with the place where the instruction is given. A person is not taken to be directly connected by reason only of being a parent or guardian of a student </w:t>
      </w:r>
      <w:r w:rsidR="00777A32" w:rsidRPr="00F06915">
        <w:t xml:space="preserve">— </w:t>
      </w:r>
      <w:r w:rsidR="00885161" w:rsidRPr="00F06915">
        <w:t>therefore this section will not apply to performances where parents or other family members are present unless there is some other direct connection between them and the educational instruction or institution.</w:t>
      </w:r>
    </w:p>
    <w:p w:rsidR="00885161" w:rsidRPr="00F06915" w:rsidRDefault="00885161" w:rsidP="00AD3C1E">
      <w:pPr>
        <w:ind w:left="380"/>
      </w:pPr>
      <w:r w:rsidRPr="00F06915">
        <w:t xml:space="preserve">This exception also applies to the playing of sound recordings in the course of educational instruction, where the instruction is not being given for profit. </w:t>
      </w:r>
    </w:p>
    <w:p w:rsidR="00885161" w:rsidRPr="00F06915" w:rsidRDefault="00885161" w:rsidP="00AD3C1E">
      <w:pPr>
        <w:pStyle w:val="Stem"/>
      </w:pPr>
      <w:r w:rsidRPr="00F06915">
        <w:t>4.3 Agreements with peak educational organisations</w:t>
      </w:r>
    </w:p>
    <w:p w:rsidR="00885161" w:rsidRPr="00F06915" w:rsidRDefault="00885161" w:rsidP="00AD3C1E">
      <w:pPr>
        <w:ind w:left="380"/>
      </w:pPr>
      <w:r w:rsidRPr="00F06915">
        <w:t xml:space="preserve">If a school organises a public performance of music or plays recorded music outside of the classroom setting, it would require a licence from APRA. All Government schools are covered by an APRA licence as the Department of Education in each State and Territory pays the relevant licence fees each year on behalf of their public schools. Most other schools in </w:t>
      </w:r>
      <w:smartTag w:uri="urn:schemas-microsoft-com:office:smarttags" w:element="country-region">
        <w:smartTag w:uri="urn:schemas-microsoft-com:office:smarttags" w:element="place">
          <w:r w:rsidRPr="00F06915">
            <w:t>Australia</w:t>
          </w:r>
        </w:smartTag>
      </w:smartTag>
      <w:r w:rsidRPr="00F06915">
        <w:t xml:space="preserve"> are covered through an agreement with their peak education body, but if you are not sure if your school is covered, please contact your peak education organisation to ensure that you are covered under their APRA licence.</w:t>
      </w:r>
    </w:p>
    <w:p w:rsidR="002F45D0" w:rsidRPr="00F06915" w:rsidRDefault="00885161" w:rsidP="00AD3C1E">
      <w:pPr>
        <w:ind w:left="380"/>
      </w:pPr>
      <w:r w:rsidRPr="00F06915">
        <w:t>If the teacher wanted to make copies of music for students e.g. MP3 files for them to take home for reference, this would be covered under the school</w:t>
      </w:r>
      <w:r w:rsidR="00705016">
        <w:t>’</w:t>
      </w:r>
      <w:r w:rsidRPr="00F06915">
        <w:t>s licence too, but wou</w:t>
      </w:r>
      <w:r w:rsidR="00CB038E" w:rsidRPr="00F06915">
        <w:t>ld need to be reported to APRA.</w:t>
      </w:r>
    </w:p>
    <w:sectPr w:rsidR="002F45D0" w:rsidRPr="00F06915" w:rsidSect="00C269E0">
      <w:headerReference w:type="even" r:id="rId29"/>
      <w:headerReference w:type="default" r:id="rId30"/>
      <w:footerReference w:type="even" r:id="rId31"/>
      <w:footerReference w:type="default" r:id="rId32"/>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E7" w:rsidRDefault="009736E7">
      <w:r>
        <w:separator/>
      </w:r>
    </w:p>
    <w:p w:rsidR="009736E7" w:rsidRDefault="009736E7"/>
    <w:p w:rsidR="009736E7" w:rsidRDefault="009736E7"/>
    <w:p w:rsidR="009736E7" w:rsidRDefault="009736E7"/>
    <w:p w:rsidR="009736E7" w:rsidRDefault="009736E7"/>
    <w:p w:rsidR="009736E7" w:rsidRDefault="009736E7"/>
  </w:endnote>
  <w:endnote w:type="continuationSeparator" w:id="0">
    <w:p w:rsidR="009736E7" w:rsidRDefault="009736E7">
      <w:r>
        <w:continuationSeparator/>
      </w:r>
    </w:p>
    <w:p w:rsidR="009736E7" w:rsidRDefault="009736E7"/>
    <w:p w:rsidR="009736E7" w:rsidRDefault="009736E7"/>
    <w:p w:rsidR="009736E7" w:rsidRDefault="009736E7"/>
    <w:p w:rsidR="009736E7" w:rsidRDefault="009736E7"/>
    <w:p w:rsidR="009736E7" w:rsidRDefault="0097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7C77C9" w:rsidRPr="0090603A">
      <w:trPr>
        <w:trHeight w:hRule="exact" w:val="1043"/>
      </w:trPr>
      <w:tc>
        <w:tcPr>
          <w:tcW w:w="4781" w:type="dxa"/>
          <w:tcBorders>
            <w:top w:val="nil"/>
            <w:left w:val="nil"/>
            <w:bottom w:val="nil"/>
            <w:right w:val="nil"/>
          </w:tcBorders>
          <w:vAlign w:val="bottom"/>
        </w:tcPr>
        <w:p w:rsidR="007C77C9" w:rsidRPr="0090603A" w:rsidRDefault="007C77C9" w:rsidP="000875B8">
          <w:pPr>
            <w:spacing w:before="0" w:after="0"/>
            <w:rPr>
              <w:rFonts w:ascii="Arial Narrow" w:hAnsi="Arial Narrow"/>
            </w:rPr>
          </w:pPr>
          <w:r>
            <w:fldChar w:fldCharType="begin"/>
          </w:r>
          <w:r>
            <w:instrText xml:space="preserve"> PAGE </w:instrText>
          </w:r>
          <w:r>
            <w:fldChar w:fldCharType="separate"/>
          </w:r>
          <w:r w:rsidR="00036B2D">
            <w:rPr>
              <w:noProof/>
            </w:rPr>
            <w:t>2</w:t>
          </w:r>
          <w:r>
            <w:fldChar w:fldCharType="end"/>
          </w:r>
        </w:p>
      </w:tc>
      <w:tc>
        <w:tcPr>
          <w:tcW w:w="4781" w:type="dxa"/>
          <w:tcBorders>
            <w:top w:val="nil"/>
            <w:left w:val="nil"/>
            <w:bottom w:val="nil"/>
            <w:right w:val="nil"/>
          </w:tcBorders>
          <w:vAlign w:val="bottom"/>
        </w:tcPr>
        <w:p w:rsidR="007C77C9" w:rsidRPr="0090603A" w:rsidRDefault="007C77C9" w:rsidP="000875B8">
          <w:pPr>
            <w:spacing w:before="0" w:after="0"/>
            <w:jc w:val="right"/>
            <w:rPr>
              <w:rFonts w:ascii="Arial Narrow" w:hAnsi="Arial Narrow"/>
            </w:rPr>
          </w:pPr>
        </w:p>
      </w:tc>
    </w:tr>
  </w:tbl>
  <w:p w:rsidR="007C77C9" w:rsidRDefault="007C77C9"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7C77C9" w:rsidRPr="0090603A">
      <w:trPr>
        <w:trHeight w:hRule="exact" w:val="1043"/>
        <w:jc w:val="right"/>
      </w:trPr>
      <w:tc>
        <w:tcPr>
          <w:tcW w:w="4781" w:type="dxa"/>
          <w:tcBorders>
            <w:top w:val="nil"/>
            <w:left w:val="nil"/>
            <w:bottom w:val="nil"/>
            <w:right w:val="nil"/>
          </w:tcBorders>
          <w:vAlign w:val="bottom"/>
        </w:tcPr>
        <w:p w:rsidR="007C77C9" w:rsidRPr="0090603A" w:rsidRDefault="007C77C9"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7C77C9" w:rsidRPr="0090603A" w:rsidRDefault="007C77C9"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100EDA">
            <w:rPr>
              <w:noProof/>
            </w:rPr>
            <w:t>7</w:t>
          </w:r>
          <w:r>
            <w:fldChar w:fldCharType="end"/>
          </w:r>
        </w:p>
      </w:tc>
    </w:tr>
  </w:tbl>
  <w:p w:rsidR="007C77C9" w:rsidRDefault="007C77C9" w:rsidP="000875B8">
    <w:pPr>
      <w:spacing w:before="0" w:after="0"/>
    </w:pPr>
  </w:p>
  <w:p w:rsidR="007C77C9" w:rsidRDefault="007C77C9"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C77C9" w:rsidRPr="0090603A">
      <w:trPr>
        <w:trHeight w:hRule="exact" w:val="1043"/>
        <w:jc w:val="right"/>
      </w:trPr>
      <w:tc>
        <w:tcPr>
          <w:tcW w:w="1800" w:type="dxa"/>
          <w:tcBorders>
            <w:top w:val="nil"/>
            <w:left w:val="nil"/>
            <w:bottom w:val="nil"/>
            <w:right w:val="nil"/>
          </w:tcBorders>
          <w:vAlign w:val="bottom"/>
        </w:tcPr>
        <w:p w:rsidR="007C77C9" w:rsidRPr="00FA3FE7" w:rsidRDefault="007C77C9" w:rsidP="00C85825">
          <w:pPr>
            <w:spacing w:before="0" w:after="0"/>
            <w:rPr>
              <w:rStyle w:val="Draft"/>
            </w:rPr>
          </w:pPr>
        </w:p>
      </w:tc>
      <w:tc>
        <w:tcPr>
          <w:tcW w:w="5040" w:type="dxa"/>
          <w:tcBorders>
            <w:top w:val="nil"/>
            <w:left w:val="nil"/>
            <w:bottom w:val="nil"/>
            <w:right w:val="nil"/>
          </w:tcBorders>
          <w:shd w:val="clear" w:color="auto" w:fill="auto"/>
          <w:vAlign w:val="bottom"/>
        </w:tcPr>
        <w:p w:rsidR="007C77C9" w:rsidRPr="000875B8" w:rsidRDefault="007C77C9" w:rsidP="00C85825">
          <w:pPr>
            <w:pStyle w:val="Footer"/>
            <w:framePr w:hSpace="0" w:wrap="auto" w:vAnchor="margin" w:yAlign="inline"/>
            <w:suppressOverlap w:val="0"/>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7C77C9" w:rsidRPr="0090603A" w:rsidRDefault="00036B2D"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7C77C9" w:rsidRDefault="007C77C9"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Default="007C77C9"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Default="007C77C9"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E7" w:rsidRDefault="009736E7">
      <w:r>
        <w:separator/>
      </w:r>
    </w:p>
    <w:p w:rsidR="009736E7" w:rsidRDefault="009736E7"/>
    <w:p w:rsidR="009736E7" w:rsidRDefault="009736E7"/>
    <w:p w:rsidR="009736E7" w:rsidRDefault="009736E7"/>
    <w:p w:rsidR="009736E7" w:rsidRDefault="009736E7"/>
    <w:p w:rsidR="009736E7" w:rsidRDefault="009736E7"/>
  </w:footnote>
  <w:footnote w:type="continuationSeparator" w:id="0">
    <w:p w:rsidR="009736E7" w:rsidRDefault="009736E7">
      <w:r>
        <w:continuationSeparator/>
      </w:r>
    </w:p>
    <w:p w:rsidR="009736E7" w:rsidRDefault="009736E7"/>
    <w:p w:rsidR="009736E7" w:rsidRDefault="009736E7"/>
    <w:p w:rsidR="009736E7" w:rsidRDefault="009736E7"/>
    <w:p w:rsidR="009736E7" w:rsidRDefault="009736E7"/>
    <w:p w:rsidR="009736E7" w:rsidRDefault="00973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Default="007C77C9"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Pr="00885161" w:rsidRDefault="007C77C9" w:rsidP="007A04D1">
    <w:pPr>
      <w:pStyle w:val="Headerright"/>
    </w:pPr>
    <w:r w:rsidRPr="00885161">
      <w:t xml:space="preserve">Year 8 The Arts </w:t>
    </w:r>
    <w:r>
      <w:t>—</w:t>
    </w:r>
    <w:r w:rsidRPr="00885161">
      <w:t xml:space="preserve"> Dance: Vocal </w:t>
    </w:r>
    <w:r>
      <w:t>c</w:t>
    </w:r>
    <w:r w:rsidRPr="00885161">
      <w:t>horeography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Default="00036B2D">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Pr="00FF2633" w:rsidRDefault="007C77C9" w:rsidP="00FF2633">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100EDA">
      <w:rPr>
        <w:rStyle w:val="PageNumber"/>
        <w:noProof/>
      </w:rPr>
      <w:t>B</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C9" w:rsidRPr="002F45D0" w:rsidRDefault="007C77C9"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100EDA">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8E64402"/>
    <w:multiLevelType w:val="hybridMultilevel"/>
    <w:tmpl w:val="7EB085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03B04C9"/>
    <w:multiLevelType w:val="hybridMultilevel"/>
    <w:tmpl w:val="A98AB5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70130B"/>
    <w:multiLevelType w:val="hybridMultilevel"/>
    <w:tmpl w:val="8BE201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1"/>
  </w:num>
  <w:num w:numId="3">
    <w:abstractNumId w:val="3"/>
  </w:num>
  <w:num w:numId="4">
    <w:abstractNumId w:val="11"/>
  </w:num>
  <w:num w:numId="5">
    <w:abstractNumId w:val="13"/>
  </w:num>
  <w:num w:numId="6">
    <w:abstractNumId w:val="14"/>
  </w:num>
  <w:num w:numId="7">
    <w:abstractNumId w:val="7"/>
  </w:num>
  <w:num w:numId="8">
    <w:abstractNumId w:val="2"/>
  </w:num>
  <w:num w:numId="9">
    <w:abstractNumId w:val="16"/>
  </w:num>
  <w:num w:numId="10">
    <w:abstractNumId w:val="1"/>
  </w:num>
  <w:num w:numId="11">
    <w:abstractNumId w:val="19"/>
  </w:num>
  <w:num w:numId="12">
    <w:abstractNumId w:val="17"/>
  </w:num>
  <w:num w:numId="13">
    <w:abstractNumId w:val="9"/>
  </w:num>
  <w:num w:numId="14">
    <w:abstractNumId w:val="12"/>
  </w:num>
  <w:num w:numId="15">
    <w:abstractNumId w:val="21"/>
  </w:num>
  <w:num w:numId="16">
    <w:abstractNumId w:val="0"/>
  </w:num>
  <w:num w:numId="17">
    <w:abstractNumId w:val="10"/>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1"/>
  </w:num>
  <w:num w:numId="25">
    <w:abstractNumId w:val="4"/>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5"/>
  </w:num>
  <w:num w:numId="35">
    <w:abstractNumId w:val="20"/>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61"/>
    <w:rsid w:val="000022FF"/>
    <w:rsid w:val="00003280"/>
    <w:rsid w:val="000040CE"/>
    <w:rsid w:val="000043A4"/>
    <w:rsid w:val="00007DBF"/>
    <w:rsid w:val="00010023"/>
    <w:rsid w:val="00026548"/>
    <w:rsid w:val="00036B2D"/>
    <w:rsid w:val="00036D58"/>
    <w:rsid w:val="0004134C"/>
    <w:rsid w:val="00042BF3"/>
    <w:rsid w:val="00061D89"/>
    <w:rsid w:val="000736CA"/>
    <w:rsid w:val="000825C6"/>
    <w:rsid w:val="00083BFA"/>
    <w:rsid w:val="00083EF5"/>
    <w:rsid w:val="00085CFC"/>
    <w:rsid w:val="000875B8"/>
    <w:rsid w:val="00095960"/>
    <w:rsid w:val="000A0660"/>
    <w:rsid w:val="000A1635"/>
    <w:rsid w:val="000A403A"/>
    <w:rsid w:val="000A7071"/>
    <w:rsid w:val="000C0E6D"/>
    <w:rsid w:val="000C5A0D"/>
    <w:rsid w:val="000D2039"/>
    <w:rsid w:val="000D6A12"/>
    <w:rsid w:val="000D7BBB"/>
    <w:rsid w:val="000E0E12"/>
    <w:rsid w:val="000E3AB2"/>
    <w:rsid w:val="000E71D8"/>
    <w:rsid w:val="000F0DAD"/>
    <w:rsid w:val="000F370E"/>
    <w:rsid w:val="000F52B5"/>
    <w:rsid w:val="000F5EF5"/>
    <w:rsid w:val="00100EDA"/>
    <w:rsid w:val="001019F0"/>
    <w:rsid w:val="00101CF6"/>
    <w:rsid w:val="001103BE"/>
    <w:rsid w:val="001104A5"/>
    <w:rsid w:val="00120E4C"/>
    <w:rsid w:val="00122D7F"/>
    <w:rsid w:val="00123E4E"/>
    <w:rsid w:val="001242C5"/>
    <w:rsid w:val="001247D8"/>
    <w:rsid w:val="00127A14"/>
    <w:rsid w:val="00127D7E"/>
    <w:rsid w:val="00130EFC"/>
    <w:rsid w:val="00132BC2"/>
    <w:rsid w:val="00137481"/>
    <w:rsid w:val="00140F5D"/>
    <w:rsid w:val="00152A57"/>
    <w:rsid w:val="00155056"/>
    <w:rsid w:val="001574F9"/>
    <w:rsid w:val="001627BF"/>
    <w:rsid w:val="001634B0"/>
    <w:rsid w:val="001659AA"/>
    <w:rsid w:val="00170657"/>
    <w:rsid w:val="00171A8D"/>
    <w:rsid w:val="00173489"/>
    <w:rsid w:val="0017388F"/>
    <w:rsid w:val="00173B46"/>
    <w:rsid w:val="0017557A"/>
    <w:rsid w:val="001769B4"/>
    <w:rsid w:val="001839CC"/>
    <w:rsid w:val="00184DFB"/>
    <w:rsid w:val="001862E5"/>
    <w:rsid w:val="00186CDA"/>
    <w:rsid w:val="001871B3"/>
    <w:rsid w:val="00190075"/>
    <w:rsid w:val="00190C5F"/>
    <w:rsid w:val="00191133"/>
    <w:rsid w:val="00193E81"/>
    <w:rsid w:val="001971C2"/>
    <w:rsid w:val="001C4D23"/>
    <w:rsid w:val="001C4E3A"/>
    <w:rsid w:val="001C5BD9"/>
    <w:rsid w:val="001E43BD"/>
    <w:rsid w:val="001E7CCE"/>
    <w:rsid w:val="001F0883"/>
    <w:rsid w:val="001F0901"/>
    <w:rsid w:val="00205805"/>
    <w:rsid w:val="00207534"/>
    <w:rsid w:val="00210015"/>
    <w:rsid w:val="00216C8D"/>
    <w:rsid w:val="002170E0"/>
    <w:rsid w:val="002179F6"/>
    <w:rsid w:val="00223EDA"/>
    <w:rsid w:val="002303A7"/>
    <w:rsid w:val="00232959"/>
    <w:rsid w:val="00233FC0"/>
    <w:rsid w:val="0024059B"/>
    <w:rsid w:val="0024159B"/>
    <w:rsid w:val="00241DC9"/>
    <w:rsid w:val="00242150"/>
    <w:rsid w:val="00243740"/>
    <w:rsid w:val="0024509A"/>
    <w:rsid w:val="002450D1"/>
    <w:rsid w:val="0024608E"/>
    <w:rsid w:val="002466C7"/>
    <w:rsid w:val="00253D87"/>
    <w:rsid w:val="00254350"/>
    <w:rsid w:val="002543D0"/>
    <w:rsid w:val="002634C7"/>
    <w:rsid w:val="00264F51"/>
    <w:rsid w:val="0026530A"/>
    <w:rsid w:val="00271371"/>
    <w:rsid w:val="0027322E"/>
    <w:rsid w:val="002734E6"/>
    <w:rsid w:val="00273DE2"/>
    <w:rsid w:val="00274767"/>
    <w:rsid w:val="00274EED"/>
    <w:rsid w:val="002754D9"/>
    <w:rsid w:val="00276D36"/>
    <w:rsid w:val="00284B38"/>
    <w:rsid w:val="00285176"/>
    <w:rsid w:val="002859A3"/>
    <w:rsid w:val="002862D0"/>
    <w:rsid w:val="002865DA"/>
    <w:rsid w:val="002A52DF"/>
    <w:rsid w:val="002A79B9"/>
    <w:rsid w:val="002B30EB"/>
    <w:rsid w:val="002B5BFC"/>
    <w:rsid w:val="002C0261"/>
    <w:rsid w:val="002C1299"/>
    <w:rsid w:val="002C1C04"/>
    <w:rsid w:val="002C4CB3"/>
    <w:rsid w:val="002D621B"/>
    <w:rsid w:val="002D7C5D"/>
    <w:rsid w:val="002E10FC"/>
    <w:rsid w:val="002E18AD"/>
    <w:rsid w:val="002E2F03"/>
    <w:rsid w:val="002F135D"/>
    <w:rsid w:val="002F1520"/>
    <w:rsid w:val="002F226C"/>
    <w:rsid w:val="002F3677"/>
    <w:rsid w:val="002F45D0"/>
    <w:rsid w:val="002F69A3"/>
    <w:rsid w:val="00300F05"/>
    <w:rsid w:val="00302E5C"/>
    <w:rsid w:val="00313177"/>
    <w:rsid w:val="00314E3C"/>
    <w:rsid w:val="00315D9C"/>
    <w:rsid w:val="0032073F"/>
    <w:rsid w:val="00321DA5"/>
    <w:rsid w:val="0032268E"/>
    <w:rsid w:val="00324E19"/>
    <w:rsid w:val="00326746"/>
    <w:rsid w:val="00327D43"/>
    <w:rsid w:val="00330421"/>
    <w:rsid w:val="00331E85"/>
    <w:rsid w:val="003347CE"/>
    <w:rsid w:val="0033529F"/>
    <w:rsid w:val="003549E9"/>
    <w:rsid w:val="00354B41"/>
    <w:rsid w:val="003573C7"/>
    <w:rsid w:val="00357A2A"/>
    <w:rsid w:val="00360CDA"/>
    <w:rsid w:val="00361735"/>
    <w:rsid w:val="0036290B"/>
    <w:rsid w:val="00363611"/>
    <w:rsid w:val="00364F37"/>
    <w:rsid w:val="00370B87"/>
    <w:rsid w:val="00384512"/>
    <w:rsid w:val="00386B43"/>
    <w:rsid w:val="00391A20"/>
    <w:rsid w:val="003931E0"/>
    <w:rsid w:val="0039605F"/>
    <w:rsid w:val="003A0CE3"/>
    <w:rsid w:val="003A1874"/>
    <w:rsid w:val="003B3B98"/>
    <w:rsid w:val="003C105A"/>
    <w:rsid w:val="003C1342"/>
    <w:rsid w:val="003C1DE1"/>
    <w:rsid w:val="003C302E"/>
    <w:rsid w:val="003C61E5"/>
    <w:rsid w:val="003C702A"/>
    <w:rsid w:val="003E105B"/>
    <w:rsid w:val="003E217B"/>
    <w:rsid w:val="003E33A5"/>
    <w:rsid w:val="003E500C"/>
    <w:rsid w:val="003E588D"/>
    <w:rsid w:val="003F089F"/>
    <w:rsid w:val="003F5E8A"/>
    <w:rsid w:val="00411E67"/>
    <w:rsid w:val="00416BAF"/>
    <w:rsid w:val="004172A0"/>
    <w:rsid w:val="00421645"/>
    <w:rsid w:val="00422B3F"/>
    <w:rsid w:val="00424A51"/>
    <w:rsid w:val="004316D0"/>
    <w:rsid w:val="004321DF"/>
    <w:rsid w:val="00433474"/>
    <w:rsid w:val="004423A4"/>
    <w:rsid w:val="0044582F"/>
    <w:rsid w:val="00446E92"/>
    <w:rsid w:val="004475A2"/>
    <w:rsid w:val="00453F95"/>
    <w:rsid w:val="00457A26"/>
    <w:rsid w:val="004605DF"/>
    <w:rsid w:val="004653A1"/>
    <w:rsid w:val="00474B75"/>
    <w:rsid w:val="00480A76"/>
    <w:rsid w:val="00483E6B"/>
    <w:rsid w:val="0048671D"/>
    <w:rsid w:val="00486DDE"/>
    <w:rsid w:val="004876A9"/>
    <w:rsid w:val="00491037"/>
    <w:rsid w:val="004928CF"/>
    <w:rsid w:val="00494EB0"/>
    <w:rsid w:val="00495D94"/>
    <w:rsid w:val="004A1033"/>
    <w:rsid w:val="004B2135"/>
    <w:rsid w:val="004B3FE1"/>
    <w:rsid w:val="004B57D1"/>
    <w:rsid w:val="004B69C7"/>
    <w:rsid w:val="004B7E94"/>
    <w:rsid w:val="004C3EC8"/>
    <w:rsid w:val="004D0E55"/>
    <w:rsid w:val="004E0F30"/>
    <w:rsid w:val="004F06C1"/>
    <w:rsid w:val="004F68EC"/>
    <w:rsid w:val="0050177D"/>
    <w:rsid w:val="0051005F"/>
    <w:rsid w:val="00515192"/>
    <w:rsid w:val="00516B7B"/>
    <w:rsid w:val="00526090"/>
    <w:rsid w:val="00526544"/>
    <w:rsid w:val="00526822"/>
    <w:rsid w:val="00530616"/>
    <w:rsid w:val="0053141F"/>
    <w:rsid w:val="005332AF"/>
    <w:rsid w:val="005336D0"/>
    <w:rsid w:val="00535835"/>
    <w:rsid w:val="005429DB"/>
    <w:rsid w:val="0054355A"/>
    <w:rsid w:val="005438C6"/>
    <w:rsid w:val="005446DD"/>
    <w:rsid w:val="005459CF"/>
    <w:rsid w:val="005500EE"/>
    <w:rsid w:val="00550B85"/>
    <w:rsid w:val="00551A8A"/>
    <w:rsid w:val="0055295D"/>
    <w:rsid w:val="00552AAD"/>
    <w:rsid w:val="00555205"/>
    <w:rsid w:val="005571B4"/>
    <w:rsid w:val="005610D9"/>
    <w:rsid w:val="00565216"/>
    <w:rsid w:val="00574599"/>
    <w:rsid w:val="005759C7"/>
    <w:rsid w:val="00577012"/>
    <w:rsid w:val="00577F68"/>
    <w:rsid w:val="00580877"/>
    <w:rsid w:val="00585563"/>
    <w:rsid w:val="00587379"/>
    <w:rsid w:val="005A0AA4"/>
    <w:rsid w:val="005A1C09"/>
    <w:rsid w:val="005A52BC"/>
    <w:rsid w:val="005A7039"/>
    <w:rsid w:val="005A7940"/>
    <w:rsid w:val="005A7C02"/>
    <w:rsid w:val="005B710F"/>
    <w:rsid w:val="005C19CD"/>
    <w:rsid w:val="005C207A"/>
    <w:rsid w:val="005C4D90"/>
    <w:rsid w:val="005D0C9A"/>
    <w:rsid w:val="005D29BB"/>
    <w:rsid w:val="005D4649"/>
    <w:rsid w:val="005D5C4E"/>
    <w:rsid w:val="005E138A"/>
    <w:rsid w:val="005E2304"/>
    <w:rsid w:val="005E75BE"/>
    <w:rsid w:val="005F00FC"/>
    <w:rsid w:val="005F1A13"/>
    <w:rsid w:val="005F253C"/>
    <w:rsid w:val="00604ED2"/>
    <w:rsid w:val="00605CB5"/>
    <w:rsid w:val="00612611"/>
    <w:rsid w:val="006265D5"/>
    <w:rsid w:val="0062663E"/>
    <w:rsid w:val="00635253"/>
    <w:rsid w:val="00636670"/>
    <w:rsid w:val="006432CE"/>
    <w:rsid w:val="00643803"/>
    <w:rsid w:val="0064612E"/>
    <w:rsid w:val="00646423"/>
    <w:rsid w:val="00654D08"/>
    <w:rsid w:val="00657BB0"/>
    <w:rsid w:val="00661055"/>
    <w:rsid w:val="00664FEE"/>
    <w:rsid w:val="006651E7"/>
    <w:rsid w:val="00666387"/>
    <w:rsid w:val="006732D0"/>
    <w:rsid w:val="0067452E"/>
    <w:rsid w:val="006760FA"/>
    <w:rsid w:val="00676DF3"/>
    <w:rsid w:val="006774B8"/>
    <w:rsid w:val="0068018A"/>
    <w:rsid w:val="00683EB7"/>
    <w:rsid w:val="00691536"/>
    <w:rsid w:val="006A0926"/>
    <w:rsid w:val="006A24FF"/>
    <w:rsid w:val="006A3901"/>
    <w:rsid w:val="006B383C"/>
    <w:rsid w:val="006B3EA5"/>
    <w:rsid w:val="006B6075"/>
    <w:rsid w:val="006C196E"/>
    <w:rsid w:val="006C1A10"/>
    <w:rsid w:val="006C24D1"/>
    <w:rsid w:val="006C7ECA"/>
    <w:rsid w:val="006D1DD0"/>
    <w:rsid w:val="006D394C"/>
    <w:rsid w:val="006D3F19"/>
    <w:rsid w:val="006D5672"/>
    <w:rsid w:val="006D6FB7"/>
    <w:rsid w:val="006D7994"/>
    <w:rsid w:val="006E3C63"/>
    <w:rsid w:val="006E3CD1"/>
    <w:rsid w:val="006E4BEF"/>
    <w:rsid w:val="006E59A5"/>
    <w:rsid w:val="006F03B7"/>
    <w:rsid w:val="006F543A"/>
    <w:rsid w:val="00705016"/>
    <w:rsid w:val="00710F10"/>
    <w:rsid w:val="00715381"/>
    <w:rsid w:val="0071550A"/>
    <w:rsid w:val="00720999"/>
    <w:rsid w:val="00723832"/>
    <w:rsid w:val="00727ACA"/>
    <w:rsid w:val="00727BED"/>
    <w:rsid w:val="007314A3"/>
    <w:rsid w:val="007335F1"/>
    <w:rsid w:val="007412EC"/>
    <w:rsid w:val="00745724"/>
    <w:rsid w:val="00747A3A"/>
    <w:rsid w:val="00753936"/>
    <w:rsid w:val="0075597B"/>
    <w:rsid w:val="00760E18"/>
    <w:rsid w:val="00761A6A"/>
    <w:rsid w:val="007623FB"/>
    <w:rsid w:val="00764F67"/>
    <w:rsid w:val="00770160"/>
    <w:rsid w:val="00771FC5"/>
    <w:rsid w:val="00777A32"/>
    <w:rsid w:val="00781794"/>
    <w:rsid w:val="007825B7"/>
    <w:rsid w:val="0078406C"/>
    <w:rsid w:val="007856A2"/>
    <w:rsid w:val="0079630D"/>
    <w:rsid w:val="007A04D1"/>
    <w:rsid w:val="007A17F7"/>
    <w:rsid w:val="007A1D95"/>
    <w:rsid w:val="007A43AE"/>
    <w:rsid w:val="007B2CAD"/>
    <w:rsid w:val="007C0953"/>
    <w:rsid w:val="007C17CD"/>
    <w:rsid w:val="007C2383"/>
    <w:rsid w:val="007C4A1E"/>
    <w:rsid w:val="007C77C9"/>
    <w:rsid w:val="007D2643"/>
    <w:rsid w:val="007D5D88"/>
    <w:rsid w:val="007E23C3"/>
    <w:rsid w:val="007E3A33"/>
    <w:rsid w:val="007E7600"/>
    <w:rsid w:val="007F02DC"/>
    <w:rsid w:val="007F1688"/>
    <w:rsid w:val="007F284A"/>
    <w:rsid w:val="007F3983"/>
    <w:rsid w:val="007F4428"/>
    <w:rsid w:val="007F75E1"/>
    <w:rsid w:val="00800240"/>
    <w:rsid w:val="008005A0"/>
    <w:rsid w:val="00801AAF"/>
    <w:rsid w:val="008034C1"/>
    <w:rsid w:val="008039CA"/>
    <w:rsid w:val="00806622"/>
    <w:rsid w:val="00807761"/>
    <w:rsid w:val="00810137"/>
    <w:rsid w:val="008111E2"/>
    <w:rsid w:val="0082091D"/>
    <w:rsid w:val="00834B4C"/>
    <w:rsid w:val="008416C0"/>
    <w:rsid w:val="00852BF6"/>
    <w:rsid w:val="00854A12"/>
    <w:rsid w:val="008551C7"/>
    <w:rsid w:val="00855D90"/>
    <w:rsid w:val="0085648F"/>
    <w:rsid w:val="0085683B"/>
    <w:rsid w:val="00861FF7"/>
    <w:rsid w:val="0087211E"/>
    <w:rsid w:val="00872798"/>
    <w:rsid w:val="0087318E"/>
    <w:rsid w:val="00874902"/>
    <w:rsid w:val="0087682A"/>
    <w:rsid w:val="00876869"/>
    <w:rsid w:val="0087711E"/>
    <w:rsid w:val="00885161"/>
    <w:rsid w:val="00886C72"/>
    <w:rsid w:val="00886F0C"/>
    <w:rsid w:val="00890972"/>
    <w:rsid w:val="0089203C"/>
    <w:rsid w:val="008930E2"/>
    <w:rsid w:val="00894979"/>
    <w:rsid w:val="008A0612"/>
    <w:rsid w:val="008A37E1"/>
    <w:rsid w:val="008A6C51"/>
    <w:rsid w:val="008A6EB3"/>
    <w:rsid w:val="008B2668"/>
    <w:rsid w:val="008B58C8"/>
    <w:rsid w:val="008B6F6F"/>
    <w:rsid w:val="008C2C52"/>
    <w:rsid w:val="008C4341"/>
    <w:rsid w:val="008C550A"/>
    <w:rsid w:val="008C6405"/>
    <w:rsid w:val="008D2B45"/>
    <w:rsid w:val="008E1BD2"/>
    <w:rsid w:val="008E4866"/>
    <w:rsid w:val="008F12FE"/>
    <w:rsid w:val="008F1AA2"/>
    <w:rsid w:val="008F3048"/>
    <w:rsid w:val="008F4790"/>
    <w:rsid w:val="008F4B4C"/>
    <w:rsid w:val="008F6176"/>
    <w:rsid w:val="008F70A1"/>
    <w:rsid w:val="008F7502"/>
    <w:rsid w:val="00900DA6"/>
    <w:rsid w:val="00902DE5"/>
    <w:rsid w:val="00904640"/>
    <w:rsid w:val="00910369"/>
    <w:rsid w:val="0091354C"/>
    <w:rsid w:val="009146FA"/>
    <w:rsid w:val="0092016E"/>
    <w:rsid w:val="00920A1A"/>
    <w:rsid w:val="009239B7"/>
    <w:rsid w:val="00926820"/>
    <w:rsid w:val="0092782A"/>
    <w:rsid w:val="00931054"/>
    <w:rsid w:val="00932B1D"/>
    <w:rsid w:val="009330FF"/>
    <w:rsid w:val="00934842"/>
    <w:rsid w:val="00934DA2"/>
    <w:rsid w:val="00943157"/>
    <w:rsid w:val="00943DC9"/>
    <w:rsid w:val="00946FB9"/>
    <w:rsid w:val="00955809"/>
    <w:rsid w:val="009611E2"/>
    <w:rsid w:val="00961B9F"/>
    <w:rsid w:val="00962A1C"/>
    <w:rsid w:val="0096366F"/>
    <w:rsid w:val="00964264"/>
    <w:rsid w:val="009642F8"/>
    <w:rsid w:val="0097215D"/>
    <w:rsid w:val="00972963"/>
    <w:rsid w:val="009736E7"/>
    <w:rsid w:val="009738DE"/>
    <w:rsid w:val="00974228"/>
    <w:rsid w:val="0098016C"/>
    <w:rsid w:val="009814CC"/>
    <w:rsid w:val="00986690"/>
    <w:rsid w:val="00987A0A"/>
    <w:rsid w:val="009935D7"/>
    <w:rsid w:val="009954C9"/>
    <w:rsid w:val="009A1A6E"/>
    <w:rsid w:val="009B7248"/>
    <w:rsid w:val="009C02F6"/>
    <w:rsid w:val="009C2FE1"/>
    <w:rsid w:val="009C3444"/>
    <w:rsid w:val="009D0612"/>
    <w:rsid w:val="009D15AA"/>
    <w:rsid w:val="009D15D5"/>
    <w:rsid w:val="009D4900"/>
    <w:rsid w:val="009E0AEE"/>
    <w:rsid w:val="009E1352"/>
    <w:rsid w:val="009E56E3"/>
    <w:rsid w:val="009E5A28"/>
    <w:rsid w:val="009F0A5B"/>
    <w:rsid w:val="009F14D9"/>
    <w:rsid w:val="009F1EAE"/>
    <w:rsid w:val="009F4C61"/>
    <w:rsid w:val="00A004E1"/>
    <w:rsid w:val="00A05F30"/>
    <w:rsid w:val="00A1340E"/>
    <w:rsid w:val="00A138DA"/>
    <w:rsid w:val="00A14EA8"/>
    <w:rsid w:val="00A3071F"/>
    <w:rsid w:val="00A30C8E"/>
    <w:rsid w:val="00A326AC"/>
    <w:rsid w:val="00A3309D"/>
    <w:rsid w:val="00A33417"/>
    <w:rsid w:val="00A37F97"/>
    <w:rsid w:val="00A439A4"/>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924"/>
    <w:rsid w:val="00AB7501"/>
    <w:rsid w:val="00AB7681"/>
    <w:rsid w:val="00AC154F"/>
    <w:rsid w:val="00AC2059"/>
    <w:rsid w:val="00AC3675"/>
    <w:rsid w:val="00AC4581"/>
    <w:rsid w:val="00AC6F7A"/>
    <w:rsid w:val="00AD2DE5"/>
    <w:rsid w:val="00AD34F1"/>
    <w:rsid w:val="00AD3C1E"/>
    <w:rsid w:val="00AD547B"/>
    <w:rsid w:val="00AD709F"/>
    <w:rsid w:val="00AD7BF7"/>
    <w:rsid w:val="00AE1FEC"/>
    <w:rsid w:val="00AE364B"/>
    <w:rsid w:val="00AE4DC8"/>
    <w:rsid w:val="00AE67F3"/>
    <w:rsid w:val="00AE766C"/>
    <w:rsid w:val="00AE79A1"/>
    <w:rsid w:val="00AF079D"/>
    <w:rsid w:val="00AF5ABE"/>
    <w:rsid w:val="00B03C83"/>
    <w:rsid w:val="00B04EF1"/>
    <w:rsid w:val="00B0620A"/>
    <w:rsid w:val="00B07D01"/>
    <w:rsid w:val="00B07D15"/>
    <w:rsid w:val="00B13E44"/>
    <w:rsid w:val="00B1553B"/>
    <w:rsid w:val="00B15D35"/>
    <w:rsid w:val="00B207F1"/>
    <w:rsid w:val="00B20A68"/>
    <w:rsid w:val="00B21C92"/>
    <w:rsid w:val="00B25C0D"/>
    <w:rsid w:val="00B27069"/>
    <w:rsid w:val="00B339DD"/>
    <w:rsid w:val="00B34371"/>
    <w:rsid w:val="00B34779"/>
    <w:rsid w:val="00B429CB"/>
    <w:rsid w:val="00B52BB3"/>
    <w:rsid w:val="00B578F3"/>
    <w:rsid w:val="00B63195"/>
    <w:rsid w:val="00B63703"/>
    <w:rsid w:val="00B63DA9"/>
    <w:rsid w:val="00B74071"/>
    <w:rsid w:val="00B7507E"/>
    <w:rsid w:val="00B82E85"/>
    <w:rsid w:val="00B85FF2"/>
    <w:rsid w:val="00B87B9F"/>
    <w:rsid w:val="00B910EC"/>
    <w:rsid w:val="00B954C1"/>
    <w:rsid w:val="00B9722E"/>
    <w:rsid w:val="00BA2970"/>
    <w:rsid w:val="00BA2CB6"/>
    <w:rsid w:val="00BA3968"/>
    <w:rsid w:val="00BC0903"/>
    <w:rsid w:val="00BC0FC1"/>
    <w:rsid w:val="00BC3009"/>
    <w:rsid w:val="00BC58D9"/>
    <w:rsid w:val="00BC7D49"/>
    <w:rsid w:val="00BC7DDE"/>
    <w:rsid w:val="00BD0732"/>
    <w:rsid w:val="00BD2618"/>
    <w:rsid w:val="00BD47BB"/>
    <w:rsid w:val="00BD6C92"/>
    <w:rsid w:val="00BE51F9"/>
    <w:rsid w:val="00BE57E2"/>
    <w:rsid w:val="00BE70B3"/>
    <w:rsid w:val="00BF1AEA"/>
    <w:rsid w:val="00BF314E"/>
    <w:rsid w:val="00BF5C32"/>
    <w:rsid w:val="00BF6FFA"/>
    <w:rsid w:val="00C00CCD"/>
    <w:rsid w:val="00C02529"/>
    <w:rsid w:val="00C040DF"/>
    <w:rsid w:val="00C0441E"/>
    <w:rsid w:val="00C06C0C"/>
    <w:rsid w:val="00C10E44"/>
    <w:rsid w:val="00C11486"/>
    <w:rsid w:val="00C115C4"/>
    <w:rsid w:val="00C121F1"/>
    <w:rsid w:val="00C23AF2"/>
    <w:rsid w:val="00C269E0"/>
    <w:rsid w:val="00C3021B"/>
    <w:rsid w:val="00C320C7"/>
    <w:rsid w:val="00C34701"/>
    <w:rsid w:val="00C360D5"/>
    <w:rsid w:val="00C36344"/>
    <w:rsid w:val="00C400C7"/>
    <w:rsid w:val="00C42C54"/>
    <w:rsid w:val="00C52A76"/>
    <w:rsid w:val="00C53E99"/>
    <w:rsid w:val="00C55404"/>
    <w:rsid w:val="00C557B7"/>
    <w:rsid w:val="00C6009E"/>
    <w:rsid w:val="00C61C2F"/>
    <w:rsid w:val="00C740A4"/>
    <w:rsid w:val="00C74303"/>
    <w:rsid w:val="00C85825"/>
    <w:rsid w:val="00C875B3"/>
    <w:rsid w:val="00C9177D"/>
    <w:rsid w:val="00C946AF"/>
    <w:rsid w:val="00C9682B"/>
    <w:rsid w:val="00CA27BC"/>
    <w:rsid w:val="00CA2B94"/>
    <w:rsid w:val="00CA5CD9"/>
    <w:rsid w:val="00CB038E"/>
    <w:rsid w:val="00CB63B6"/>
    <w:rsid w:val="00CC1EED"/>
    <w:rsid w:val="00CC247C"/>
    <w:rsid w:val="00CD0037"/>
    <w:rsid w:val="00CD0397"/>
    <w:rsid w:val="00CD5F98"/>
    <w:rsid w:val="00CE11B0"/>
    <w:rsid w:val="00CE1AFF"/>
    <w:rsid w:val="00CE1E8A"/>
    <w:rsid w:val="00CE34DF"/>
    <w:rsid w:val="00CE4055"/>
    <w:rsid w:val="00CF1A05"/>
    <w:rsid w:val="00CF41D8"/>
    <w:rsid w:val="00CF5C48"/>
    <w:rsid w:val="00CF71B1"/>
    <w:rsid w:val="00D00E39"/>
    <w:rsid w:val="00D013A3"/>
    <w:rsid w:val="00D02C70"/>
    <w:rsid w:val="00D0400B"/>
    <w:rsid w:val="00D05C0E"/>
    <w:rsid w:val="00D077C1"/>
    <w:rsid w:val="00D10209"/>
    <w:rsid w:val="00D11B98"/>
    <w:rsid w:val="00D12972"/>
    <w:rsid w:val="00D13657"/>
    <w:rsid w:val="00D16616"/>
    <w:rsid w:val="00D25A86"/>
    <w:rsid w:val="00D32A2C"/>
    <w:rsid w:val="00D34D03"/>
    <w:rsid w:val="00D43526"/>
    <w:rsid w:val="00D43BC1"/>
    <w:rsid w:val="00D442BF"/>
    <w:rsid w:val="00D51F1F"/>
    <w:rsid w:val="00D52EC3"/>
    <w:rsid w:val="00D566E3"/>
    <w:rsid w:val="00D56D88"/>
    <w:rsid w:val="00D57E32"/>
    <w:rsid w:val="00D66A63"/>
    <w:rsid w:val="00D71223"/>
    <w:rsid w:val="00D82FD6"/>
    <w:rsid w:val="00D84B6E"/>
    <w:rsid w:val="00D85E66"/>
    <w:rsid w:val="00DA1D85"/>
    <w:rsid w:val="00DA3D32"/>
    <w:rsid w:val="00DA483D"/>
    <w:rsid w:val="00DA60AF"/>
    <w:rsid w:val="00DA612D"/>
    <w:rsid w:val="00DB0CB9"/>
    <w:rsid w:val="00DC16A2"/>
    <w:rsid w:val="00DC597F"/>
    <w:rsid w:val="00DC7626"/>
    <w:rsid w:val="00DC7DB5"/>
    <w:rsid w:val="00DD52A4"/>
    <w:rsid w:val="00DD6F88"/>
    <w:rsid w:val="00DF337F"/>
    <w:rsid w:val="00DF4AC2"/>
    <w:rsid w:val="00DF6B37"/>
    <w:rsid w:val="00E002DD"/>
    <w:rsid w:val="00E00B81"/>
    <w:rsid w:val="00E060B6"/>
    <w:rsid w:val="00E0662E"/>
    <w:rsid w:val="00E071D9"/>
    <w:rsid w:val="00E07785"/>
    <w:rsid w:val="00E14E07"/>
    <w:rsid w:val="00E2058B"/>
    <w:rsid w:val="00E221B2"/>
    <w:rsid w:val="00E226E1"/>
    <w:rsid w:val="00E300AA"/>
    <w:rsid w:val="00E33BF2"/>
    <w:rsid w:val="00E503E5"/>
    <w:rsid w:val="00E51F63"/>
    <w:rsid w:val="00E53A4A"/>
    <w:rsid w:val="00E53A66"/>
    <w:rsid w:val="00E53F6C"/>
    <w:rsid w:val="00E57A08"/>
    <w:rsid w:val="00E6385B"/>
    <w:rsid w:val="00E668A0"/>
    <w:rsid w:val="00E7289C"/>
    <w:rsid w:val="00E72FAF"/>
    <w:rsid w:val="00E739D3"/>
    <w:rsid w:val="00E74CD8"/>
    <w:rsid w:val="00E76846"/>
    <w:rsid w:val="00E86081"/>
    <w:rsid w:val="00E908C7"/>
    <w:rsid w:val="00E91D82"/>
    <w:rsid w:val="00E9276F"/>
    <w:rsid w:val="00EA2D4B"/>
    <w:rsid w:val="00EA2FC8"/>
    <w:rsid w:val="00EA6839"/>
    <w:rsid w:val="00EA6C2B"/>
    <w:rsid w:val="00EB13DA"/>
    <w:rsid w:val="00EB41A9"/>
    <w:rsid w:val="00EB79CB"/>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6915"/>
    <w:rsid w:val="00F07104"/>
    <w:rsid w:val="00F1101B"/>
    <w:rsid w:val="00F125B0"/>
    <w:rsid w:val="00F1768D"/>
    <w:rsid w:val="00F17F55"/>
    <w:rsid w:val="00F20BF1"/>
    <w:rsid w:val="00F22F83"/>
    <w:rsid w:val="00F26AC6"/>
    <w:rsid w:val="00F27946"/>
    <w:rsid w:val="00F3010A"/>
    <w:rsid w:val="00F3032B"/>
    <w:rsid w:val="00F33D66"/>
    <w:rsid w:val="00F35704"/>
    <w:rsid w:val="00F4324A"/>
    <w:rsid w:val="00F446C1"/>
    <w:rsid w:val="00F51B4E"/>
    <w:rsid w:val="00F52581"/>
    <w:rsid w:val="00F52C39"/>
    <w:rsid w:val="00F536F4"/>
    <w:rsid w:val="00F632C1"/>
    <w:rsid w:val="00F6444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2518"/>
    <w:rsid w:val="00FB3A7A"/>
    <w:rsid w:val="00FB6997"/>
    <w:rsid w:val="00FB7803"/>
    <w:rsid w:val="00FC5837"/>
    <w:rsid w:val="00FD18B3"/>
    <w:rsid w:val="00FD1C29"/>
    <w:rsid w:val="00FE1EAE"/>
    <w:rsid w:val="00FE258B"/>
    <w:rsid w:val="00FE2B0C"/>
    <w:rsid w:val="00FF1383"/>
    <w:rsid w:val="00FF1AE6"/>
    <w:rsid w:val="00FF2633"/>
    <w:rsid w:val="00FF2A25"/>
    <w:rsid w:val="00FF4E60"/>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1"/>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link w:val="Bulletslevel2Char"/>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Bulletslevel2Char">
    <w:name w:val="Bullets level 2 Char"/>
    <w:link w:val="Bulletslevel2"/>
    <w:rsid w:val="00885161"/>
    <w:rPr>
      <w:rFonts w:ascii="Arial" w:hAnsi="Arial"/>
      <w:sz w:val="22"/>
      <w:szCs w:val="24"/>
      <w:lang w:val="en-AU" w:eastAsia="en-AU" w:bidi="ar-SA"/>
    </w:rPr>
  </w:style>
  <w:style w:type="character" w:customStyle="1" w:styleId="Heading2Char1">
    <w:name w:val="Heading 2 Char1"/>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link w:val="Heading2intableChar"/>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FootnoteText">
    <w:name w:val="footnote text"/>
    <w:basedOn w:val="Normal"/>
    <w:semiHidden/>
    <w:rsid w:val="00885161"/>
    <w:pPr>
      <w:widowControl w:val="0"/>
      <w:spacing w:after="0" w:line="240" w:lineRule="auto"/>
    </w:pPr>
    <w:rPr>
      <w:sz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FootnoteReference">
    <w:name w:val="footnote reference"/>
    <w:semiHidden/>
    <w:rsid w:val="00885161"/>
    <w:rPr>
      <w:vertAlign w:val="superscript"/>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TOPChar">
    <w:name w:val="Heading 2 TOP Char"/>
    <w:basedOn w:val="Heading2Char1"/>
    <w:link w:val="Heading2TOP"/>
    <w:rsid w:val="004B3FE1"/>
    <w:rPr>
      <w:rFonts w:ascii="Arial" w:hAnsi="Arial" w:cs="Arial"/>
      <w:b/>
      <w:bCs/>
      <w:i/>
      <w:iCs/>
      <w:sz w:val="28"/>
      <w:szCs w:val="28"/>
      <w:lang w:val="en-AU" w:eastAsia="en-AU" w:bidi="ar-SA"/>
    </w:rPr>
  </w:style>
  <w:style w:type="character" w:customStyle="1" w:styleId="Heading2intableChar">
    <w:name w:val="Heading 2 in table Char"/>
    <w:link w:val="Heading2intable"/>
    <w:rsid w:val="004B3FE1"/>
    <w:rPr>
      <w:rFonts w:ascii="Arial" w:hAnsi="Arial" w:cs="Arial"/>
      <w:b/>
      <w:bCs/>
      <w:i/>
      <w:iCs/>
      <w:sz w:val="28"/>
      <w:szCs w:val="28"/>
      <w:lang w:val="en-AU" w:eastAsia="en-AU" w:bidi="ar-SA"/>
    </w:rPr>
  </w:style>
  <w:style w:type="character" w:styleId="CommentReference">
    <w:name w:val="annotation reference"/>
    <w:semiHidden/>
    <w:rsid w:val="00974228"/>
    <w:rPr>
      <w:sz w:val="16"/>
      <w:szCs w:val="16"/>
    </w:rPr>
  </w:style>
  <w:style w:type="paragraph" w:styleId="CommentText">
    <w:name w:val="annotation text"/>
    <w:basedOn w:val="Normal"/>
    <w:semiHidden/>
    <w:rsid w:val="00974228"/>
    <w:rPr>
      <w:sz w:val="20"/>
      <w:szCs w:val="20"/>
    </w:rPr>
  </w:style>
  <w:style w:type="paragraph" w:styleId="CommentSubject">
    <w:name w:val="annotation subject"/>
    <w:basedOn w:val="CommentText"/>
    <w:next w:val="CommentText"/>
    <w:semiHidden/>
    <w:rsid w:val="00974228"/>
    <w:rPr>
      <w:b/>
      <w:bCs/>
    </w:rPr>
  </w:style>
  <w:style w:type="character" w:styleId="FollowedHyperlink">
    <w:name w:val="FollowedHyperlink"/>
    <w:rsid w:val="00313177"/>
    <w:rPr>
      <w:color w:val="606420"/>
      <w:u w:val="single"/>
    </w:rPr>
  </w:style>
  <w:style w:type="character" w:customStyle="1" w:styleId="Heading2Char">
    <w:name w:val="Heading 2 Char"/>
    <w:rsid w:val="00BE51F9"/>
    <w:rPr>
      <w:rFonts w:ascii="Arial" w:hAnsi="Arial" w:cs="Arial"/>
      <w:b/>
      <w:bCs/>
      <w:i/>
      <w:iCs/>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1"/>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link w:val="Bulletslevel2Char"/>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Bulletslevel2Char">
    <w:name w:val="Bullets level 2 Char"/>
    <w:link w:val="Bulletslevel2"/>
    <w:rsid w:val="00885161"/>
    <w:rPr>
      <w:rFonts w:ascii="Arial" w:hAnsi="Arial"/>
      <w:sz w:val="22"/>
      <w:szCs w:val="24"/>
      <w:lang w:val="en-AU" w:eastAsia="en-AU" w:bidi="ar-SA"/>
    </w:rPr>
  </w:style>
  <w:style w:type="character" w:customStyle="1" w:styleId="Heading2Char1">
    <w:name w:val="Heading 2 Char1"/>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link w:val="Heading2intableChar"/>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FootnoteText">
    <w:name w:val="footnote text"/>
    <w:basedOn w:val="Normal"/>
    <w:semiHidden/>
    <w:rsid w:val="00885161"/>
    <w:pPr>
      <w:widowControl w:val="0"/>
      <w:spacing w:after="0" w:line="240" w:lineRule="auto"/>
    </w:pPr>
    <w:rPr>
      <w:sz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styleId="FootnoteReference">
    <w:name w:val="footnote reference"/>
    <w:semiHidden/>
    <w:rsid w:val="00885161"/>
    <w:rPr>
      <w:vertAlign w:val="superscript"/>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TOPChar">
    <w:name w:val="Heading 2 TOP Char"/>
    <w:basedOn w:val="Heading2Char1"/>
    <w:link w:val="Heading2TOP"/>
    <w:rsid w:val="004B3FE1"/>
    <w:rPr>
      <w:rFonts w:ascii="Arial" w:hAnsi="Arial" w:cs="Arial"/>
      <w:b/>
      <w:bCs/>
      <w:i/>
      <w:iCs/>
      <w:sz w:val="28"/>
      <w:szCs w:val="28"/>
      <w:lang w:val="en-AU" w:eastAsia="en-AU" w:bidi="ar-SA"/>
    </w:rPr>
  </w:style>
  <w:style w:type="character" w:customStyle="1" w:styleId="Heading2intableChar">
    <w:name w:val="Heading 2 in table Char"/>
    <w:link w:val="Heading2intable"/>
    <w:rsid w:val="004B3FE1"/>
    <w:rPr>
      <w:rFonts w:ascii="Arial" w:hAnsi="Arial" w:cs="Arial"/>
      <w:b/>
      <w:bCs/>
      <w:i/>
      <w:iCs/>
      <w:sz w:val="28"/>
      <w:szCs w:val="28"/>
      <w:lang w:val="en-AU" w:eastAsia="en-AU" w:bidi="ar-SA"/>
    </w:rPr>
  </w:style>
  <w:style w:type="character" w:styleId="CommentReference">
    <w:name w:val="annotation reference"/>
    <w:semiHidden/>
    <w:rsid w:val="00974228"/>
    <w:rPr>
      <w:sz w:val="16"/>
      <w:szCs w:val="16"/>
    </w:rPr>
  </w:style>
  <w:style w:type="paragraph" w:styleId="CommentText">
    <w:name w:val="annotation text"/>
    <w:basedOn w:val="Normal"/>
    <w:semiHidden/>
    <w:rsid w:val="00974228"/>
    <w:rPr>
      <w:sz w:val="20"/>
      <w:szCs w:val="20"/>
    </w:rPr>
  </w:style>
  <w:style w:type="paragraph" w:styleId="CommentSubject">
    <w:name w:val="annotation subject"/>
    <w:basedOn w:val="CommentText"/>
    <w:next w:val="CommentText"/>
    <w:semiHidden/>
    <w:rsid w:val="00974228"/>
    <w:rPr>
      <w:b/>
      <w:bCs/>
    </w:rPr>
  </w:style>
  <w:style w:type="character" w:styleId="FollowedHyperlink">
    <w:name w:val="FollowedHyperlink"/>
    <w:rsid w:val="00313177"/>
    <w:rPr>
      <w:color w:val="606420"/>
      <w:u w:val="single"/>
    </w:rPr>
  </w:style>
  <w:style w:type="character" w:customStyle="1" w:styleId="Heading2Char">
    <w:name w:val="Heading 2 Char"/>
    <w:rsid w:val="00BE51F9"/>
    <w:rPr>
      <w:rFonts w:ascii="Arial" w:hAnsi="Arial" w:cs="Arial"/>
      <w:b/>
      <w:bCs/>
      <w:i/>
      <w:iCs/>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apeservices.sa.edu.au"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Girl_band" TargetMode="External"/><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en.wikipedia.org/wiki/Boy_band" TargetMode="External"/><Relationship Id="rId23" Type="http://schemas.openxmlformats.org/officeDocument/2006/relationships/header" Target="header2.xml"/><Relationship Id="rId28" Type="http://schemas.openxmlformats.org/officeDocument/2006/relationships/hyperlink" Target="http://www.cde.ca.gov/be/st/ss/daglossary.as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05134-81D5-440C-BAE6-B36124AB4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1DC54A-0413-4B62-875A-D598D98A5713}">
  <ds:schemaRefs>
    <ds:schemaRef ds:uri="http://schemas.microsoft.com/sharepoint/v3/contenttype/forms"/>
  </ds:schemaRefs>
</ds:datastoreItem>
</file>

<file path=customXml/itemProps3.xml><?xml version="1.0" encoding="utf-8"?>
<ds:datastoreItem xmlns:ds="http://schemas.openxmlformats.org/officeDocument/2006/customXml" ds:itemID="{01F50B94-7EAF-4AD9-923A-B9E1440D81BC}">
  <ds:schemaRefs>
    <ds:schemaRef ds:uri="http://schemas.microsoft.com/office/2006/metadata/longProperties"/>
  </ds:schemaRefs>
</ds:datastoreItem>
</file>

<file path=customXml/itemProps4.xml><?xml version="1.0" encoding="utf-8"?>
<ds:datastoreItem xmlns:ds="http://schemas.openxmlformats.org/officeDocument/2006/customXml" ds:itemID="{B5B6F5AD-5A72-4AA7-A1CA-B227F4C49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Template_v5.dot</Template>
  <TotalTime>0</TotalTime>
  <Pages>3</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Year 8 The Arts – Dance assessment teacher guidelines | Vocal choreography |Queensland Essential Learnings and Standards</vt:lpstr>
    </vt:vector>
  </TitlesOfParts>
  <Company>QSA</Company>
  <LinksUpToDate>false</LinksUpToDate>
  <CharactersWithSpaces>15159</CharactersWithSpaces>
  <SharedDoc>false</SharedDoc>
  <HLinks>
    <vt:vector size="24" baseType="variant">
      <vt:variant>
        <vt:i4>5898248</vt:i4>
      </vt:variant>
      <vt:variant>
        <vt:i4>9</vt:i4>
      </vt:variant>
      <vt:variant>
        <vt:i4>0</vt:i4>
      </vt:variant>
      <vt:variant>
        <vt:i4>5</vt:i4>
      </vt:variant>
      <vt:variant>
        <vt:lpwstr>http://www.cde.ca.gov/be/st/ss/daglossary.asp</vt:lpwstr>
      </vt:variant>
      <vt:variant>
        <vt:lpwstr/>
      </vt:variant>
      <vt:variant>
        <vt:i4>3342389</vt:i4>
      </vt:variant>
      <vt:variant>
        <vt:i4>6</vt:i4>
      </vt:variant>
      <vt:variant>
        <vt:i4>0</vt:i4>
      </vt:variant>
      <vt:variant>
        <vt:i4>5</vt:i4>
      </vt:variant>
      <vt:variant>
        <vt:lpwstr>http://www.tapeservices.sa.edu.au/</vt:lpwstr>
      </vt:variant>
      <vt:variant>
        <vt:lpwstr/>
      </vt:variant>
      <vt:variant>
        <vt:i4>5242940</vt:i4>
      </vt:variant>
      <vt:variant>
        <vt:i4>3</vt:i4>
      </vt:variant>
      <vt:variant>
        <vt:i4>0</vt:i4>
      </vt:variant>
      <vt:variant>
        <vt:i4>5</vt:i4>
      </vt:variant>
      <vt:variant>
        <vt:lpwstr>http://en.wikipedia.org/wiki/Girl_band</vt:lpwstr>
      </vt:variant>
      <vt:variant>
        <vt:lpwstr/>
      </vt:variant>
      <vt:variant>
        <vt:i4>524388</vt:i4>
      </vt:variant>
      <vt:variant>
        <vt:i4>0</vt:i4>
      </vt:variant>
      <vt:variant>
        <vt:i4>0</vt:i4>
      </vt:variant>
      <vt:variant>
        <vt:i4>5</vt:i4>
      </vt:variant>
      <vt:variant>
        <vt:lpwstr>http://en.wikipedia.org/wiki/Boy_band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The Arts - Dance assessment teacher guidelines | Vocal choreography |Queensland Essential Learnings and Standards</dc:title>
  <dc:subject/>
  <dc:creator>Queensland Studies Authority</dc:creator>
  <cp:keywords/>
  <dc:description>Students choreograph and perform a vocal sequence for a song, including program notes to support their dance work.</dc:description>
  <cp:lastModifiedBy>QSA</cp:lastModifiedBy>
  <cp:revision>2</cp:revision>
  <cp:lastPrinted>2007-11-30T05:27:00Z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Template V4</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