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3F7292" w:rsidP="00BC58D9">
      <w:pPr>
        <w:pStyle w:val="CoverTitle"/>
      </w:pPr>
      <w:bookmarkStart w:id="0" w:name="_GoBack"/>
      <w:bookmarkEnd w:id="0"/>
      <w:r>
        <w:t>Soundscapes</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3F7292">
              <w:t>5</w:t>
            </w:r>
          </w:p>
        </w:tc>
        <w:tc>
          <w:tcPr>
            <w:tcW w:w="6396" w:type="dxa"/>
            <w:shd w:val="clear" w:color="auto" w:fill="E3DEE8"/>
            <w:tcMar>
              <w:top w:w="113" w:type="dxa"/>
              <w:left w:w="113" w:type="dxa"/>
              <w:bottom w:w="113" w:type="dxa"/>
              <w:right w:w="113" w:type="dxa"/>
            </w:tcMar>
            <w:vAlign w:val="center"/>
          </w:tcPr>
          <w:p w:rsidR="00321DA5" w:rsidRDefault="003F7292" w:rsidP="002F4C51">
            <w:pPr>
              <w:pStyle w:val="CoverYearKLAName"/>
              <w:spacing w:after="0"/>
            </w:pPr>
            <w:r>
              <w:t>The Arts — Music</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3F7292" w:rsidP="00CD0037">
            <w:pPr>
              <w:pStyle w:val="CoverOverview"/>
            </w:pPr>
            <w:r w:rsidRPr="007D0192">
              <w:t>Students create and perform a soundscape to tell a sound story about a particular event or environment.</w:t>
            </w:r>
          </w:p>
        </w:tc>
      </w:tr>
      <w:tr w:rsidR="003F7292">
        <w:tc>
          <w:tcPr>
            <w:tcW w:w="1874" w:type="dxa"/>
            <w:tcBorders>
              <w:top w:val="single" w:sz="12" w:space="0" w:color="E3DEE8"/>
              <w:bottom w:val="single" w:sz="12" w:space="0" w:color="E3DEE8"/>
            </w:tcBorders>
            <w:tcMar>
              <w:top w:w="113" w:type="dxa"/>
              <w:left w:w="113" w:type="dxa"/>
              <w:bottom w:w="113" w:type="dxa"/>
              <w:right w:w="113" w:type="dxa"/>
            </w:tcMar>
          </w:tcPr>
          <w:p w:rsidR="003F7292" w:rsidRPr="009D15D5" w:rsidRDefault="003F7292" w:rsidP="003F72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F7292" w:rsidRPr="007D0192" w:rsidRDefault="003F7292" w:rsidP="008A0810">
            <w:r w:rsidRPr="007D0192">
              <w:t>9 weeks</w:t>
            </w:r>
          </w:p>
        </w:tc>
      </w:tr>
      <w:tr w:rsidR="003F7292">
        <w:tc>
          <w:tcPr>
            <w:tcW w:w="1874" w:type="dxa"/>
            <w:tcBorders>
              <w:top w:val="single" w:sz="12" w:space="0" w:color="E3DEE8"/>
              <w:bottom w:val="single" w:sz="12" w:space="0" w:color="E3DEE8"/>
            </w:tcBorders>
            <w:tcMar>
              <w:top w:w="113" w:type="dxa"/>
              <w:left w:w="113" w:type="dxa"/>
              <w:bottom w:w="113" w:type="dxa"/>
              <w:right w:w="113" w:type="dxa"/>
            </w:tcMar>
          </w:tcPr>
          <w:p w:rsidR="003F7292" w:rsidRPr="009D15D5" w:rsidRDefault="003F7292" w:rsidP="003F7292">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F7292" w:rsidRPr="007D0192" w:rsidRDefault="003F7292" w:rsidP="008A0810">
            <w:r w:rsidRPr="007D0192">
              <w:t>Students work in group</w:t>
            </w:r>
            <w:r w:rsidR="001A43D9">
              <w:t>s</w:t>
            </w:r>
            <w:r w:rsidRPr="007D0192">
              <w:t xml:space="preserve"> of 3</w:t>
            </w:r>
            <w:r w:rsidR="001A43D9">
              <w:t>–</w:t>
            </w:r>
            <w:r w:rsidRPr="007D0192">
              <w:t>4</w:t>
            </w:r>
          </w:p>
          <w:p w:rsidR="003F7292" w:rsidRPr="007D0192" w:rsidRDefault="003F7292" w:rsidP="008A0810">
            <w:r w:rsidRPr="007D0192">
              <w:t xml:space="preserve">All group members need to contribute to all sections of the assessment and complete their own </w:t>
            </w:r>
            <w:r w:rsidR="001A43D9">
              <w:rPr>
                <w:i/>
              </w:rPr>
              <w:t>S</w:t>
            </w:r>
            <w:r w:rsidRPr="001A43D9">
              <w:rPr>
                <w:i/>
              </w:rPr>
              <w:t>tudent booklet</w:t>
            </w:r>
            <w:r w:rsidRPr="007D0192">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3F7292" w:rsidP="00CD0037">
            <w:r w:rsidRPr="007D0192">
              <w:t xml:space="preserve">A soundscape is a combination of sounds used to create a musical story or </w:t>
            </w:r>
            <w:r>
              <w:t>“</w:t>
            </w:r>
            <w:r w:rsidRPr="007D0192">
              <w:t>landscape</w:t>
            </w:r>
            <w:r>
              <w:t>”</w:t>
            </w:r>
            <w:r w:rsidRPr="007D0192">
              <w:t>. This assessment allows students to experiment with a variety of sound sources as potential musical instruments</w:t>
            </w:r>
            <w:r w:rsidR="008B5C8A">
              <w:t>,</w:t>
            </w:r>
            <w:r w:rsidRPr="007D0192">
              <w:t xml:space="preserve"> and to explore the use </w:t>
            </w:r>
            <w:r w:rsidR="008B5C8A">
              <w:t xml:space="preserve">of </w:t>
            </w:r>
            <w:r w:rsidRPr="007D0192">
              <w:t>graphic notation.</w:t>
            </w:r>
          </w:p>
        </w:tc>
      </w:tr>
    </w:tbl>
    <w:p w:rsidR="00B34779" w:rsidRPr="00A326AC" w:rsidRDefault="005A5CCA"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CD0037" w:rsidRPr="00750B88">
        <w:trPr>
          <w:trHeight w:val="76"/>
          <w:jc w:val="center"/>
        </w:trPr>
        <w:tc>
          <w:tcPr>
            <w:tcW w:w="9639" w:type="dxa"/>
            <w:gridSpan w:val="2"/>
            <w:shd w:val="clear" w:color="auto" w:fill="E6E6E6"/>
          </w:tcPr>
          <w:p w:rsidR="00CD0037" w:rsidRPr="00750B88" w:rsidRDefault="00672144" w:rsidP="00C20914">
            <w:pPr>
              <w:pStyle w:val="Heading2Table"/>
            </w:pPr>
            <w:r>
              <w:t>The Arts</w:t>
            </w:r>
            <w:r w:rsidR="00CD0037" w:rsidRPr="00750B88">
              <w:tab/>
              <w:t xml:space="preserve">Essential Learnings by the end of Year </w:t>
            </w:r>
            <w:r>
              <w:t>5</w:t>
            </w:r>
          </w:p>
        </w:tc>
      </w:tr>
      <w:tr w:rsidR="00934842">
        <w:trPr>
          <w:trHeight w:val="3454"/>
          <w:jc w:val="center"/>
        </w:trPr>
        <w:tc>
          <w:tcPr>
            <w:tcW w:w="432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9B575B" w:rsidRPr="007D0192" w:rsidRDefault="009B575B" w:rsidP="009B575B">
            <w:pPr>
              <w:pStyle w:val="Bulletslevel1"/>
            </w:pPr>
            <w:r w:rsidRPr="007D0192">
              <w:t>select and develop ideas for arts works, considering different audiences and different purposes, using arts elements and languages</w:t>
            </w:r>
          </w:p>
          <w:p w:rsidR="009B575B" w:rsidRPr="007D0192" w:rsidRDefault="009B575B" w:rsidP="009B575B">
            <w:pPr>
              <w:pStyle w:val="Bulletslevel1"/>
            </w:pPr>
            <w:r w:rsidRPr="007D0192">
              <w:t>create and shape arts works by organising arts elements to express personal and community values, beliefs and observations</w:t>
            </w:r>
          </w:p>
          <w:p w:rsidR="009B575B" w:rsidRPr="007D0192" w:rsidRDefault="009B575B" w:rsidP="009B575B">
            <w:pPr>
              <w:pStyle w:val="Bulletslevel1"/>
            </w:pPr>
            <w:r w:rsidRPr="007D0192">
              <w:t>rehearse and rework arts works, using interpretive and technical skills</w:t>
            </w:r>
          </w:p>
          <w:p w:rsidR="00934842" w:rsidRPr="00A67D85" w:rsidRDefault="009B575B" w:rsidP="009B575B">
            <w:pPr>
              <w:pStyle w:val="Bulletslevel1"/>
            </w:pPr>
            <w:r w:rsidRPr="007D0192">
              <w:t>present arts works to informal and formal audiences, using arts techniques, skills and processes.</w:t>
            </w:r>
          </w:p>
        </w:tc>
        <w:tc>
          <w:tcPr>
            <w:tcW w:w="5318" w:type="dxa"/>
          </w:tcPr>
          <w:p w:rsidR="00934842" w:rsidRDefault="00934842" w:rsidP="002C1299">
            <w:pPr>
              <w:pStyle w:val="Heading3"/>
              <w:keepLines/>
            </w:pPr>
            <w:r>
              <w:t>Knowledge and understanding</w:t>
            </w:r>
          </w:p>
          <w:p w:rsidR="009B575B" w:rsidRPr="009B575B" w:rsidRDefault="009B575B" w:rsidP="009B575B">
            <w:pPr>
              <w:pStyle w:val="Organiser"/>
              <w:rPr>
                <w:i/>
              </w:rPr>
            </w:pPr>
            <w:r w:rsidRPr="009B575B">
              <w:rPr>
                <w:i/>
              </w:rPr>
              <w:t>Music</w:t>
            </w:r>
          </w:p>
          <w:p w:rsidR="009B575B" w:rsidRPr="007D0192" w:rsidRDefault="009B575B" w:rsidP="009B575B">
            <w:pPr>
              <w:pStyle w:val="Organiser"/>
            </w:pPr>
            <w:r w:rsidRPr="007D0192">
              <w:t>Music involves singing, playing instruments, listening, moving, improvising and composing by</w:t>
            </w:r>
            <w:r>
              <w:t xml:space="preserve"> </w:t>
            </w:r>
            <w:r w:rsidRPr="007D0192">
              <w:t>selecting the music elements to express ideas, considering different audiences and different</w:t>
            </w:r>
            <w:r>
              <w:t xml:space="preserve"> </w:t>
            </w:r>
            <w:r w:rsidRPr="007D0192">
              <w:t>purposes, through sound.</w:t>
            </w:r>
          </w:p>
          <w:p w:rsidR="009B575B" w:rsidRPr="007D0192" w:rsidRDefault="009B575B" w:rsidP="009B575B">
            <w:pPr>
              <w:pStyle w:val="Bulletslevel1"/>
            </w:pPr>
            <w:r w:rsidRPr="007D0192">
              <w:t>Musical forms are used to structure music.</w:t>
            </w:r>
          </w:p>
          <w:p w:rsidR="009B575B" w:rsidRPr="007D0192" w:rsidRDefault="009B575B" w:rsidP="009B575B">
            <w:pPr>
              <w:pStyle w:val="Bulletslevel1"/>
            </w:pPr>
            <w:r w:rsidRPr="007D0192">
              <w:t>Familiar and unfamiliar sound sources, including vocal, instrumental and environmental sources, have characteristic sound qualities (tone colour).</w:t>
            </w:r>
          </w:p>
          <w:p w:rsidR="00934842" w:rsidRDefault="009B575B" w:rsidP="009B575B">
            <w:pPr>
              <w:pStyle w:val="Bulletslevel1"/>
            </w:pPr>
            <w:r w:rsidRPr="007D0192">
              <w:t>Relative softness and loudness and articulation of sounds are used to change dynamic levels and expression of music.</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4A12E1" w:rsidRPr="00830678" w:rsidRDefault="004A12E1" w:rsidP="004A12E1">
            <w:pPr>
              <w:pStyle w:val="Bulletslevel1"/>
              <w:numPr>
                <w:ilvl w:val="0"/>
                <w:numId w:val="19"/>
              </w:numPr>
            </w:pPr>
            <w:r>
              <w:t>K</w:t>
            </w:r>
            <w:r w:rsidRPr="00830678">
              <w:t>nowledge and understanding</w:t>
            </w:r>
          </w:p>
          <w:p w:rsidR="004A12E1" w:rsidRPr="00830678" w:rsidRDefault="004A12E1" w:rsidP="004A12E1">
            <w:pPr>
              <w:pStyle w:val="Bulletslevel1"/>
              <w:numPr>
                <w:ilvl w:val="0"/>
                <w:numId w:val="19"/>
              </w:numPr>
            </w:pPr>
            <w:r>
              <w:t>C</w:t>
            </w:r>
            <w:r w:rsidRPr="00830678">
              <w:t>reating</w:t>
            </w:r>
          </w:p>
          <w:p w:rsidR="00B34779" w:rsidRPr="00AD12C7" w:rsidRDefault="004A12E1" w:rsidP="004A12E1">
            <w:pPr>
              <w:pStyle w:val="Bulletslevel1"/>
              <w:keepNext/>
              <w:keepLines/>
            </w:pPr>
            <w:r>
              <w:t>P</w:t>
            </w:r>
            <w:r w:rsidRPr="00830678">
              <w:t>resenting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672144">
              <w:rPr>
                <w:rStyle w:val="SourceTitleChar"/>
              </w:rPr>
              <w:t>The Arts</w:t>
            </w:r>
            <w:r w:rsidRPr="00F377B6">
              <w:rPr>
                <w:rStyle w:val="SourceTitleChar"/>
              </w:rPr>
              <w:t xml:space="preserve"> Essential</w:t>
            </w:r>
            <w:r w:rsidRPr="00750B88">
              <w:rPr>
                <w:rStyle w:val="SourceTitleChar"/>
              </w:rPr>
              <w:t xml:space="preserve"> Learnings by the end of Year </w:t>
            </w:r>
            <w:r w:rsidR="00672144">
              <w:rPr>
                <w:rStyle w:val="SourceTitleChar"/>
              </w:rPr>
              <w:t>5</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8F3048" w:rsidRDefault="00E8667A" w:rsidP="008A37AF">
      <w:r>
        <w:br w:type="page"/>
      </w:r>
      <w:r w:rsidR="006651E7">
        <w:lastRenderedPageBreak/>
        <w:t>Listed here are s</w:t>
      </w:r>
      <w:r w:rsidR="008F3048">
        <w:t xml:space="preserve">uggested </w:t>
      </w:r>
      <w:r w:rsidR="008F3048" w:rsidRPr="00444D1F">
        <w:rPr>
          <w:b/>
        </w:rPr>
        <w:t>learning experiences</w:t>
      </w:r>
      <w:r w:rsidR="008F3048">
        <w:t xml:space="preserve"> for students be</w:t>
      </w:r>
      <w:r w:rsidR="00D43BC1">
        <w:t>fore attempting this assessment.</w:t>
      </w:r>
    </w:p>
    <w:p w:rsidR="00933645" w:rsidRPr="007D0192" w:rsidRDefault="005A5CCA" w:rsidP="00933645">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645" w:rsidRPr="007D0192">
        <w:t>Learn</w:t>
      </w:r>
      <w:r w:rsidR="00933645">
        <w:t xml:space="preserve"> about </w:t>
      </w:r>
      <w:r w:rsidR="00933645" w:rsidRPr="007D0192">
        <w:t>the genre of soundscapes.</w:t>
      </w:r>
    </w:p>
    <w:p w:rsidR="00933645" w:rsidRPr="007D0192" w:rsidRDefault="00933645" w:rsidP="00933645">
      <w:pPr>
        <w:pStyle w:val="Bulletslevel1"/>
      </w:pPr>
      <w:r w:rsidRPr="007D0192">
        <w:t>Develop an understanding about how to explore and develop creative ideas.</w:t>
      </w:r>
    </w:p>
    <w:p w:rsidR="00933645" w:rsidRPr="007D0192" w:rsidRDefault="00933645" w:rsidP="00933645">
      <w:pPr>
        <w:pStyle w:val="Bulletslevel1"/>
      </w:pPr>
      <w:r w:rsidRPr="007D0192">
        <w:t>Use creative processes.</w:t>
      </w:r>
    </w:p>
    <w:p w:rsidR="00933645" w:rsidRPr="007D0192" w:rsidRDefault="00933645" w:rsidP="00933645">
      <w:pPr>
        <w:pStyle w:val="Bulletslevel1"/>
      </w:pPr>
      <w:r w:rsidRPr="007D0192">
        <w:t>Explore and experiment with sound sources to represent specific ideas.</w:t>
      </w:r>
    </w:p>
    <w:p w:rsidR="00933645" w:rsidRPr="007D0192" w:rsidRDefault="00933645" w:rsidP="00933645">
      <w:pPr>
        <w:pStyle w:val="Bulletslevel1"/>
      </w:pPr>
      <w:r w:rsidRPr="007D0192">
        <w:t>Experience reading, creating and using performance notes in a variety of contexts.</w:t>
      </w:r>
    </w:p>
    <w:p w:rsidR="00933645" w:rsidRPr="007D0192" w:rsidRDefault="00933645" w:rsidP="00933645">
      <w:pPr>
        <w:pStyle w:val="Bulletslevel1"/>
      </w:pPr>
      <w:r w:rsidRPr="007D0192">
        <w:t>Experience ordering and sequencing sounds in a variety of contexts.</w:t>
      </w:r>
    </w:p>
    <w:p w:rsidR="00933645" w:rsidRPr="007D0192" w:rsidRDefault="00933645" w:rsidP="00933645">
      <w:pPr>
        <w:pStyle w:val="Bulletslevel1"/>
      </w:pPr>
      <w:r w:rsidRPr="007D0192">
        <w:t>Learn about and practise using graphic notation and graphic notation scores.</w:t>
      </w:r>
    </w:p>
    <w:p w:rsidR="00933645" w:rsidRPr="007D0192" w:rsidRDefault="00933645" w:rsidP="00933645">
      <w:pPr>
        <w:pStyle w:val="Bulletslevel1"/>
      </w:pPr>
      <w:r w:rsidRPr="007D0192">
        <w:t xml:space="preserve">Play songs from graphic notation scores. </w:t>
      </w:r>
    </w:p>
    <w:p w:rsidR="00933645" w:rsidRPr="007D0192" w:rsidRDefault="00933645" w:rsidP="00933645">
      <w:pPr>
        <w:pStyle w:val="Bulletslevel1"/>
      </w:pPr>
      <w:r w:rsidRPr="007D0192">
        <w:t>Play a variety of soundscapes from different contexts (with or without graphic notation scores).</w:t>
      </w:r>
    </w:p>
    <w:p w:rsidR="00933645" w:rsidRDefault="005A5CCA" w:rsidP="00933645">
      <w:pPr>
        <w:pStyle w:val="Bulletslevel1"/>
      </w:pPr>
      <w:r>
        <w:rPr>
          <w:noProof/>
        </w:rPr>
        <w:drawing>
          <wp:anchor distT="0" distB="0" distL="114300" distR="114300" simplePos="0" relativeHeight="251655680" behindDoc="0" locked="0" layoutInCell="1" allowOverlap="1">
            <wp:simplePos x="0" y="0"/>
            <wp:positionH relativeFrom="page">
              <wp:posOffset>423545</wp:posOffset>
            </wp:positionH>
            <wp:positionV relativeFrom="paragraph">
              <wp:posOffset>556895</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645" w:rsidRPr="007D0192">
        <w:t>Understand how to reflect on decisions made and modify choices made to create refined arts works.</w:t>
      </w:r>
    </w:p>
    <w:p w:rsidR="00233FC0" w:rsidRDefault="00233FC0" w:rsidP="00233FC0">
      <w:pPr>
        <w:pStyle w:val="Heading2"/>
      </w:pPr>
      <w:r>
        <w:t>Preparing</w:t>
      </w:r>
    </w:p>
    <w:p w:rsidR="004F20BA" w:rsidRDefault="004F20BA" w:rsidP="004F20BA">
      <w:r>
        <w:t>Consider these points bef</w:t>
      </w:r>
      <w:r w:rsidR="00227363">
        <w:t>ore implementing the assessment.</w:t>
      </w:r>
    </w:p>
    <w:p w:rsidR="00933645" w:rsidRPr="007D0192" w:rsidRDefault="00933645" w:rsidP="00933645">
      <w:pPr>
        <w:pStyle w:val="Bulletslevel1"/>
      </w:pPr>
      <w:r w:rsidRPr="007D0192">
        <w:t>Students complete this assessment in small groups of about 3</w:t>
      </w:r>
      <w:r>
        <w:t>–</w:t>
      </w:r>
      <w:r w:rsidRPr="007D0192">
        <w:t>4 people. Consider whether you will allow student</w:t>
      </w:r>
      <w:r w:rsidR="008B5C8A">
        <w:t>s</w:t>
      </w:r>
      <w:r w:rsidRPr="007D0192">
        <w:t xml:space="preserve"> to choose their own groups or whether you will guide this choice.</w:t>
      </w:r>
    </w:p>
    <w:p w:rsidR="00933645" w:rsidRPr="007D0192" w:rsidRDefault="00933645" w:rsidP="00933645">
      <w:pPr>
        <w:pStyle w:val="Bulletslevel1"/>
      </w:pPr>
      <w:r w:rsidRPr="007D0192">
        <w:t>Students need to source a variety of sound sources. These could be traditional and non</w:t>
      </w:r>
      <w:r>
        <w:noBreakHyphen/>
      </w:r>
      <w:r w:rsidRPr="007D0192">
        <w:t xml:space="preserve">traditional instruments or everyday items from which sounds can be produced </w:t>
      </w:r>
      <w:r w:rsidR="00976550">
        <w:br/>
      </w:r>
      <w:r w:rsidRPr="007D0192">
        <w:t>(e.g. cardboard, plastic bottles, desk top)</w:t>
      </w:r>
      <w:r>
        <w:t>.</w:t>
      </w:r>
    </w:p>
    <w:p w:rsidR="00933645" w:rsidRPr="007D0192" w:rsidRDefault="00933645" w:rsidP="00933645">
      <w:pPr>
        <w:pStyle w:val="Bulletslevel1"/>
      </w:pPr>
      <w:r w:rsidRPr="007D0192">
        <w:t>Large sheets of cardboard will be required for students to complete the final copy of the graphic notation score (</w:t>
      </w:r>
      <w:r>
        <w:t>one</w:t>
      </w:r>
      <w:r w:rsidRPr="007D0192">
        <w:t xml:space="preserve"> per group).</w:t>
      </w:r>
    </w:p>
    <w:p w:rsidR="00E53F6C" w:rsidRDefault="00E53F6C" w:rsidP="00E53F6C">
      <w:pPr>
        <w:pStyle w:val="Heading2"/>
      </w:pPr>
      <w:r>
        <w:t>Implementation</w:t>
      </w:r>
    </w:p>
    <w:p w:rsidR="001F07B8" w:rsidRPr="007D0192" w:rsidRDefault="001F07B8" w:rsidP="001F07B8">
      <w:r w:rsidRPr="007D0192">
        <w:t xml:space="preserve">Monitor </w:t>
      </w:r>
      <w:r w:rsidR="008B5C8A">
        <w:t xml:space="preserve">each </w:t>
      </w:r>
      <w:r w:rsidRPr="007D0192">
        <w:t>group</w:t>
      </w:r>
      <w:r w:rsidR="008B5C8A">
        <w:t>’s</w:t>
      </w:r>
      <w:r w:rsidRPr="007D0192">
        <w:t xml:space="preserve"> activity carefully to ensure that all members are actively contributing to the creation and performance of their soundscape.</w:t>
      </w:r>
    </w:p>
    <w:p w:rsidR="00233FC0" w:rsidRDefault="009F1EAE" w:rsidP="009F1EAE">
      <w:pPr>
        <w:pStyle w:val="Heading2"/>
      </w:pPr>
      <w:r>
        <w:br w:type="page"/>
      </w:r>
      <w:r w:rsidR="00233FC0">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3178"/>
        <w:gridCol w:w="3240"/>
        <w:gridCol w:w="1358"/>
      </w:tblGrid>
      <w:tr w:rsidR="00216C8D" w:rsidRPr="009D15D5">
        <w:trPr>
          <w:jc w:val="center"/>
        </w:trPr>
        <w:tc>
          <w:tcPr>
            <w:tcW w:w="1863" w:type="dxa"/>
            <w:shd w:val="clear" w:color="auto" w:fill="CCCCCC"/>
          </w:tcPr>
          <w:p w:rsidR="00216C8D" w:rsidRPr="009D15D5" w:rsidRDefault="00216C8D" w:rsidP="00A573E2">
            <w:pPr>
              <w:spacing w:before="60" w:after="60" w:line="240" w:lineRule="auto"/>
              <w:rPr>
                <w:b/>
              </w:rPr>
            </w:pPr>
            <w:r w:rsidRPr="009D15D5">
              <w:rPr>
                <w:b/>
              </w:rPr>
              <w:t>Suggested time</w:t>
            </w:r>
          </w:p>
        </w:tc>
        <w:tc>
          <w:tcPr>
            <w:tcW w:w="3178" w:type="dxa"/>
            <w:shd w:val="clear" w:color="auto" w:fill="CCCCCC"/>
          </w:tcPr>
          <w:p w:rsidR="00216C8D" w:rsidRPr="009D15D5" w:rsidRDefault="00216C8D" w:rsidP="00A573E2">
            <w:pPr>
              <w:spacing w:before="60" w:after="60" w:line="240" w:lineRule="auto"/>
              <w:rPr>
                <w:b/>
              </w:rPr>
            </w:pPr>
            <w:r w:rsidRPr="009D15D5">
              <w:rPr>
                <w:b/>
              </w:rPr>
              <w:t>Student activity</w:t>
            </w:r>
          </w:p>
        </w:tc>
        <w:tc>
          <w:tcPr>
            <w:tcW w:w="3240" w:type="dxa"/>
            <w:shd w:val="clear" w:color="auto" w:fill="CCCCCC"/>
          </w:tcPr>
          <w:p w:rsidR="00216C8D" w:rsidRPr="009D15D5" w:rsidRDefault="00216C8D" w:rsidP="00A573E2">
            <w:pPr>
              <w:spacing w:before="60" w:after="60" w:line="240" w:lineRule="auto"/>
              <w:rPr>
                <w:b/>
              </w:rPr>
            </w:pPr>
            <w:r w:rsidRPr="009D15D5">
              <w:rPr>
                <w:b/>
              </w:rPr>
              <w:t>Teacher role</w:t>
            </w:r>
          </w:p>
        </w:tc>
        <w:tc>
          <w:tcPr>
            <w:tcW w:w="1358" w:type="dxa"/>
            <w:shd w:val="clear" w:color="auto" w:fill="CCCCCC"/>
          </w:tcPr>
          <w:p w:rsidR="00216C8D" w:rsidRPr="009D15D5" w:rsidRDefault="00216C8D" w:rsidP="00A573E2">
            <w:pPr>
              <w:spacing w:before="60" w:after="6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A573E2">
            <w:pPr>
              <w:spacing w:before="60" w:after="60" w:line="240" w:lineRule="auto"/>
              <w:rPr>
                <w:b/>
              </w:rPr>
            </w:pPr>
            <w:r w:rsidRPr="009D15D5">
              <w:rPr>
                <w:b/>
              </w:rPr>
              <w:t xml:space="preserve">Section 1. </w:t>
            </w:r>
            <w:r w:rsidR="001F07B8">
              <w:rPr>
                <w:b/>
              </w:rPr>
              <w:t>Soundscape story</w:t>
            </w:r>
          </w:p>
        </w:tc>
      </w:tr>
      <w:tr w:rsidR="001F07B8">
        <w:trPr>
          <w:jc w:val="center"/>
        </w:trPr>
        <w:tc>
          <w:tcPr>
            <w:tcW w:w="1863" w:type="dxa"/>
          </w:tcPr>
          <w:p w:rsidR="001F07B8" w:rsidRPr="001F07B8" w:rsidRDefault="001F07B8" w:rsidP="001F07B8">
            <w:pPr>
              <w:spacing w:before="60" w:after="120" w:line="240" w:lineRule="auto"/>
              <w:rPr>
                <w:sz w:val="20"/>
                <w:szCs w:val="20"/>
              </w:rPr>
            </w:pPr>
            <w:r w:rsidRPr="001F07B8">
              <w:rPr>
                <w:sz w:val="20"/>
                <w:szCs w:val="20"/>
              </w:rPr>
              <w:t>2 sessions</w:t>
            </w:r>
          </w:p>
        </w:tc>
        <w:tc>
          <w:tcPr>
            <w:tcW w:w="3178" w:type="dxa"/>
          </w:tcPr>
          <w:p w:rsidR="001F07B8" w:rsidRPr="001F07B8" w:rsidRDefault="00D3529E" w:rsidP="001F07B8">
            <w:pPr>
              <w:spacing w:before="60" w:after="120" w:line="240" w:lineRule="auto"/>
              <w:rPr>
                <w:sz w:val="20"/>
                <w:szCs w:val="20"/>
              </w:rPr>
            </w:pPr>
            <w:r>
              <w:rPr>
                <w:sz w:val="20"/>
                <w:szCs w:val="20"/>
              </w:rPr>
              <w:t>D</w:t>
            </w:r>
            <w:r w:rsidR="001F07B8" w:rsidRPr="001F07B8">
              <w:rPr>
                <w:sz w:val="20"/>
                <w:szCs w:val="20"/>
              </w:rPr>
              <w:t>etermine what the soundscape story is going to be about and brainstorm ideas.</w:t>
            </w:r>
          </w:p>
          <w:p w:rsidR="001F07B8" w:rsidRPr="001F07B8" w:rsidRDefault="00D3529E" w:rsidP="001F07B8">
            <w:pPr>
              <w:spacing w:before="60" w:after="120" w:line="240" w:lineRule="auto"/>
              <w:rPr>
                <w:sz w:val="20"/>
                <w:szCs w:val="20"/>
              </w:rPr>
            </w:pPr>
            <w:r>
              <w:rPr>
                <w:sz w:val="20"/>
                <w:szCs w:val="20"/>
              </w:rPr>
              <w:t>Write the</w:t>
            </w:r>
            <w:r w:rsidR="001F07B8" w:rsidRPr="001F07B8">
              <w:rPr>
                <w:sz w:val="20"/>
                <w:szCs w:val="20"/>
              </w:rPr>
              <w:t xml:space="preserve"> soundscape story</w:t>
            </w:r>
            <w:r w:rsidR="008B5C8A">
              <w:rPr>
                <w:sz w:val="20"/>
                <w:szCs w:val="20"/>
              </w:rPr>
              <w:t>.</w:t>
            </w:r>
            <w:r w:rsidR="001F07B8" w:rsidRPr="001F07B8">
              <w:rPr>
                <w:sz w:val="20"/>
                <w:szCs w:val="20"/>
              </w:rPr>
              <w:t xml:space="preserve"> </w:t>
            </w:r>
          </w:p>
        </w:tc>
        <w:tc>
          <w:tcPr>
            <w:tcW w:w="3240" w:type="dxa"/>
          </w:tcPr>
          <w:p w:rsidR="001F07B8" w:rsidRPr="001F07B8" w:rsidRDefault="001F07B8" w:rsidP="001F07B8">
            <w:pPr>
              <w:spacing w:before="60" w:after="120" w:line="240" w:lineRule="auto"/>
              <w:rPr>
                <w:sz w:val="20"/>
                <w:szCs w:val="20"/>
              </w:rPr>
            </w:pPr>
            <w:r w:rsidRPr="001F07B8">
              <w:rPr>
                <w:sz w:val="20"/>
                <w:szCs w:val="20"/>
              </w:rPr>
              <w:t>Remind students about using creative processes.</w:t>
            </w:r>
          </w:p>
          <w:p w:rsidR="001F07B8" w:rsidRPr="001F07B8" w:rsidRDefault="001F07B8" w:rsidP="001F07B8">
            <w:pPr>
              <w:spacing w:before="60" w:after="120" w:line="240" w:lineRule="auto"/>
              <w:rPr>
                <w:sz w:val="20"/>
                <w:szCs w:val="20"/>
              </w:rPr>
            </w:pPr>
            <w:r w:rsidRPr="001F07B8">
              <w:rPr>
                <w:sz w:val="20"/>
                <w:szCs w:val="20"/>
              </w:rPr>
              <w:t xml:space="preserve">Monitor </w:t>
            </w:r>
            <w:r w:rsidR="008B5C8A">
              <w:rPr>
                <w:sz w:val="20"/>
                <w:szCs w:val="20"/>
              </w:rPr>
              <w:t>students</w:t>
            </w:r>
            <w:r w:rsidRPr="001F07B8">
              <w:rPr>
                <w:sz w:val="20"/>
                <w:szCs w:val="20"/>
              </w:rPr>
              <w:t xml:space="preserve"> to ensure that all are contributing.</w:t>
            </w:r>
          </w:p>
          <w:p w:rsidR="001F07B8" w:rsidRPr="001F07B8" w:rsidRDefault="001F07B8" w:rsidP="001F07B8">
            <w:pPr>
              <w:spacing w:before="60" w:after="120" w:line="240" w:lineRule="auto"/>
              <w:rPr>
                <w:sz w:val="20"/>
                <w:szCs w:val="20"/>
              </w:rPr>
            </w:pPr>
            <w:r w:rsidRPr="001F07B8">
              <w:rPr>
                <w:sz w:val="20"/>
                <w:szCs w:val="20"/>
              </w:rPr>
              <w:t xml:space="preserve">Move around the room and </w:t>
            </w:r>
            <w:r w:rsidR="008B5C8A">
              <w:rPr>
                <w:sz w:val="20"/>
                <w:szCs w:val="20"/>
              </w:rPr>
              <w:t>help</w:t>
            </w:r>
            <w:r w:rsidRPr="001F07B8">
              <w:rPr>
                <w:sz w:val="20"/>
                <w:szCs w:val="20"/>
              </w:rPr>
              <w:t xml:space="preserve"> students where necessary.</w:t>
            </w:r>
          </w:p>
        </w:tc>
        <w:tc>
          <w:tcPr>
            <w:tcW w:w="1358" w:type="dxa"/>
          </w:tcPr>
          <w:p w:rsidR="001F07B8" w:rsidRPr="001F07B8" w:rsidRDefault="001F07B8" w:rsidP="001F07B8">
            <w:pPr>
              <w:pStyle w:val="tablesml"/>
              <w:spacing w:before="60" w:after="120" w:line="240" w:lineRule="auto"/>
              <w:rPr>
                <w:sz w:val="20"/>
                <w:szCs w:val="20"/>
              </w:rPr>
            </w:pPr>
          </w:p>
        </w:tc>
      </w:tr>
      <w:tr w:rsidR="001F07B8" w:rsidRPr="009D15D5">
        <w:trPr>
          <w:jc w:val="center"/>
        </w:trPr>
        <w:tc>
          <w:tcPr>
            <w:tcW w:w="9639" w:type="dxa"/>
            <w:gridSpan w:val="4"/>
            <w:shd w:val="clear" w:color="auto" w:fill="E6E6E6"/>
          </w:tcPr>
          <w:p w:rsidR="001F07B8" w:rsidRPr="009D15D5" w:rsidRDefault="001F07B8" w:rsidP="00A573E2">
            <w:pPr>
              <w:spacing w:before="60" w:after="60" w:line="240" w:lineRule="auto"/>
              <w:rPr>
                <w:b/>
              </w:rPr>
            </w:pPr>
            <w:r w:rsidRPr="009D15D5">
              <w:rPr>
                <w:b/>
              </w:rPr>
              <w:t xml:space="preserve">Section </w:t>
            </w:r>
            <w:r>
              <w:rPr>
                <w:b/>
              </w:rPr>
              <w:t>2</w:t>
            </w:r>
            <w:r w:rsidRPr="009D15D5">
              <w:rPr>
                <w:b/>
              </w:rPr>
              <w:t xml:space="preserve">. </w:t>
            </w:r>
            <w:r>
              <w:rPr>
                <w:b/>
              </w:rPr>
              <w:t>Sound sources and performance notes</w:t>
            </w:r>
          </w:p>
        </w:tc>
      </w:tr>
      <w:tr w:rsidR="001F07B8">
        <w:trPr>
          <w:jc w:val="center"/>
        </w:trPr>
        <w:tc>
          <w:tcPr>
            <w:tcW w:w="1863" w:type="dxa"/>
          </w:tcPr>
          <w:p w:rsidR="001F07B8" w:rsidRPr="001F07B8" w:rsidRDefault="001F07B8" w:rsidP="001F07B8">
            <w:pPr>
              <w:spacing w:before="60" w:after="120" w:line="240" w:lineRule="auto"/>
              <w:rPr>
                <w:sz w:val="20"/>
                <w:szCs w:val="20"/>
              </w:rPr>
            </w:pPr>
            <w:r w:rsidRPr="001F07B8">
              <w:rPr>
                <w:sz w:val="20"/>
                <w:szCs w:val="20"/>
              </w:rPr>
              <w:t>3 sessions</w:t>
            </w:r>
          </w:p>
        </w:tc>
        <w:tc>
          <w:tcPr>
            <w:tcW w:w="3178" w:type="dxa"/>
          </w:tcPr>
          <w:p w:rsidR="001F07B8" w:rsidRPr="001F07B8" w:rsidRDefault="00D3529E" w:rsidP="001F07B8">
            <w:pPr>
              <w:spacing w:before="60" w:after="120" w:line="240" w:lineRule="auto"/>
              <w:rPr>
                <w:sz w:val="20"/>
                <w:szCs w:val="20"/>
              </w:rPr>
            </w:pPr>
            <w:r>
              <w:rPr>
                <w:sz w:val="20"/>
                <w:szCs w:val="20"/>
              </w:rPr>
              <w:t>C</w:t>
            </w:r>
            <w:r w:rsidR="001F07B8" w:rsidRPr="001F07B8">
              <w:rPr>
                <w:sz w:val="20"/>
                <w:szCs w:val="20"/>
              </w:rPr>
              <w:t>re</w:t>
            </w:r>
            <w:r>
              <w:rPr>
                <w:sz w:val="20"/>
                <w:szCs w:val="20"/>
              </w:rPr>
              <w:t xml:space="preserve">ate individual sounds for the </w:t>
            </w:r>
            <w:r w:rsidR="001F07B8" w:rsidRPr="001F07B8">
              <w:rPr>
                <w:sz w:val="20"/>
                <w:szCs w:val="20"/>
              </w:rPr>
              <w:t>soundscape</w:t>
            </w:r>
            <w:r>
              <w:rPr>
                <w:sz w:val="20"/>
                <w:szCs w:val="20"/>
              </w:rPr>
              <w:t>.</w:t>
            </w:r>
          </w:p>
          <w:p w:rsidR="001F07B8" w:rsidRPr="001F07B8" w:rsidRDefault="00D3529E" w:rsidP="001F07B8">
            <w:pPr>
              <w:spacing w:before="60" w:after="120" w:line="240" w:lineRule="auto"/>
              <w:rPr>
                <w:sz w:val="20"/>
                <w:szCs w:val="20"/>
              </w:rPr>
            </w:pPr>
            <w:r>
              <w:rPr>
                <w:sz w:val="20"/>
                <w:szCs w:val="20"/>
              </w:rPr>
              <w:t>Write the</w:t>
            </w:r>
            <w:r w:rsidR="001F07B8" w:rsidRPr="001F07B8">
              <w:rPr>
                <w:sz w:val="20"/>
                <w:szCs w:val="20"/>
              </w:rPr>
              <w:t xml:space="preserve"> graphic symbols </w:t>
            </w:r>
            <w:r w:rsidR="008B5C8A">
              <w:rPr>
                <w:sz w:val="20"/>
                <w:szCs w:val="20"/>
              </w:rPr>
              <w:t xml:space="preserve">for the sound sources </w:t>
            </w:r>
            <w:r w:rsidR="001F07B8" w:rsidRPr="001F07B8">
              <w:rPr>
                <w:sz w:val="20"/>
                <w:szCs w:val="20"/>
              </w:rPr>
              <w:t xml:space="preserve">and </w:t>
            </w:r>
            <w:r w:rsidR="008B5C8A">
              <w:rPr>
                <w:sz w:val="20"/>
                <w:szCs w:val="20"/>
              </w:rPr>
              <w:t xml:space="preserve">the </w:t>
            </w:r>
            <w:r w:rsidR="001F07B8" w:rsidRPr="001F07B8">
              <w:rPr>
                <w:sz w:val="20"/>
                <w:szCs w:val="20"/>
              </w:rPr>
              <w:t xml:space="preserve">performance notes </w:t>
            </w:r>
            <w:r>
              <w:rPr>
                <w:sz w:val="20"/>
                <w:szCs w:val="20"/>
              </w:rPr>
              <w:t xml:space="preserve">in the </w:t>
            </w:r>
            <w:r w:rsidRPr="00D3529E">
              <w:rPr>
                <w:i/>
                <w:sz w:val="20"/>
                <w:szCs w:val="20"/>
              </w:rPr>
              <w:t>S</w:t>
            </w:r>
            <w:r w:rsidR="001F07B8" w:rsidRPr="00D3529E">
              <w:rPr>
                <w:i/>
                <w:sz w:val="20"/>
                <w:szCs w:val="20"/>
              </w:rPr>
              <w:t>tudent booklet</w:t>
            </w:r>
            <w:r w:rsidR="001F07B8" w:rsidRPr="001F07B8">
              <w:rPr>
                <w:sz w:val="20"/>
                <w:szCs w:val="20"/>
              </w:rPr>
              <w:t>.</w:t>
            </w:r>
          </w:p>
        </w:tc>
        <w:tc>
          <w:tcPr>
            <w:tcW w:w="3240" w:type="dxa"/>
          </w:tcPr>
          <w:p w:rsidR="001F07B8" w:rsidRPr="001F07B8" w:rsidRDefault="001F07B8" w:rsidP="00C53568">
            <w:pPr>
              <w:spacing w:before="60" w:after="120" w:line="240" w:lineRule="auto"/>
              <w:rPr>
                <w:sz w:val="20"/>
                <w:szCs w:val="20"/>
              </w:rPr>
            </w:pPr>
            <w:r w:rsidRPr="001F07B8">
              <w:rPr>
                <w:sz w:val="20"/>
                <w:szCs w:val="20"/>
              </w:rPr>
              <w:t>Remind students about using creative processes</w:t>
            </w:r>
            <w:r w:rsidR="008F0F7B">
              <w:rPr>
                <w:sz w:val="20"/>
                <w:szCs w:val="20"/>
              </w:rPr>
              <w:t>.</w:t>
            </w:r>
          </w:p>
          <w:p w:rsidR="001F07B8" w:rsidRPr="001F07B8" w:rsidRDefault="001F07B8" w:rsidP="001F07B8">
            <w:pPr>
              <w:spacing w:before="60" w:after="120" w:line="240" w:lineRule="auto"/>
              <w:rPr>
                <w:sz w:val="20"/>
                <w:szCs w:val="20"/>
              </w:rPr>
            </w:pPr>
            <w:r w:rsidRPr="001F07B8">
              <w:rPr>
                <w:sz w:val="20"/>
                <w:szCs w:val="20"/>
              </w:rPr>
              <w:t>Monitor students to ensure that all are contributing.</w:t>
            </w:r>
          </w:p>
          <w:p w:rsidR="001F07B8" w:rsidRPr="001F07B8" w:rsidRDefault="001F07B8" w:rsidP="001F07B8">
            <w:pPr>
              <w:spacing w:before="60" w:after="120" w:line="240" w:lineRule="auto"/>
              <w:rPr>
                <w:sz w:val="20"/>
                <w:szCs w:val="20"/>
              </w:rPr>
            </w:pPr>
            <w:r w:rsidRPr="001F07B8">
              <w:rPr>
                <w:sz w:val="20"/>
                <w:szCs w:val="20"/>
              </w:rPr>
              <w:t xml:space="preserve">Move around the room and </w:t>
            </w:r>
            <w:r w:rsidR="008B5C8A">
              <w:rPr>
                <w:sz w:val="20"/>
                <w:szCs w:val="20"/>
              </w:rPr>
              <w:t>help</w:t>
            </w:r>
            <w:r w:rsidRPr="001F07B8">
              <w:rPr>
                <w:sz w:val="20"/>
                <w:szCs w:val="20"/>
              </w:rPr>
              <w:t xml:space="preserve"> students where necessary.</w:t>
            </w:r>
          </w:p>
        </w:tc>
        <w:tc>
          <w:tcPr>
            <w:tcW w:w="1358" w:type="dxa"/>
          </w:tcPr>
          <w:p w:rsidR="008F0F7B" w:rsidRDefault="008F0F7B" w:rsidP="001F07B8">
            <w:pPr>
              <w:spacing w:before="60" w:after="120" w:line="240" w:lineRule="auto"/>
              <w:rPr>
                <w:sz w:val="20"/>
                <w:szCs w:val="20"/>
              </w:rPr>
            </w:pPr>
            <w:r>
              <w:rPr>
                <w:sz w:val="20"/>
                <w:szCs w:val="20"/>
              </w:rPr>
              <w:t>A</w:t>
            </w:r>
            <w:r w:rsidRPr="001F07B8">
              <w:rPr>
                <w:sz w:val="20"/>
                <w:szCs w:val="20"/>
              </w:rPr>
              <w:t>ppendix A</w:t>
            </w:r>
            <w:r>
              <w:rPr>
                <w:sz w:val="20"/>
                <w:szCs w:val="20"/>
              </w:rPr>
              <w:t xml:space="preserve">: The Arts — </w:t>
            </w:r>
            <w:r w:rsidR="008B5C8A">
              <w:rPr>
                <w:sz w:val="20"/>
                <w:szCs w:val="20"/>
              </w:rPr>
              <w:t>A</w:t>
            </w:r>
            <w:r>
              <w:rPr>
                <w:sz w:val="20"/>
                <w:szCs w:val="20"/>
              </w:rPr>
              <w:t xml:space="preserve"> creative process</w:t>
            </w:r>
            <w:r w:rsidRPr="001F07B8">
              <w:rPr>
                <w:sz w:val="20"/>
                <w:szCs w:val="20"/>
              </w:rPr>
              <w:t xml:space="preserve"> </w:t>
            </w:r>
          </w:p>
          <w:p w:rsidR="001F07B8" w:rsidRPr="001F07B8" w:rsidRDefault="001F07B8" w:rsidP="001F07B8">
            <w:pPr>
              <w:spacing w:before="60" w:after="120" w:line="240" w:lineRule="auto"/>
              <w:rPr>
                <w:sz w:val="20"/>
                <w:szCs w:val="20"/>
              </w:rPr>
            </w:pPr>
            <w:r w:rsidRPr="001F07B8">
              <w:rPr>
                <w:sz w:val="20"/>
                <w:szCs w:val="20"/>
              </w:rPr>
              <w:t>Access to a variety of sound sources</w:t>
            </w:r>
            <w:r w:rsidR="008F0F7B">
              <w:rPr>
                <w:sz w:val="20"/>
                <w:szCs w:val="20"/>
              </w:rPr>
              <w:t xml:space="preserve"> </w:t>
            </w:r>
          </w:p>
        </w:tc>
      </w:tr>
      <w:tr w:rsidR="00216C8D" w:rsidRPr="009D15D5">
        <w:trPr>
          <w:jc w:val="center"/>
        </w:trPr>
        <w:tc>
          <w:tcPr>
            <w:tcW w:w="9639" w:type="dxa"/>
            <w:gridSpan w:val="4"/>
            <w:shd w:val="clear" w:color="auto" w:fill="E6E6E6"/>
          </w:tcPr>
          <w:p w:rsidR="00216C8D" w:rsidRPr="009D15D5" w:rsidRDefault="001C5BD9" w:rsidP="00A573E2">
            <w:pPr>
              <w:spacing w:before="60" w:after="60" w:line="240" w:lineRule="auto"/>
              <w:rPr>
                <w:b/>
              </w:rPr>
            </w:pPr>
            <w:r w:rsidRPr="009D15D5">
              <w:rPr>
                <w:b/>
              </w:rPr>
              <w:t xml:space="preserve">Section </w:t>
            </w:r>
            <w:r w:rsidR="001F07B8">
              <w:rPr>
                <w:b/>
              </w:rPr>
              <w:t>3</w:t>
            </w:r>
            <w:r w:rsidRPr="009D15D5">
              <w:rPr>
                <w:b/>
              </w:rPr>
              <w:t xml:space="preserve">. </w:t>
            </w:r>
            <w:r w:rsidR="001F07B8">
              <w:rPr>
                <w:b/>
              </w:rPr>
              <w:t>Graphic notation score</w:t>
            </w:r>
          </w:p>
        </w:tc>
      </w:tr>
      <w:tr w:rsidR="001F07B8">
        <w:trPr>
          <w:jc w:val="center"/>
        </w:trPr>
        <w:tc>
          <w:tcPr>
            <w:tcW w:w="1863" w:type="dxa"/>
          </w:tcPr>
          <w:p w:rsidR="001F07B8" w:rsidRPr="001F07B8" w:rsidRDefault="001F07B8" w:rsidP="001F07B8">
            <w:pPr>
              <w:spacing w:before="60" w:after="120" w:line="240" w:lineRule="auto"/>
              <w:rPr>
                <w:sz w:val="20"/>
                <w:szCs w:val="20"/>
              </w:rPr>
            </w:pPr>
            <w:r w:rsidRPr="001F07B8">
              <w:rPr>
                <w:sz w:val="20"/>
                <w:szCs w:val="20"/>
              </w:rPr>
              <w:t>3 sessions</w:t>
            </w:r>
          </w:p>
        </w:tc>
        <w:tc>
          <w:tcPr>
            <w:tcW w:w="3178" w:type="dxa"/>
          </w:tcPr>
          <w:p w:rsidR="001F07B8" w:rsidRPr="001F07B8" w:rsidRDefault="00D3529E" w:rsidP="001F07B8">
            <w:pPr>
              <w:spacing w:before="60" w:after="120" w:line="240" w:lineRule="auto"/>
              <w:rPr>
                <w:sz w:val="20"/>
                <w:szCs w:val="20"/>
              </w:rPr>
            </w:pPr>
            <w:r>
              <w:rPr>
                <w:sz w:val="20"/>
                <w:szCs w:val="20"/>
              </w:rPr>
              <w:t>Order and sequence the</w:t>
            </w:r>
            <w:r w:rsidR="001F07B8" w:rsidRPr="001F07B8">
              <w:rPr>
                <w:sz w:val="20"/>
                <w:szCs w:val="20"/>
              </w:rPr>
              <w:t xml:space="preserve"> sound sources and graphic symbols to construct a 1–2 minute soundscape and graphic notation score.</w:t>
            </w:r>
          </w:p>
          <w:p w:rsidR="001F07B8" w:rsidRPr="001F07B8" w:rsidRDefault="00D3529E" w:rsidP="001F07B8">
            <w:pPr>
              <w:spacing w:before="60" w:after="120" w:line="240" w:lineRule="auto"/>
              <w:rPr>
                <w:sz w:val="20"/>
                <w:szCs w:val="20"/>
              </w:rPr>
            </w:pPr>
            <w:r>
              <w:rPr>
                <w:sz w:val="20"/>
                <w:szCs w:val="20"/>
              </w:rPr>
              <w:t>C</w:t>
            </w:r>
            <w:r w:rsidR="001F07B8" w:rsidRPr="001F07B8">
              <w:rPr>
                <w:sz w:val="20"/>
                <w:szCs w:val="20"/>
              </w:rPr>
              <w:t xml:space="preserve">onstruct the final copy of </w:t>
            </w:r>
            <w:r>
              <w:rPr>
                <w:sz w:val="20"/>
                <w:szCs w:val="20"/>
              </w:rPr>
              <w:t xml:space="preserve">the </w:t>
            </w:r>
            <w:r w:rsidR="001F07B8" w:rsidRPr="001F07B8">
              <w:rPr>
                <w:sz w:val="20"/>
                <w:szCs w:val="20"/>
              </w:rPr>
              <w:t>graphic notation score on a large sheet of cardboard.</w:t>
            </w:r>
          </w:p>
        </w:tc>
        <w:tc>
          <w:tcPr>
            <w:tcW w:w="3240" w:type="dxa"/>
          </w:tcPr>
          <w:p w:rsidR="001F07B8" w:rsidRPr="001F07B8" w:rsidRDefault="001F07B8" w:rsidP="001F07B8">
            <w:pPr>
              <w:spacing w:before="60" w:after="120" w:line="240" w:lineRule="auto"/>
              <w:rPr>
                <w:sz w:val="20"/>
                <w:szCs w:val="20"/>
              </w:rPr>
            </w:pPr>
            <w:r w:rsidRPr="001F07B8">
              <w:rPr>
                <w:sz w:val="20"/>
                <w:szCs w:val="20"/>
              </w:rPr>
              <w:t>Remind students about using creative processes and about graphic notation scores</w:t>
            </w:r>
            <w:r w:rsidR="00D3529E">
              <w:rPr>
                <w:sz w:val="20"/>
                <w:szCs w:val="20"/>
              </w:rPr>
              <w:t>.</w:t>
            </w:r>
          </w:p>
          <w:p w:rsidR="001F07B8" w:rsidRPr="001F07B8" w:rsidRDefault="001F07B8" w:rsidP="001F07B8">
            <w:pPr>
              <w:spacing w:before="60" w:after="120" w:line="240" w:lineRule="auto"/>
              <w:rPr>
                <w:sz w:val="20"/>
                <w:szCs w:val="20"/>
              </w:rPr>
            </w:pPr>
            <w:r w:rsidRPr="001F07B8">
              <w:rPr>
                <w:sz w:val="20"/>
                <w:szCs w:val="20"/>
              </w:rPr>
              <w:t>Monitor students to ensure that all are contributing.</w:t>
            </w:r>
          </w:p>
          <w:p w:rsidR="001F07B8" w:rsidRPr="001F07B8" w:rsidRDefault="001F07B8" w:rsidP="001F07B8">
            <w:pPr>
              <w:spacing w:before="60" w:after="120" w:line="240" w:lineRule="auto"/>
              <w:rPr>
                <w:sz w:val="20"/>
                <w:szCs w:val="20"/>
              </w:rPr>
            </w:pPr>
            <w:r w:rsidRPr="001F07B8">
              <w:rPr>
                <w:sz w:val="20"/>
                <w:szCs w:val="20"/>
              </w:rPr>
              <w:t xml:space="preserve">Move around the room and </w:t>
            </w:r>
            <w:r w:rsidR="008B5C8A">
              <w:rPr>
                <w:sz w:val="20"/>
                <w:szCs w:val="20"/>
              </w:rPr>
              <w:t>help</w:t>
            </w:r>
            <w:r w:rsidRPr="001F07B8">
              <w:rPr>
                <w:sz w:val="20"/>
                <w:szCs w:val="20"/>
              </w:rPr>
              <w:t xml:space="preserve"> students where necessary.</w:t>
            </w:r>
          </w:p>
        </w:tc>
        <w:tc>
          <w:tcPr>
            <w:tcW w:w="1358" w:type="dxa"/>
          </w:tcPr>
          <w:p w:rsidR="001F07B8" w:rsidRPr="001F07B8" w:rsidRDefault="001F07B8" w:rsidP="001F07B8">
            <w:pPr>
              <w:spacing w:before="60" w:after="120" w:line="240" w:lineRule="auto"/>
              <w:rPr>
                <w:sz w:val="20"/>
                <w:szCs w:val="20"/>
              </w:rPr>
            </w:pPr>
            <w:r w:rsidRPr="001F07B8">
              <w:rPr>
                <w:sz w:val="20"/>
                <w:szCs w:val="20"/>
              </w:rPr>
              <w:t>Large sheet of cardboard (one per group)</w:t>
            </w:r>
          </w:p>
        </w:tc>
      </w:tr>
      <w:tr w:rsidR="001F07B8" w:rsidRPr="009D15D5">
        <w:trPr>
          <w:jc w:val="center"/>
        </w:trPr>
        <w:tc>
          <w:tcPr>
            <w:tcW w:w="9639" w:type="dxa"/>
            <w:gridSpan w:val="4"/>
            <w:shd w:val="clear" w:color="auto" w:fill="E6E6E6"/>
          </w:tcPr>
          <w:p w:rsidR="001F07B8" w:rsidRPr="009D15D5" w:rsidRDefault="001F07B8" w:rsidP="00A573E2">
            <w:pPr>
              <w:spacing w:before="60" w:after="60" w:line="240" w:lineRule="auto"/>
              <w:rPr>
                <w:b/>
              </w:rPr>
            </w:pPr>
            <w:r w:rsidRPr="009D15D5">
              <w:rPr>
                <w:b/>
              </w:rPr>
              <w:t xml:space="preserve">Section </w:t>
            </w:r>
            <w:r>
              <w:rPr>
                <w:b/>
              </w:rPr>
              <w:t>4. Soundscape performance</w:t>
            </w:r>
          </w:p>
        </w:tc>
      </w:tr>
      <w:tr w:rsidR="001F07B8">
        <w:trPr>
          <w:jc w:val="center"/>
        </w:trPr>
        <w:tc>
          <w:tcPr>
            <w:tcW w:w="1863" w:type="dxa"/>
          </w:tcPr>
          <w:p w:rsidR="001F07B8" w:rsidRPr="001F07B8" w:rsidRDefault="001F07B8" w:rsidP="001F07B8">
            <w:pPr>
              <w:spacing w:before="60" w:after="120" w:line="240" w:lineRule="auto"/>
              <w:rPr>
                <w:sz w:val="20"/>
              </w:rPr>
            </w:pPr>
            <w:r w:rsidRPr="001F07B8">
              <w:rPr>
                <w:sz w:val="20"/>
              </w:rPr>
              <w:t>3 sessions</w:t>
            </w:r>
          </w:p>
        </w:tc>
        <w:tc>
          <w:tcPr>
            <w:tcW w:w="3178" w:type="dxa"/>
          </w:tcPr>
          <w:p w:rsidR="001F07B8" w:rsidRPr="001F07B8" w:rsidRDefault="00D3529E" w:rsidP="001F07B8">
            <w:pPr>
              <w:spacing w:before="60" w:after="120" w:line="240" w:lineRule="auto"/>
              <w:rPr>
                <w:sz w:val="20"/>
              </w:rPr>
            </w:pPr>
            <w:r>
              <w:rPr>
                <w:sz w:val="20"/>
              </w:rPr>
              <w:t>Practise playing the</w:t>
            </w:r>
            <w:r w:rsidR="001F07B8" w:rsidRPr="001F07B8">
              <w:rPr>
                <w:sz w:val="20"/>
              </w:rPr>
              <w:t xml:space="preserve"> soundscape, ensuring that sound sources are played according to their performance notes</w:t>
            </w:r>
            <w:r w:rsidR="008B5C8A">
              <w:rPr>
                <w:sz w:val="20"/>
              </w:rPr>
              <w:t>.</w:t>
            </w:r>
            <w:r w:rsidR="001F07B8" w:rsidRPr="001F07B8">
              <w:rPr>
                <w:sz w:val="20"/>
              </w:rPr>
              <w:t xml:space="preserve"> </w:t>
            </w:r>
          </w:p>
          <w:p w:rsidR="001F07B8" w:rsidRPr="001F07B8" w:rsidRDefault="00D3529E" w:rsidP="001F07B8">
            <w:pPr>
              <w:spacing w:before="60" w:after="120" w:line="240" w:lineRule="auto"/>
              <w:rPr>
                <w:sz w:val="20"/>
              </w:rPr>
            </w:pPr>
            <w:r>
              <w:rPr>
                <w:sz w:val="20"/>
              </w:rPr>
              <w:t>G</w:t>
            </w:r>
            <w:r w:rsidR="001F07B8" w:rsidRPr="001F07B8">
              <w:rPr>
                <w:sz w:val="20"/>
              </w:rPr>
              <w:t xml:space="preserve">ive feedback </w:t>
            </w:r>
            <w:r>
              <w:rPr>
                <w:sz w:val="20"/>
              </w:rPr>
              <w:t>to each other.</w:t>
            </w:r>
          </w:p>
          <w:p w:rsidR="001F07B8" w:rsidRPr="001F07B8" w:rsidRDefault="008B5C8A" w:rsidP="001F07B8">
            <w:pPr>
              <w:spacing w:before="60" w:after="120" w:line="240" w:lineRule="auto"/>
              <w:rPr>
                <w:sz w:val="20"/>
              </w:rPr>
            </w:pPr>
            <w:r>
              <w:rPr>
                <w:sz w:val="20"/>
              </w:rPr>
              <w:t>P</w:t>
            </w:r>
            <w:r w:rsidR="001F07B8" w:rsidRPr="001F07B8">
              <w:rPr>
                <w:sz w:val="20"/>
              </w:rPr>
              <w:t xml:space="preserve">erform the soundscape </w:t>
            </w:r>
            <w:r w:rsidR="00976550">
              <w:rPr>
                <w:sz w:val="20"/>
              </w:rPr>
              <w:t>for</w:t>
            </w:r>
            <w:r w:rsidR="001F07B8" w:rsidRPr="001F07B8">
              <w:rPr>
                <w:sz w:val="20"/>
              </w:rPr>
              <w:t xml:space="preserve"> the class.</w:t>
            </w:r>
          </w:p>
        </w:tc>
        <w:tc>
          <w:tcPr>
            <w:tcW w:w="3240" w:type="dxa"/>
          </w:tcPr>
          <w:p w:rsidR="001F07B8" w:rsidRPr="001F07B8" w:rsidRDefault="001F07B8" w:rsidP="001F07B8">
            <w:pPr>
              <w:spacing w:before="60" w:after="120" w:line="240" w:lineRule="auto"/>
              <w:rPr>
                <w:sz w:val="20"/>
              </w:rPr>
            </w:pPr>
            <w:r w:rsidRPr="001F07B8">
              <w:rPr>
                <w:sz w:val="20"/>
              </w:rPr>
              <w:t>Monitor students to ensure that all are contributing.</w:t>
            </w:r>
          </w:p>
          <w:p w:rsidR="001F07B8" w:rsidRPr="001F07B8" w:rsidRDefault="001F07B8" w:rsidP="001F07B8">
            <w:pPr>
              <w:spacing w:before="60" w:after="120" w:line="240" w:lineRule="auto"/>
              <w:rPr>
                <w:sz w:val="20"/>
              </w:rPr>
            </w:pPr>
            <w:r w:rsidRPr="001F07B8">
              <w:rPr>
                <w:sz w:val="20"/>
              </w:rPr>
              <w:t>Enco</w:t>
            </w:r>
            <w:r w:rsidR="00D3529E">
              <w:rPr>
                <w:sz w:val="20"/>
              </w:rPr>
              <w:t>urage positive student feedback.</w:t>
            </w:r>
          </w:p>
          <w:p w:rsidR="001F07B8" w:rsidRPr="001F07B8" w:rsidRDefault="001F07B8" w:rsidP="001F07B8">
            <w:pPr>
              <w:spacing w:before="60" w:after="120" w:line="240" w:lineRule="auto"/>
              <w:rPr>
                <w:sz w:val="20"/>
              </w:rPr>
            </w:pPr>
            <w:r w:rsidRPr="001F07B8">
              <w:rPr>
                <w:sz w:val="20"/>
              </w:rPr>
              <w:t>Make judgments about the quality of each student’s performance.</w:t>
            </w:r>
          </w:p>
        </w:tc>
        <w:tc>
          <w:tcPr>
            <w:tcW w:w="1358" w:type="dxa"/>
          </w:tcPr>
          <w:p w:rsidR="001F07B8" w:rsidRPr="001F07B8" w:rsidRDefault="001F07B8" w:rsidP="001F07B8">
            <w:pPr>
              <w:spacing w:before="60" w:after="120" w:line="240" w:lineRule="auto"/>
              <w:rPr>
                <w:sz w:val="20"/>
              </w:rPr>
            </w:pPr>
            <w:r w:rsidRPr="001F07B8">
              <w:rPr>
                <w:sz w:val="20"/>
              </w:rPr>
              <w:t>A variety of sound sources</w:t>
            </w:r>
          </w:p>
          <w:p w:rsidR="00D3529E" w:rsidRPr="001F07B8" w:rsidRDefault="00D3529E" w:rsidP="001F07B8">
            <w:pPr>
              <w:spacing w:before="60" w:after="120" w:line="240" w:lineRule="auto"/>
              <w:rPr>
                <w:sz w:val="20"/>
              </w:rPr>
            </w:pPr>
            <w:r>
              <w:rPr>
                <w:sz w:val="20"/>
              </w:rPr>
              <w:t>Appendix B: Music word bank</w:t>
            </w:r>
          </w:p>
        </w:tc>
      </w:tr>
    </w:tbl>
    <w:p w:rsidR="009F1EAE" w:rsidRPr="004F4CBC" w:rsidRDefault="009F1EAE" w:rsidP="00A573E2">
      <w:pPr>
        <w:pStyle w:val="tablesml"/>
        <w:spacing w:before="0" w:after="0" w:line="240" w:lineRule="auto"/>
        <w:rPr>
          <w:rStyle w:val="Publishingnote"/>
          <w:color w:val="auto"/>
          <w:sz w:val="16"/>
          <w:szCs w:val="16"/>
        </w:rPr>
      </w:pP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4F4CBC">
            <w:pPr>
              <w:spacing w:before="0" w:after="0" w:line="240" w:lineRule="auto"/>
            </w:pPr>
            <w:r>
              <w:br w:type="page"/>
            </w:r>
            <w:r w:rsidR="005A5CCA">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C80EDD" w:rsidRPr="00D43BC1" w:rsidRDefault="000B7AA0" w:rsidP="00657FE9">
      <w:pPr>
        <w:spacing w:after="0"/>
        <w:ind w:left="1512" w:hanging="1512"/>
      </w:pPr>
      <w:r>
        <w:t>Appendix A</w:t>
      </w:r>
      <w:r>
        <w:tab/>
      </w:r>
      <w:r>
        <w:tab/>
      </w:r>
      <w:r w:rsidR="00A04CA2">
        <w:t xml:space="preserve">The Arts — </w:t>
      </w:r>
      <w:r w:rsidR="008B5C8A">
        <w:t>A</w:t>
      </w:r>
      <w:r w:rsidR="00A04CA2">
        <w:t xml:space="preserve"> creative process</w:t>
      </w:r>
      <w:r w:rsidR="00A573E2">
        <w:t xml:space="preserve"> </w:t>
      </w:r>
      <w:r w:rsidR="00E71EB4">
        <w:br/>
      </w:r>
      <w:r w:rsidR="003C0B18">
        <w:t>D</w:t>
      </w:r>
      <w:r w:rsidR="00C80EDD" w:rsidRPr="00E16743">
        <w:t>escribes the process of creative reflection and refinement</w:t>
      </w:r>
      <w:r w:rsidR="008B5C8A">
        <w:t xml:space="preserve"> that</w:t>
      </w:r>
      <w:r w:rsidR="00C80EDD" w:rsidRPr="00E16743">
        <w:t xml:space="preserve"> students are encouraged to use throughout this assessment.</w:t>
      </w:r>
    </w:p>
    <w:p w:rsidR="00C80EDD" w:rsidRPr="00D43BC1" w:rsidRDefault="00D43BC1" w:rsidP="00657FE9">
      <w:pPr>
        <w:spacing w:after="0"/>
        <w:ind w:left="1512" w:hanging="1512"/>
      </w:pPr>
      <w:r w:rsidRPr="00D43BC1">
        <w:t>Appendix B</w:t>
      </w:r>
      <w:r w:rsidRPr="00D43BC1">
        <w:tab/>
      </w:r>
      <w:r w:rsidRPr="00D43BC1">
        <w:tab/>
      </w:r>
      <w:r w:rsidR="00A04CA2">
        <w:t>Music word bank</w:t>
      </w:r>
      <w:r w:rsidR="00A573E2">
        <w:t xml:space="preserve"> </w:t>
      </w:r>
      <w:r w:rsidR="00E71EB4">
        <w:br/>
      </w:r>
      <w:r w:rsidR="003C0B18">
        <w:t>S</w:t>
      </w:r>
      <w:r w:rsidR="00C80EDD" w:rsidRPr="00E16743">
        <w:t>uggests “safe” words that students can use when giving peer feedback</w:t>
      </w:r>
      <w:r w:rsidR="00C80EDD">
        <w:t>.</w:t>
      </w:r>
    </w:p>
    <w:p w:rsidR="00FA5455" w:rsidRDefault="00943DC9" w:rsidP="00FA5455">
      <w:r>
        <w:br w:type="page"/>
      </w:r>
      <w:r w:rsidR="005A5CCA">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94626A">
      <w:pPr>
        <w:spacing w:after="80"/>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B14C35">
      <w:pPr>
        <w:pStyle w:val="Bulletslevel1"/>
        <w:spacing w:before="0" w:after="120" w:line="240" w:lineRule="auto"/>
        <w:rPr>
          <w:i/>
        </w:rPr>
      </w:pPr>
      <w:r w:rsidRPr="005571B4">
        <w:rPr>
          <w:i/>
        </w:rPr>
        <w:t>Guide to making judgments</w:t>
      </w:r>
    </w:p>
    <w:p w:rsidR="00FA5455" w:rsidRPr="005571B4" w:rsidRDefault="00FA5455" w:rsidP="00B14C35">
      <w:pPr>
        <w:pStyle w:val="Bulletslevel1"/>
        <w:spacing w:before="0" w:after="120" w:line="240" w:lineRule="auto"/>
        <w:rPr>
          <w:i/>
        </w:rPr>
      </w:pPr>
      <w:r w:rsidRPr="005571B4">
        <w:rPr>
          <w:i/>
        </w:rPr>
        <w:t>Indicative A response</w:t>
      </w:r>
    </w:p>
    <w:p w:rsidR="00FA5455" w:rsidRPr="005571B4" w:rsidRDefault="00FA5455" w:rsidP="00B14C35">
      <w:pPr>
        <w:pStyle w:val="Bulletslevel1"/>
        <w:spacing w:before="0" w:after="120" w:line="240" w:lineRule="auto"/>
        <w:rPr>
          <w:i/>
        </w:rPr>
      </w:pPr>
      <w:r w:rsidRPr="005571B4">
        <w:rPr>
          <w:i/>
        </w:rPr>
        <w:t xml:space="preserve">Sample responses </w:t>
      </w:r>
      <w:r w:rsidRPr="009F1EAE">
        <w:t>(where available).</w:t>
      </w:r>
    </w:p>
    <w:p w:rsidR="005110F5" w:rsidRDefault="005110F5" w:rsidP="00B14C35">
      <w:pPr>
        <w:pStyle w:val="Heading3"/>
        <w:spacing w:before="120" w:after="0"/>
      </w:pPr>
      <w:r w:rsidRPr="005110F5">
        <w:t>Making judgments about this assessment</w:t>
      </w:r>
    </w:p>
    <w:p w:rsidR="00B91157" w:rsidRPr="00B91157" w:rsidRDefault="00B91157" w:rsidP="00A22BE6">
      <w:pPr>
        <w:spacing w:after="80"/>
      </w:pPr>
      <w:r w:rsidRPr="00E16743">
        <w:t>Although students are working in groups</w:t>
      </w:r>
      <w:r w:rsidR="003C0B18">
        <w:t>,</w:t>
      </w:r>
      <w:r w:rsidRPr="00E16743">
        <w:t xml:space="preserve"> their performance will need to be monitored and judged individually. It </w:t>
      </w:r>
      <w:r w:rsidR="003C0B18">
        <w:t>is</w:t>
      </w:r>
      <w:r w:rsidRPr="00E16743">
        <w:t xml:space="preserve"> </w:t>
      </w:r>
      <w:r w:rsidR="003C0B18">
        <w:t>possible</w:t>
      </w:r>
      <w:r w:rsidRPr="00E16743">
        <w:t xml:space="preserve"> for two students in the same group to receive different grades.  </w:t>
      </w:r>
    </w:p>
    <w:tbl>
      <w:tblPr>
        <w:tblW w:w="9639" w:type="dxa"/>
        <w:tblLook w:val="01E0" w:firstRow="1" w:lastRow="1" w:firstColumn="1" w:lastColumn="1" w:noHBand="0" w:noVBand="0"/>
      </w:tblPr>
      <w:tblGrid>
        <w:gridCol w:w="1072"/>
        <w:gridCol w:w="8567"/>
      </w:tblGrid>
      <w:tr w:rsidR="00FA5455" w:rsidRPr="008814B0">
        <w:trPr>
          <w:trHeight w:val="870"/>
        </w:trPr>
        <w:tc>
          <w:tcPr>
            <w:tcW w:w="556" w:type="pct"/>
            <w:vAlign w:val="center"/>
          </w:tcPr>
          <w:p w:rsidR="00FA5455" w:rsidRPr="000B2F55" w:rsidRDefault="005A5CCA" w:rsidP="00C53568">
            <w:pPr>
              <w:spacing w:before="0" w:after="0" w:line="240" w:lineRule="auto"/>
            </w:pPr>
            <w:r>
              <w:rPr>
                <w:noProof/>
              </w:rPr>
              <w:drawing>
                <wp:inline distT="0" distB="0" distL="0" distR="0">
                  <wp:extent cx="469265" cy="469265"/>
                  <wp:effectExtent l="0" t="0" r="6985" b="6985"/>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p>
        </w:tc>
        <w:tc>
          <w:tcPr>
            <w:tcW w:w="4444" w:type="pct"/>
            <w:vAlign w:val="center"/>
          </w:tcPr>
          <w:p w:rsidR="00FA5455" w:rsidRPr="008814B0" w:rsidRDefault="00FA5455" w:rsidP="00C53568">
            <w:pPr>
              <w:spacing w:before="0" w:after="0" w:line="240" w:lineRule="auto"/>
            </w:pPr>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5A5CCA" w:rsidP="00FA5455">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B14C35">
      <w:pPr>
        <w:pStyle w:val="Heading3"/>
        <w:spacing w:before="120" w:after="0"/>
      </w:pPr>
      <w:r>
        <w:t>Giving feedback</w:t>
      </w:r>
      <w:r w:rsidRPr="005110F5">
        <w:t xml:space="preserve"> about this assessment</w:t>
      </w:r>
    </w:p>
    <w:p w:rsidR="00B91157" w:rsidRPr="00E16743" w:rsidRDefault="00B91157" w:rsidP="00B91157">
      <w:r w:rsidRPr="00E16743">
        <w:t>Give students regular feedback about how they can enhance their creative process and develop their performance.</w:t>
      </w:r>
    </w:p>
    <w:p w:rsidR="00B91157" w:rsidRPr="00B91157" w:rsidRDefault="00B91157" w:rsidP="00A22BE6">
      <w:pPr>
        <w:spacing w:after="80"/>
      </w:pPr>
      <w:r w:rsidRPr="00E16743">
        <w:t>Have students listen to each others</w:t>
      </w:r>
      <w:r w:rsidR="003C0B18">
        <w:t>’</w:t>
      </w:r>
      <w:r w:rsidRPr="00E16743">
        <w:t xml:space="preserve"> performances</w:t>
      </w:r>
      <w:r w:rsidR="003C0B18">
        <w:t xml:space="preserve">, </w:t>
      </w:r>
      <w:r w:rsidRPr="00E16743">
        <w:t xml:space="preserve">during both the rehearsal </w:t>
      </w:r>
      <w:r w:rsidR="003C0B18">
        <w:t xml:space="preserve">and performance </w:t>
      </w:r>
      <w:r w:rsidRPr="00E16743">
        <w:t>phase</w:t>
      </w:r>
      <w:r w:rsidR="003C0B18">
        <w:t>s,</w:t>
      </w:r>
      <w:r w:rsidRPr="00E16743">
        <w:t xml:space="preserve"> and give each other feedback. Guide students in how to give posit</w:t>
      </w:r>
      <w:r w:rsidR="00E540D2">
        <w:t xml:space="preserve">ive and constructive feedback. </w:t>
      </w:r>
      <w:r w:rsidR="00412D77" w:rsidRPr="00E16743">
        <w:t xml:space="preserve">It may be useful to create a list of “safe” words that </w:t>
      </w:r>
      <w:r w:rsidR="00412D77">
        <w:t>students can use</w:t>
      </w:r>
      <w:r w:rsidR="00412D77" w:rsidRPr="00E16743">
        <w:t xml:space="preserve"> for peer feedbac</w:t>
      </w:r>
      <w:r w:rsidR="00412D77">
        <w:t>k (s</w:t>
      </w:r>
      <w:r w:rsidR="00412D77" w:rsidRPr="00E16743">
        <w:t xml:space="preserve">ee Appendix </w:t>
      </w:r>
      <w:r w:rsidR="00412D77">
        <w:t>B: Music word bank)</w:t>
      </w:r>
      <w:r w:rsidR="00412D77" w:rsidRPr="00E16743">
        <w:t xml:space="preserve">. </w:t>
      </w: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5A5CCA" w:rsidP="002C1E49">
            <w:pPr>
              <w:spacing w:before="0" w:after="0" w:line="240" w:lineRule="auto"/>
            </w:pPr>
            <w:r>
              <w:rPr>
                <w:noProof/>
              </w:rPr>
              <w:drawing>
                <wp:inline distT="0" distB="0" distL="0" distR="0">
                  <wp:extent cx="469265" cy="469265"/>
                  <wp:effectExtent l="0" t="0" r="6985" b="698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C53568">
            <w:pPr>
              <w:spacing w:before="0" w:after="0" w:line="240" w:lineRule="auto"/>
            </w:pPr>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963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1645ED" w:rsidRPr="00402019" w:rsidTr="00402019">
        <w:trPr>
          <w:trHeight w:val="13397"/>
          <w:jc w:val="center"/>
        </w:trPr>
        <w:tc>
          <w:tcPr>
            <w:tcW w:w="9639" w:type="dxa"/>
            <w:shd w:val="clear" w:color="auto" w:fill="auto"/>
          </w:tcPr>
          <w:p w:rsidR="001645ED" w:rsidRPr="00402019" w:rsidRDefault="001645ED" w:rsidP="00402019">
            <w:pPr>
              <w:pStyle w:val="Heading2"/>
              <w:widowControl w:val="0"/>
              <w:spacing w:after="0"/>
              <w:jc w:val="center"/>
              <w:rPr>
                <w:rFonts w:ascii="Arial Rounded MT Bold" w:hAnsi="Arial Rounded MT Bold"/>
                <w:b w:val="0"/>
                <w:i w:val="0"/>
                <w:sz w:val="52"/>
                <w:szCs w:val="52"/>
              </w:rPr>
            </w:pPr>
            <w:r w:rsidRPr="00402019">
              <w:rPr>
                <w:rFonts w:ascii="Arial Rounded MT Bold" w:hAnsi="Arial Rounded MT Bold"/>
                <w:b w:val="0"/>
                <w:i w:val="0"/>
                <w:sz w:val="52"/>
                <w:szCs w:val="52"/>
              </w:rPr>
              <w:t>The Arts — A creative process</w:t>
            </w:r>
          </w:p>
          <w:p w:rsidR="001645ED" w:rsidRPr="00402019" w:rsidRDefault="001645ED" w:rsidP="00402019">
            <w:pPr>
              <w:widowControl w:val="0"/>
              <w:rPr>
                <w:szCs w:val="22"/>
              </w:rPr>
            </w:pPr>
          </w:p>
          <w:p w:rsidR="001645ED" w:rsidRPr="00402019" w:rsidRDefault="001645ED" w:rsidP="00402019">
            <w:pPr>
              <w:pStyle w:val="Bulletslevel1"/>
              <w:widowControl w:val="0"/>
              <w:tabs>
                <w:tab w:val="clear" w:pos="380"/>
                <w:tab w:val="num" w:pos="1662"/>
              </w:tabs>
              <w:spacing w:before="0" w:line="240" w:lineRule="auto"/>
              <w:ind w:left="1661"/>
              <w:rPr>
                <w:rFonts w:ascii="Helvetica" w:hAnsi="Helvetica"/>
                <w:sz w:val="28"/>
                <w:szCs w:val="28"/>
              </w:rPr>
            </w:pPr>
            <w:r w:rsidRPr="00402019">
              <w:rPr>
                <w:rFonts w:ascii="Helvetica" w:hAnsi="Helvetica"/>
                <w:b/>
                <w:bCs/>
                <w:sz w:val="28"/>
                <w:szCs w:val="28"/>
              </w:rPr>
              <w:t>Creating</w:t>
            </w:r>
            <w:r w:rsidRPr="00402019">
              <w:rPr>
                <w:rFonts w:ascii="Helvetica" w:hAnsi="Helvetica"/>
                <w:sz w:val="28"/>
                <w:szCs w:val="28"/>
              </w:rPr>
              <w:t xml:space="preserve"> is an important aspect of The Arts.</w:t>
            </w:r>
          </w:p>
          <w:p w:rsidR="001645ED" w:rsidRPr="00402019" w:rsidRDefault="001645ED" w:rsidP="00402019">
            <w:pPr>
              <w:pStyle w:val="Bulletslevel1"/>
              <w:widowControl w:val="0"/>
              <w:tabs>
                <w:tab w:val="clear" w:pos="380"/>
                <w:tab w:val="num" w:pos="1662"/>
              </w:tabs>
              <w:spacing w:line="240" w:lineRule="auto"/>
              <w:ind w:left="1662"/>
              <w:rPr>
                <w:rFonts w:ascii="Helvetica" w:hAnsi="Helvetica"/>
                <w:sz w:val="28"/>
                <w:szCs w:val="28"/>
              </w:rPr>
            </w:pPr>
            <w:r w:rsidRPr="00402019">
              <w:rPr>
                <w:rFonts w:ascii="Helvetica" w:hAnsi="Helvetica"/>
                <w:sz w:val="28"/>
                <w:szCs w:val="28"/>
              </w:rPr>
              <w:t xml:space="preserve">It is essential that students are taught </w:t>
            </w:r>
            <w:r w:rsidRPr="00402019">
              <w:rPr>
                <w:rFonts w:ascii="Helvetica" w:hAnsi="Helvetica"/>
                <w:b/>
                <w:bCs/>
                <w:sz w:val="28"/>
                <w:szCs w:val="28"/>
              </w:rPr>
              <w:t>how to create</w:t>
            </w:r>
            <w:r w:rsidRPr="00402019">
              <w:rPr>
                <w:rFonts w:ascii="Helvetica" w:hAnsi="Helvetica"/>
                <w:sz w:val="28"/>
                <w:szCs w:val="28"/>
              </w:rPr>
              <w:t xml:space="preserve">, </w:t>
            </w:r>
            <w:r w:rsidRPr="00402019">
              <w:rPr>
                <w:rFonts w:ascii="Helvetica" w:hAnsi="Helvetica"/>
                <w:sz w:val="28"/>
                <w:szCs w:val="28"/>
              </w:rPr>
              <w:br/>
              <w:t xml:space="preserve">rather than just being </w:t>
            </w:r>
            <w:r w:rsidRPr="00402019">
              <w:rPr>
                <w:rFonts w:ascii="Helvetica" w:hAnsi="Helvetica"/>
                <w:b/>
                <w:sz w:val="28"/>
                <w:szCs w:val="28"/>
              </w:rPr>
              <w:t xml:space="preserve">asked </w:t>
            </w:r>
            <w:r w:rsidRPr="00402019">
              <w:rPr>
                <w:rFonts w:ascii="Helvetica" w:hAnsi="Helvetica"/>
                <w:b/>
                <w:bCs/>
                <w:sz w:val="28"/>
                <w:szCs w:val="28"/>
              </w:rPr>
              <w:t>to</w:t>
            </w:r>
            <w:r w:rsidRPr="00402019">
              <w:rPr>
                <w:rFonts w:ascii="Helvetica" w:hAnsi="Helvetica"/>
                <w:b/>
                <w:sz w:val="28"/>
                <w:szCs w:val="28"/>
              </w:rPr>
              <w:t xml:space="preserve"> create</w:t>
            </w:r>
            <w:r w:rsidRPr="00402019">
              <w:rPr>
                <w:rFonts w:ascii="Helvetica" w:hAnsi="Helvetica"/>
                <w:sz w:val="28"/>
                <w:szCs w:val="28"/>
              </w:rPr>
              <w:t>.</w:t>
            </w:r>
          </w:p>
          <w:p w:rsidR="001645ED" w:rsidRPr="00402019" w:rsidRDefault="001645ED" w:rsidP="00402019">
            <w:pPr>
              <w:pStyle w:val="Bulletslevel1"/>
              <w:widowControl w:val="0"/>
              <w:tabs>
                <w:tab w:val="clear" w:pos="380"/>
                <w:tab w:val="num" w:pos="1662"/>
              </w:tabs>
              <w:spacing w:line="240" w:lineRule="auto"/>
              <w:ind w:left="1662"/>
              <w:rPr>
                <w:rFonts w:ascii="Helvetica" w:hAnsi="Helvetica"/>
                <w:sz w:val="28"/>
                <w:szCs w:val="28"/>
              </w:rPr>
            </w:pPr>
            <w:r w:rsidRPr="00402019">
              <w:rPr>
                <w:rFonts w:ascii="Helvetica" w:hAnsi="Helvetica"/>
                <w:sz w:val="28"/>
                <w:szCs w:val="28"/>
              </w:rPr>
              <w:t xml:space="preserve">The creative process is </w:t>
            </w:r>
            <w:r w:rsidRPr="00402019">
              <w:rPr>
                <w:rFonts w:ascii="Helvetica" w:hAnsi="Helvetica"/>
                <w:b/>
                <w:bCs/>
                <w:sz w:val="28"/>
                <w:szCs w:val="28"/>
              </w:rPr>
              <w:t>iterative</w:t>
            </w:r>
            <w:r w:rsidRPr="00402019">
              <w:rPr>
                <w:rFonts w:ascii="Helvetica" w:hAnsi="Helvetica"/>
                <w:bCs/>
                <w:sz w:val="28"/>
                <w:szCs w:val="28"/>
              </w:rPr>
              <w:t>.</w:t>
            </w:r>
          </w:p>
          <w:p w:rsidR="001645ED" w:rsidRPr="00402019" w:rsidRDefault="001645ED" w:rsidP="00402019">
            <w:pPr>
              <w:pStyle w:val="Bulletslevel1"/>
              <w:widowControl w:val="0"/>
              <w:tabs>
                <w:tab w:val="clear" w:pos="380"/>
                <w:tab w:val="num" w:pos="1662"/>
              </w:tabs>
              <w:spacing w:line="240" w:lineRule="auto"/>
              <w:ind w:left="1662"/>
              <w:rPr>
                <w:rFonts w:ascii="Berlin Sans FB" w:hAnsi="Berlin Sans FB"/>
                <w:sz w:val="28"/>
                <w:szCs w:val="28"/>
              </w:rPr>
            </w:pPr>
            <w:r w:rsidRPr="00402019">
              <w:rPr>
                <w:rFonts w:ascii="Helvetica" w:hAnsi="Helvetica"/>
                <w:sz w:val="28"/>
                <w:szCs w:val="28"/>
              </w:rPr>
              <w:t>Students' creative skills develop</w:t>
            </w:r>
            <w:r w:rsidRPr="00402019">
              <w:rPr>
                <w:rFonts w:ascii="Helvetica" w:hAnsi="Helvetica"/>
                <w:b/>
                <w:sz w:val="28"/>
                <w:szCs w:val="28"/>
              </w:rPr>
              <w:t xml:space="preserve"> </w:t>
            </w:r>
            <w:r w:rsidRPr="00402019">
              <w:rPr>
                <w:rFonts w:ascii="Helvetica" w:hAnsi="Helvetica"/>
                <w:b/>
                <w:bCs/>
                <w:sz w:val="28"/>
                <w:szCs w:val="28"/>
              </w:rPr>
              <w:t>over time</w:t>
            </w:r>
            <w:r w:rsidRPr="00402019">
              <w:rPr>
                <w:rFonts w:ascii="Helvetica" w:hAnsi="Helvetica"/>
                <w:sz w:val="28"/>
                <w:szCs w:val="28"/>
              </w:rPr>
              <w:t>.</w:t>
            </w:r>
          </w:p>
          <w:p w:rsidR="001645ED" w:rsidRPr="00402019" w:rsidRDefault="005A5CCA" w:rsidP="00402019">
            <w:pPr>
              <w:widowControl w:val="0"/>
              <w:spacing w:before="100" w:beforeAutospacing="1" w:after="100" w:afterAutospacing="1" w:line="240" w:lineRule="auto"/>
              <w:jc w:val="center"/>
              <w:rPr>
                <w:rFonts w:ascii="Times New Roman" w:hAnsi="Times New Roman"/>
                <w:sz w:val="24"/>
                <w:szCs w:val="22"/>
              </w:rPr>
            </w:pPr>
            <w:r>
              <w:rPr>
                <w:noProof/>
                <w:szCs w:val="22"/>
              </w:rPr>
              <w:drawing>
                <wp:inline distT="0" distB="0" distL="0" distR="0">
                  <wp:extent cx="5355590" cy="6448425"/>
                  <wp:effectExtent l="0" t="0" r="0" b="9525"/>
                  <wp:docPr id="5" name="Picture 5"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Process_Diagram_240108"/>
                          <pic:cNvPicPr>
                            <a:picLocks noChangeAspect="1" noChangeArrowheads="1"/>
                          </pic:cNvPicPr>
                        </pic:nvPicPr>
                        <pic:blipFill>
                          <a:blip r:embed="rId24" cstate="print">
                            <a:extLst>
                              <a:ext uri="{28A0092B-C50C-407E-A947-70E740481C1C}">
                                <a14:useLocalDpi xmlns:a14="http://schemas.microsoft.com/office/drawing/2010/main" val="0"/>
                              </a:ext>
                            </a:extLst>
                          </a:blip>
                          <a:srcRect t="3760"/>
                          <a:stretch>
                            <a:fillRect/>
                          </a:stretch>
                        </pic:blipFill>
                        <pic:spPr bwMode="auto">
                          <a:xfrm>
                            <a:off x="0" y="0"/>
                            <a:ext cx="5355590" cy="6448425"/>
                          </a:xfrm>
                          <a:prstGeom prst="rect">
                            <a:avLst/>
                          </a:prstGeom>
                          <a:noFill/>
                          <a:ln>
                            <a:noFill/>
                          </a:ln>
                        </pic:spPr>
                      </pic:pic>
                    </a:graphicData>
                  </a:graphic>
                </wp:inline>
              </w:drawing>
            </w:r>
          </w:p>
        </w:tc>
      </w:tr>
    </w:tbl>
    <w:p w:rsidR="009E5D0B" w:rsidRPr="00CA0560" w:rsidRDefault="009E5D0B" w:rsidP="009E5D0B">
      <w:pPr>
        <w:pStyle w:val="Heading2TOP"/>
      </w:pPr>
      <w:r w:rsidRPr="00CA0560">
        <w:t>Music word bank</w:t>
      </w:r>
    </w:p>
    <w:p w:rsidR="009E5D0B" w:rsidRDefault="009E5D0B" w:rsidP="009E5D0B">
      <w:r w:rsidRPr="00CA0560">
        <w:t>Teachers should be sensitive to issues that may arise as students respond to their own work and that of other students. It may be useful to develop a list of appropriate and “safe” words (see below) that can be used to describe peer performances. This will help increase students’ Arts vocabulary and allow them to show empathy toward others. Brainstorm ideas with students and add to this list.</w:t>
      </w:r>
    </w:p>
    <w:p w:rsidR="00DA50C9" w:rsidRPr="00CA0560" w:rsidRDefault="00DA50C9" w:rsidP="009E5D0B"/>
    <w:tbl>
      <w:tblPr>
        <w:tblW w:w="9639" w:type="dxa"/>
        <w:jc w:val="center"/>
        <w:tblBorders>
          <w:top w:val="single" w:sz="18" w:space="0" w:color="auto"/>
          <w:left w:val="single" w:sz="18" w:space="0" w:color="auto"/>
          <w:bottom w:val="single" w:sz="18" w:space="0" w:color="auto"/>
          <w:right w:val="single" w:sz="18" w:space="0" w:color="auto"/>
        </w:tblBorders>
        <w:tblCellMar>
          <w:top w:w="74" w:type="dxa"/>
          <w:left w:w="74" w:type="dxa"/>
          <w:bottom w:w="74" w:type="dxa"/>
          <w:right w:w="74" w:type="dxa"/>
        </w:tblCellMar>
        <w:tblLook w:val="01E0" w:firstRow="1" w:lastRow="1" w:firstColumn="1" w:lastColumn="1" w:noHBand="0" w:noVBand="0"/>
      </w:tblPr>
      <w:tblGrid>
        <w:gridCol w:w="2409"/>
        <w:gridCol w:w="2410"/>
        <w:gridCol w:w="2410"/>
        <w:gridCol w:w="2410"/>
      </w:tblGrid>
      <w:tr w:rsidR="009E5D0B" w:rsidRPr="00CA0560" w:rsidTr="00402019">
        <w:trPr>
          <w:trHeight w:val="781"/>
          <w:jc w:val="center"/>
        </w:trPr>
        <w:tc>
          <w:tcPr>
            <w:tcW w:w="9639" w:type="dxa"/>
            <w:gridSpan w:val="4"/>
            <w:tcBorders>
              <w:bottom w:val="single" w:sz="18" w:space="0" w:color="auto"/>
            </w:tcBorders>
            <w:shd w:val="clear" w:color="auto" w:fill="auto"/>
          </w:tcPr>
          <w:p w:rsidR="009E5D0B" w:rsidRPr="00402019" w:rsidRDefault="009E5D0B" w:rsidP="00402019">
            <w:pPr>
              <w:widowControl w:val="0"/>
              <w:jc w:val="center"/>
              <w:rPr>
                <w:b/>
                <w:sz w:val="32"/>
                <w:szCs w:val="32"/>
              </w:rPr>
            </w:pPr>
            <w:r w:rsidRPr="00402019">
              <w:rPr>
                <w:b/>
                <w:sz w:val="32"/>
                <w:szCs w:val="32"/>
              </w:rPr>
              <w:t>“Safe” words to help discuss music</w:t>
            </w:r>
          </w:p>
          <w:p w:rsidR="009E5D0B" w:rsidRPr="00402019" w:rsidRDefault="009E5D0B" w:rsidP="00402019">
            <w:pPr>
              <w:widowControl w:val="0"/>
              <w:jc w:val="center"/>
              <w:rPr>
                <w:szCs w:val="22"/>
              </w:rPr>
            </w:pPr>
            <w:r w:rsidRPr="00402019">
              <w:rPr>
                <w:b/>
                <w:sz w:val="28"/>
                <w:szCs w:val="28"/>
              </w:rPr>
              <w:t>Words for performance</w:t>
            </w:r>
          </w:p>
        </w:tc>
      </w:tr>
      <w:tr w:rsidR="009E5D0B" w:rsidRPr="00CA0560" w:rsidTr="00402019">
        <w:trPr>
          <w:trHeight w:val="762"/>
          <w:jc w:val="center"/>
        </w:trPr>
        <w:tc>
          <w:tcPr>
            <w:tcW w:w="2409" w:type="dxa"/>
            <w:tcBorders>
              <w:top w:val="single" w:sz="18" w:space="0" w:color="auto"/>
              <w:left w:val="single" w:sz="1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energetic</w:t>
            </w:r>
          </w:p>
        </w:tc>
        <w:tc>
          <w:tcPr>
            <w:tcW w:w="2410" w:type="dxa"/>
            <w:tcBorders>
              <w:top w:val="single" w:sz="1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fluent</w:t>
            </w:r>
          </w:p>
        </w:tc>
        <w:tc>
          <w:tcPr>
            <w:tcW w:w="2410" w:type="dxa"/>
            <w:tcBorders>
              <w:top w:val="single" w:sz="1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interesting</w:t>
            </w:r>
          </w:p>
        </w:tc>
        <w:tc>
          <w:tcPr>
            <w:tcW w:w="2410" w:type="dxa"/>
            <w:tcBorders>
              <w:top w:val="single" w:sz="18" w:space="0" w:color="auto"/>
              <w:left w:val="single" w:sz="8" w:space="0" w:color="auto"/>
              <w:bottom w:val="single" w:sz="8" w:space="0" w:color="auto"/>
              <w:right w:val="single" w:sz="18" w:space="0" w:color="auto"/>
            </w:tcBorders>
            <w:shd w:val="clear" w:color="auto" w:fill="auto"/>
            <w:vAlign w:val="center"/>
          </w:tcPr>
          <w:p w:rsidR="009E5D0B" w:rsidRPr="00402019" w:rsidRDefault="009E5D0B" w:rsidP="00402019">
            <w:pPr>
              <w:widowControl w:val="0"/>
              <w:jc w:val="center"/>
              <w:rPr>
                <w:szCs w:val="22"/>
              </w:rPr>
            </w:pPr>
            <w:r w:rsidRPr="00402019">
              <w:rPr>
                <w:szCs w:val="22"/>
              </w:rPr>
              <w:t>exciting</w:t>
            </w:r>
          </w:p>
        </w:tc>
      </w:tr>
      <w:tr w:rsidR="009E5D0B" w:rsidRPr="00CA0560" w:rsidTr="00402019">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clear</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interactive</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collaborative</w:t>
            </w:r>
          </w:p>
        </w:tc>
        <w:tc>
          <w:tcPr>
            <w:tcW w:w="2410" w:type="dxa"/>
            <w:tcBorders>
              <w:top w:val="single" w:sz="8" w:space="0" w:color="auto"/>
              <w:left w:val="single" w:sz="8" w:space="0" w:color="auto"/>
              <w:bottom w:val="single" w:sz="8" w:space="0" w:color="auto"/>
              <w:right w:val="single" w:sz="18" w:space="0" w:color="auto"/>
            </w:tcBorders>
            <w:shd w:val="clear" w:color="auto" w:fill="auto"/>
            <w:vAlign w:val="center"/>
          </w:tcPr>
          <w:p w:rsidR="009E5D0B" w:rsidRPr="00402019" w:rsidRDefault="009E5D0B" w:rsidP="00402019">
            <w:pPr>
              <w:widowControl w:val="0"/>
              <w:jc w:val="center"/>
              <w:rPr>
                <w:szCs w:val="22"/>
              </w:rPr>
            </w:pPr>
            <w:r w:rsidRPr="00402019">
              <w:rPr>
                <w:szCs w:val="22"/>
              </w:rPr>
              <w:t>accurate</w:t>
            </w:r>
          </w:p>
        </w:tc>
      </w:tr>
      <w:tr w:rsidR="009E5D0B" w:rsidRPr="00CA0560" w:rsidTr="00402019">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musical</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balanced</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contrasting</w:t>
            </w:r>
          </w:p>
        </w:tc>
        <w:tc>
          <w:tcPr>
            <w:tcW w:w="2410" w:type="dxa"/>
            <w:tcBorders>
              <w:top w:val="single" w:sz="8" w:space="0" w:color="auto"/>
              <w:left w:val="single" w:sz="8" w:space="0" w:color="auto"/>
              <w:bottom w:val="single" w:sz="8" w:space="0" w:color="auto"/>
              <w:right w:val="single" w:sz="18" w:space="0" w:color="auto"/>
            </w:tcBorders>
            <w:shd w:val="clear" w:color="auto" w:fill="auto"/>
            <w:vAlign w:val="center"/>
          </w:tcPr>
          <w:p w:rsidR="009E5D0B" w:rsidRPr="00402019" w:rsidRDefault="009E5D0B" w:rsidP="00402019">
            <w:pPr>
              <w:widowControl w:val="0"/>
              <w:jc w:val="center"/>
              <w:rPr>
                <w:szCs w:val="22"/>
              </w:rPr>
            </w:pPr>
            <w:r w:rsidRPr="00402019">
              <w:rPr>
                <w:szCs w:val="22"/>
              </w:rPr>
              <w:t>used dynamics</w:t>
            </w:r>
          </w:p>
        </w:tc>
      </w:tr>
      <w:tr w:rsidR="009E5D0B" w:rsidRPr="00CA0560" w:rsidTr="00402019">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interesting textures</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creative sound sources</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dramatic</w:t>
            </w:r>
          </w:p>
        </w:tc>
        <w:tc>
          <w:tcPr>
            <w:tcW w:w="2410" w:type="dxa"/>
            <w:tcBorders>
              <w:top w:val="single" w:sz="8" w:space="0" w:color="auto"/>
              <w:left w:val="single" w:sz="8" w:space="0" w:color="auto"/>
              <w:bottom w:val="single" w:sz="8" w:space="0" w:color="auto"/>
              <w:right w:val="single" w:sz="18" w:space="0" w:color="auto"/>
            </w:tcBorders>
            <w:shd w:val="clear" w:color="auto" w:fill="auto"/>
            <w:vAlign w:val="center"/>
          </w:tcPr>
          <w:p w:rsidR="009E5D0B" w:rsidRPr="00402019" w:rsidRDefault="009E5D0B" w:rsidP="00402019">
            <w:pPr>
              <w:widowControl w:val="0"/>
              <w:jc w:val="center"/>
              <w:rPr>
                <w:szCs w:val="22"/>
              </w:rPr>
            </w:pPr>
            <w:r w:rsidRPr="00402019">
              <w:rPr>
                <w:szCs w:val="22"/>
              </w:rPr>
              <w:t>clearly tells a story</w:t>
            </w:r>
          </w:p>
        </w:tc>
      </w:tr>
      <w:tr w:rsidR="009E5D0B" w:rsidRPr="00CA0560" w:rsidTr="00402019">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r w:rsidRPr="00402019">
              <w:rPr>
                <w:szCs w:val="22"/>
              </w:rPr>
              <w:t>paints a musical picture</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9E5D0B" w:rsidRPr="00402019" w:rsidRDefault="009E5D0B" w:rsidP="00402019">
            <w:pPr>
              <w:widowControl w:val="0"/>
              <w:jc w:val="center"/>
              <w:rPr>
                <w:szCs w:val="22"/>
              </w:rPr>
            </w:pPr>
          </w:p>
        </w:tc>
        <w:tc>
          <w:tcPr>
            <w:tcW w:w="2410" w:type="dxa"/>
            <w:tcBorders>
              <w:top w:val="single" w:sz="8" w:space="0" w:color="auto"/>
              <w:left w:val="single" w:sz="8" w:space="0" w:color="auto"/>
              <w:bottom w:val="single" w:sz="8" w:space="0" w:color="auto"/>
              <w:right w:val="single" w:sz="18" w:space="0" w:color="auto"/>
            </w:tcBorders>
            <w:shd w:val="clear" w:color="auto" w:fill="auto"/>
            <w:vAlign w:val="center"/>
          </w:tcPr>
          <w:p w:rsidR="009E5D0B" w:rsidRPr="00402019" w:rsidRDefault="009E5D0B" w:rsidP="00402019">
            <w:pPr>
              <w:widowControl w:val="0"/>
              <w:jc w:val="center"/>
              <w:rPr>
                <w:szCs w:val="22"/>
              </w:rPr>
            </w:pPr>
          </w:p>
        </w:tc>
      </w:tr>
      <w:tr w:rsidR="00BF6A82" w:rsidRPr="00CA0560" w:rsidTr="00402019">
        <w:trPr>
          <w:trHeight w:val="762"/>
          <w:jc w:val="center"/>
        </w:trPr>
        <w:tc>
          <w:tcPr>
            <w:tcW w:w="2409" w:type="dxa"/>
            <w:tcBorders>
              <w:top w:val="single" w:sz="8" w:space="0" w:color="auto"/>
              <w:left w:val="single" w:sz="18" w:space="0" w:color="auto"/>
              <w:bottom w:val="single" w:sz="8" w:space="0" w:color="auto"/>
              <w:right w:val="single" w:sz="8" w:space="0" w:color="auto"/>
            </w:tcBorders>
            <w:shd w:val="clear" w:color="auto" w:fill="auto"/>
            <w:vAlign w:val="center"/>
          </w:tcPr>
          <w:p w:rsidR="00BF6A82" w:rsidRPr="00402019" w:rsidRDefault="00BF6A82" w:rsidP="00402019">
            <w:pPr>
              <w:widowControl w:val="0"/>
              <w:jc w:val="center"/>
              <w:rPr>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BF6A82" w:rsidRPr="00402019" w:rsidRDefault="00BF6A82" w:rsidP="00402019">
            <w:pPr>
              <w:widowControl w:val="0"/>
              <w:jc w:val="center"/>
              <w:rPr>
                <w:szCs w:val="22"/>
              </w:rPr>
            </w:pP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BF6A82" w:rsidRPr="00402019" w:rsidRDefault="00BF6A82" w:rsidP="00402019">
            <w:pPr>
              <w:widowControl w:val="0"/>
              <w:jc w:val="center"/>
              <w:rPr>
                <w:szCs w:val="22"/>
              </w:rPr>
            </w:pPr>
          </w:p>
        </w:tc>
        <w:tc>
          <w:tcPr>
            <w:tcW w:w="2410" w:type="dxa"/>
            <w:tcBorders>
              <w:top w:val="single" w:sz="8" w:space="0" w:color="auto"/>
              <w:left w:val="single" w:sz="8" w:space="0" w:color="auto"/>
              <w:bottom w:val="single" w:sz="8" w:space="0" w:color="auto"/>
              <w:right w:val="single" w:sz="18" w:space="0" w:color="auto"/>
            </w:tcBorders>
            <w:shd w:val="clear" w:color="auto" w:fill="auto"/>
            <w:vAlign w:val="center"/>
          </w:tcPr>
          <w:p w:rsidR="00BF6A82" w:rsidRPr="00402019" w:rsidRDefault="00BF6A82" w:rsidP="00402019">
            <w:pPr>
              <w:widowControl w:val="0"/>
              <w:jc w:val="center"/>
              <w:rPr>
                <w:szCs w:val="22"/>
              </w:rPr>
            </w:pPr>
          </w:p>
        </w:tc>
      </w:tr>
      <w:tr w:rsidR="00BF6A82" w:rsidRPr="00CA0560" w:rsidTr="00402019">
        <w:trPr>
          <w:trHeight w:val="762"/>
          <w:jc w:val="center"/>
        </w:trPr>
        <w:tc>
          <w:tcPr>
            <w:tcW w:w="2409" w:type="dxa"/>
            <w:tcBorders>
              <w:top w:val="single" w:sz="8" w:space="0" w:color="auto"/>
              <w:left w:val="single" w:sz="18" w:space="0" w:color="auto"/>
              <w:bottom w:val="single" w:sz="18" w:space="0" w:color="auto"/>
              <w:right w:val="single" w:sz="8" w:space="0" w:color="auto"/>
            </w:tcBorders>
            <w:shd w:val="clear" w:color="auto" w:fill="auto"/>
            <w:vAlign w:val="center"/>
          </w:tcPr>
          <w:p w:rsidR="00BF6A82" w:rsidRPr="00402019" w:rsidRDefault="00BF6A82" w:rsidP="00402019">
            <w:pPr>
              <w:widowControl w:val="0"/>
              <w:jc w:val="center"/>
              <w:rPr>
                <w:szCs w:val="22"/>
              </w:rPr>
            </w:pPr>
          </w:p>
        </w:tc>
        <w:tc>
          <w:tcPr>
            <w:tcW w:w="2410" w:type="dxa"/>
            <w:tcBorders>
              <w:top w:val="single" w:sz="8" w:space="0" w:color="auto"/>
              <w:left w:val="single" w:sz="8" w:space="0" w:color="auto"/>
              <w:bottom w:val="single" w:sz="18" w:space="0" w:color="auto"/>
              <w:right w:val="single" w:sz="8" w:space="0" w:color="auto"/>
            </w:tcBorders>
            <w:shd w:val="clear" w:color="auto" w:fill="auto"/>
            <w:vAlign w:val="center"/>
          </w:tcPr>
          <w:p w:rsidR="00BF6A82" w:rsidRPr="00402019" w:rsidRDefault="00BF6A82" w:rsidP="00402019">
            <w:pPr>
              <w:widowControl w:val="0"/>
              <w:jc w:val="center"/>
              <w:rPr>
                <w:szCs w:val="22"/>
              </w:rPr>
            </w:pPr>
          </w:p>
        </w:tc>
        <w:tc>
          <w:tcPr>
            <w:tcW w:w="2410" w:type="dxa"/>
            <w:tcBorders>
              <w:top w:val="single" w:sz="8" w:space="0" w:color="auto"/>
              <w:left w:val="single" w:sz="8" w:space="0" w:color="auto"/>
              <w:bottom w:val="single" w:sz="18" w:space="0" w:color="auto"/>
              <w:right w:val="single" w:sz="8" w:space="0" w:color="auto"/>
            </w:tcBorders>
            <w:shd w:val="clear" w:color="auto" w:fill="auto"/>
            <w:vAlign w:val="center"/>
          </w:tcPr>
          <w:p w:rsidR="00BF6A82" w:rsidRPr="00402019" w:rsidRDefault="00BF6A82" w:rsidP="00402019">
            <w:pPr>
              <w:widowControl w:val="0"/>
              <w:jc w:val="center"/>
              <w:rPr>
                <w:szCs w:val="22"/>
              </w:rPr>
            </w:pPr>
          </w:p>
        </w:tc>
        <w:tc>
          <w:tcPr>
            <w:tcW w:w="2410" w:type="dxa"/>
            <w:tcBorders>
              <w:top w:val="single" w:sz="8" w:space="0" w:color="auto"/>
              <w:left w:val="single" w:sz="8" w:space="0" w:color="auto"/>
              <w:bottom w:val="single" w:sz="18" w:space="0" w:color="auto"/>
              <w:right w:val="single" w:sz="18" w:space="0" w:color="auto"/>
            </w:tcBorders>
            <w:shd w:val="clear" w:color="auto" w:fill="auto"/>
            <w:vAlign w:val="center"/>
          </w:tcPr>
          <w:p w:rsidR="00BF6A82" w:rsidRPr="00402019" w:rsidRDefault="00BF6A82" w:rsidP="00402019">
            <w:pPr>
              <w:widowControl w:val="0"/>
              <w:jc w:val="center"/>
              <w:rPr>
                <w:szCs w:val="22"/>
              </w:rPr>
            </w:pPr>
          </w:p>
        </w:tc>
      </w:tr>
    </w:tbl>
    <w:p w:rsidR="00D61E66" w:rsidRPr="002F45D0" w:rsidRDefault="00D61E66" w:rsidP="003E3A3A"/>
    <w:sectPr w:rsidR="00D61E66" w:rsidRPr="002F45D0" w:rsidSect="003D0281">
      <w:headerReference w:type="even" r:id="rId25"/>
      <w:headerReference w:type="default" r:id="rId26"/>
      <w:footerReference w:type="even" r:id="rId27"/>
      <w:footerReference w:type="default" r:id="rId28"/>
      <w:headerReference w:type="first" r:id="rId29"/>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7E" w:rsidRDefault="0014517E">
      <w:r>
        <w:separator/>
      </w:r>
    </w:p>
    <w:p w:rsidR="0014517E" w:rsidRDefault="0014517E"/>
    <w:p w:rsidR="0014517E" w:rsidRDefault="0014517E"/>
    <w:p w:rsidR="0014517E" w:rsidRDefault="0014517E"/>
    <w:p w:rsidR="0014517E" w:rsidRDefault="0014517E"/>
    <w:p w:rsidR="0014517E" w:rsidRDefault="0014517E"/>
  </w:endnote>
  <w:endnote w:type="continuationSeparator" w:id="0">
    <w:p w:rsidR="0014517E" w:rsidRDefault="0014517E">
      <w:r>
        <w:continuationSeparator/>
      </w:r>
    </w:p>
    <w:p w:rsidR="0014517E" w:rsidRDefault="0014517E"/>
    <w:p w:rsidR="0014517E" w:rsidRDefault="0014517E"/>
    <w:p w:rsidR="0014517E" w:rsidRDefault="0014517E"/>
    <w:p w:rsidR="0014517E" w:rsidRDefault="0014517E"/>
    <w:p w:rsidR="0014517E" w:rsidRDefault="00145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Default="00412D77" w:rsidP="00C20914">
    <w:pPr>
      <w:pStyle w:val="Footereven"/>
    </w:pPr>
    <w:r w:rsidRPr="00EA7134">
      <w:fldChar w:fldCharType="begin"/>
    </w:r>
    <w:r w:rsidRPr="00EA7134">
      <w:instrText xml:space="preserve">PAGE  </w:instrText>
    </w:r>
    <w:r w:rsidRPr="00EA7134">
      <w:fldChar w:fldCharType="separate"/>
    </w:r>
    <w:r w:rsidR="005A5CCA">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Default="00412D77" w:rsidP="00C20914">
    <w:pPr>
      <w:pStyle w:val="Footerodd"/>
    </w:pPr>
    <w:r>
      <w:fldChar w:fldCharType="begin"/>
    </w:r>
    <w:r>
      <w:instrText xml:space="preserve">PAGE  </w:instrText>
    </w:r>
    <w:r>
      <w:fldChar w:fldCharType="separate"/>
    </w:r>
    <w:r w:rsidR="00462180">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412D77" w:rsidRPr="0090603A">
      <w:trPr>
        <w:trHeight w:hRule="exact" w:val="1043"/>
        <w:jc w:val="right"/>
      </w:trPr>
      <w:tc>
        <w:tcPr>
          <w:tcW w:w="1800" w:type="dxa"/>
          <w:tcBorders>
            <w:top w:val="nil"/>
            <w:left w:val="nil"/>
            <w:bottom w:val="nil"/>
            <w:right w:val="nil"/>
          </w:tcBorders>
          <w:vAlign w:val="bottom"/>
        </w:tcPr>
        <w:p w:rsidR="00412D77" w:rsidRPr="00FA3FE7" w:rsidRDefault="00412D77" w:rsidP="00C85825">
          <w:pPr>
            <w:spacing w:after="0"/>
          </w:pPr>
        </w:p>
      </w:tc>
      <w:tc>
        <w:tcPr>
          <w:tcW w:w="5040" w:type="dxa"/>
          <w:tcBorders>
            <w:top w:val="nil"/>
            <w:left w:val="nil"/>
            <w:bottom w:val="nil"/>
            <w:right w:val="nil"/>
          </w:tcBorders>
          <w:shd w:val="clear" w:color="auto" w:fill="auto"/>
          <w:vAlign w:val="bottom"/>
        </w:tcPr>
        <w:p w:rsidR="00412D77" w:rsidRPr="000875B8" w:rsidRDefault="00412D77"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rsidR="000A6D98">
            <w:t>9</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412D77" w:rsidRPr="0090603A" w:rsidRDefault="005A5CCA" w:rsidP="00C85825">
          <w:pPr>
            <w:pStyle w:val="Footer"/>
            <w:rPr>
              <w:rFonts w:ascii="Arial Narrow" w:hAnsi="Arial Narrow"/>
            </w:rPr>
          </w:pPr>
          <w:r>
            <w:drawing>
              <wp:inline distT="0" distB="0" distL="0" distR="0">
                <wp:extent cx="1537970" cy="659130"/>
                <wp:effectExtent l="0" t="0" r="508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659130"/>
                        </a:xfrm>
                        <a:prstGeom prst="rect">
                          <a:avLst/>
                        </a:prstGeom>
                        <a:noFill/>
                        <a:ln>
                          <a:noFill/>
                        </a:ln>
                      </pic:spPr>
                    </pic:pic>
                  </a:graphicData>
                </a:graphic>
              </wp:inline>
            </w:drawing>
          </w:r>
        </w:p>
      </w:tc>
    </w:tr>
  </w:tbl>
  <w:p w:rsidR="00412D77" w:rsidRPr="0054418E" w:rsidRDefault="00412D77"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Default="00412D77"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Default="00412D77"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7E" w:rsidRDefault="0014517E">
      <w:r>
        <w:separator/>
      </w:r>
    </w:p>
    <w:p w:rsidR="0014517E" w:rsidRDefault="0014517E"/>
    <w:p w:rsidR="0014517E" w:rsidRDefault="0014517E"/>
    <w:p w:rsidR="0014517E" w:rsidRDefault="0014517E"/>
    <w:p w:rsidR="0014517E" w:rsidRDefault="0014517E"/>
    <w:p w:rsidR="0014517E" w:rsidRDefault="0014517E"/>
  </w:footnote>
  <w:footnote w:type="continuationSeparator" w:id="0">
    <w:p w:rsidR="0014517E" w:rsidRDefault="0014517E">
      <w:r>
        <w:continuationSeparator/>
      </w:r>
    </w:p>
    <w:p w:rsidR="0014517E" w:rsidRDefault="0014517E"/>
    <w:p w:rsidR="0014517E" w:rsidRDefault="0014517E"/>
    <w:p w:rsidR="0014517E" w:rsidRDefault="0014517E"/>
    <w:p w:rsidR="0014517E" w:rsidRDefault="0014517E"/>
    <w:p w:rsidR="0014517E" w:rsidRDefault="001451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Default="00412D77"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Pr="00784506" w:rsidRDefault="00412D77" w:rsidP="00E8667A">
    <w:pPr>
      <w:pStyle w:val="Headerright"/>
    </w:pPr>
    <w:r w:rsidRPr="00784506">
      <w:t xml:space="preserve">Year </w:t>
    </w:r>
    <w:r>
      <w:t>5 The Arts — Music: Soundscapes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Default="005A5CCA">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Pr="00D61E66" w:rsidRDefault="00412D77" w:rsidP="003D0281">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Pr="00427FB3" w:rsidRDefault="00412D77" w:rsidP="003A5656">
    <w:pPr>
      <w:pStyle w:val="Headerleft"/>
      <w:rPr>
        <w:b w:val="0"/>
        <w:lang w:val="en-US"/>
      </w:rPr>
    </w:pPr>
    <w:r>
      <w:rPr>
        <w:lang w:val="en-US"/>
      </w:rPr>
      <w:t>Appendix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77" w:rsidRDefault="00412D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start w:val="1"/>
      <w:numFmt w:val="decimal"/>
      <w:pStyle w:val="Heading1TOP"/>
      <w:lvlText w:val="Section %1."/>
      <w:lvlJc w:val="left"/>
      <w:pPr>
        <w:tabs>
          <w:tab w:val="num" w:pos="567"/>
        </w:tabs>
        <w:ind w:left="1418" w:hanging="1418"/>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92"/>
    <w:rsid w:val="000022FF"/>
    <w:rsid w:val="00003280"/>
    <w:rsid w:val="000040CE"/>
    <w:rsid w:val="000043A4"/>
    <w:rsid w:val="00007DBF"/>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6D98"/>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103BE"/>
    <w:rsid w:val="00120E4C"/>
    <w:rsid w:val="00123E4E"/>
    <w:rsid w:val="001247D8"/>
    <w:rsid w:val="00127A14"/>
    <w:rsid w:val="00130EFC"/>
    <w:rsid w:val="00132BC2"/>
    <w:rsid w:val="00137481"/>
    <w:rsid w:val="00140F5D"/>
    <w:rsid w:val="0014517E"/>
    <w:rsid w:val="00155056"/>
    <w:rsid w:val="001574F9"/>
    <w:rsid w:val="001627BF"/>
    <w:rsid w:val="001634B0"/>
    <w:rsid w:val="00163EF0"/>
    <w:rsid w:val="001645ED"/>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A43D9"/>
    <w:rsid w:val="001C4D23"/>
    <w:rsid w:val="001C5BD9"/>
    <w:rsid w:val="001D07D3"/>
    <w:rsid w:val="001E43BD"/>
    <w:rsid w:val="001F07B8"/>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0B18"/>
    <w:rsid w:val="003C105A"/>
    <w:rsid w:val="003C1342"/>
    <w:rsid w:val="003C1DE1"/>
    <w:rsid w:val="003C302E"/>
    <w:rsid w:val="003C61E5"/>
    <w:rsid w:val="003C702A"/>
    <w:rsid w:val="003D0281"/>
    <w:rsid w:val="003E105B"/>
    <w:rsid w:val="003E217B"/>
    <w:rsid w:val="003E33A5"/>
    <w:rsid w:val="003E3A3A"/>
    <w:rsid w:val="003E500C"/>
    <w:rsid w:val="003E7321"/>
    <w:rsid w:val="003F089F"/>
    <w:rsid w:val="003F5E8A"/>
    <w:rsid w:val="003F7292"/>
    <w:rsid w:val="00402019"/>
    <w:rsid w:val="00411E67"/>
    <w:rsid w:val="00412D77"/>
    <w:rsid w:val="00416BAF"/>
    <w:rsid w:val="004172A0"/>
    <w:rsid w:val="00421645"/>
    <w:rsid w:val="00424A51"/>
    <w:rsid w:val="00427FB3"/>
    <w:rsid w:val="004316D0"/>
    <w:rsid w:val="004423A4"/>
    <w:rsid w:val="00444D1F"/>
    <w:rsid w:val="004475A2"/>
    <w:rsid w:val="00453F95"/>
    <w:rsid w:val="00457A26"/>
    <w:rsid w:val="004605DF"/>
    <w:rsid w:val="00462180"/>
    <w:rsid w:val="00474B75"/>
    <w:rsid w:val="00480A76"/>
    <w:rsid w:val="00483E6B"/>
    <w:rsid w:val="0048671D"/>
    <w:rsid w:val="00486DDE"/>
    <w:rsid w:val="004876A9"/>
    <w:rsid w:val="004928CF"/>
    <w:rsid w:val="0049389D"/>
    <w:rsid w:val="00494EB0"/>
    <w:rsid w:val="00495CA3"/>
    <w:rsid w:val="00495D94"/>
    <w:rsid w:val="004A1033"/>
    <w:rsid w:val="004A12E1"/>
    <w:rsid w:val="004B2135"/>
    <w:rsid w:val="004B69C7"/>
    <w:rsid w:val="004B7E94"/>
    <w:rsid w:val="004C3EC8"/>
    <w:rsid w:val="004D42F2"/>
    <w:rsid w:val="004D7A58"/>
    <w:rsid w:val="004E0F30"/>
    <w:rsid w:val="004F0BDA"/>
    <w:rsid w:val="004F20BA"/>
    <w:rsid w:val="004F4CBC"/>
    <w:rsid w:val="004F68EC"/>
    <w:rsid w:val="0050177D"/>
    <w:rsid w:val="0051005F"/>
    <w:rsid w:val="005110F5"/>
    <w:rsid w:val="00515192"/>
    <w:rsid w:val="0052094C"/>
    <w:rsid w:val="00526090"/>
    <w:rsid w:val="00526544"/>
    <w:rsid w:val="00527880"/>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5CCA"/>
    <w:rsid w:val="005A7039"/>
    <w:rsid w:val="005A7940"/>
    <w:rsid w:val="005A7C02"/>
    <w:rsid w:val="005B00F8"/>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7BB0"/>
    <w:rsid w:val="00657FE9"/>
    <w:rsid w:val="00661055"/>
    <w:rsid w:val="00664FEE"/>
    <w:rsid w:val="006651E7"/>
    <w:rsid w:val="00666387"/>
    <w:rsid w:val="006701F4"/>
    <w:rsid w:val="00672144"/>
    <w:rsid w:val="006732D0"/>
    <w:rsid w:val="0067452E"/>
    <w:rsid w:val="006760FA"/>
    <w:rsid w:val="00676DF3"/>
    <w:rsid w:val="006774B8"/>
    <w:rsid w:val="0068018A"/>
    <w:rsid w:val="00683EB7"/>
    <w:rsid w:val="00691536"/>
    <w:rsid w:val="006A24FF"/>
    <w:rsid w:val="006A3901"/>
    <w:rsid w:val="006B383C"/>
    <w:rsid w:val="006B3EA5"/>
    <w:rsid w:val="006C196E"/>
    <w:rsid w:val="006C1A10"/>
    <w:rsid w:val="006C6E68"/>
    <w:rsid w:val="006C7ECA"/>
    <w:rsid w:val="006D1DD0"/>
    <w:rsid w:val="006D394C"/>
    <w:rsid w:val="006D3F19"/>
    <w:rsid w:val="006D5672"/>
    <w:rsid w:val="006D7994"/>
    <w:rsid w:val="006E3C63"/>
    <w:rsid w:val="006E3CD1"/>
    <w:rsid w:val="006E4BEF"/>
    <w:rsid w:val="006E59A5"/>
    <w:rsid w:val="006F03B7"/>
    <w:rsid w:val="006F543A"/>
    <w:rsid w:val="0070237A"/>
    <w:rsid w:val="00703AC5"/>
    <w:rsid w:val="00710F10"/>
    <w:rsid w:val="00715381"/>
    <w:rsid w:val="0071550A"/>
    <w:rsid w:val="00715E1C"/>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0810"/>
    <w:rsid w:val="008A37AF"/>
    <w:rsid w:val="008A37E1"/>
    <w:rsid w:val="008A6C51"/>
    <w:rsid w:val="008A6EB3"/>
    <w:rsid w:val="008B58C8"/>
    <w:rsid w:val="008B5C8A"/>
    <w:rsid w:val="008B7AB3"/>
    <w:rsid w:val="008C0A2B"/>
    <w:rsid w:val="008C2C52"/>
    <w:rsid w:val="008C4341"/>
    <w:rsid w:val="008C550A"/>
    <w:rsid w:val="008C6405"/>
    <w:rsid w:val="008E1BD2"/>
    <w:rsid w:val="008F0F7B"/>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3645"/>
    <w:rsid w:val="00934842"/>
    <w:rsid w:val="00934DA2"/>
    <w:rsid w:val="00943157"/>
    <w:rsid w:val="00943DC9"/>
    <w:rsid w:val="0094626A"/>
    <w:rsid w:val="00946FB9"/>
    <w:rsid w:val="009611E2"/>
    <w:rsid w:val="00961B9F"/>
    <w:rsid w:val="009624E3"/>
    <w:rsid w:val="00964264"/>
    <w:rsid w:val="00964AFA"/>
    <w:rsid w:val="00971609"/>
    <w:rsid w:val="0097215D"/>
    <w:rsid w:val="00972963"/>
    <w:rsid w:val="009738DE"/>
    <w:rsid w:val="00976550"/>
    <w:rsid w:val="0098016C"/>
    <w:rsid w:val="009809B4"/>
    <w:rsid w:val="009814CC"/>
    <w:rsid w:val="00986690"/>
    <w:rsid w:val="00987A0A"/>
    <w:rsid w:val="009935D7"/>
    <w:rsid w:val="009A1A6E"/>
    <w:rsid w:val="009B575B"/>
    <w:rsid w:val="009B7248"/>
    <w:rsid w:val="009C02F6"/>
    <w:rsid w:val="009C2FE1"/>
    <w:rsid w:val="009C3444"/>
    <w:rsid w:val="009C5022"/>
    <w:rsid w:val="009D15D5"/>
    <w:rsid w:val="009E1352"/>
    <w:rsid w:val="009E5D0B"/>
    <w:rsid w:val="009F0A5B"/>
    <w:rsid w:val="009F1EAE"/>
    <w:rsid w:val="009F4C61"/>
    <w:rsid w:val="00A004E1"/>
    <w:rsid w:val="00A04CA2"/>
    <w:rsid w:val="00A05F30"/>
    <w:rsid w:val="00A1340E"/>
    <w:rsid w:val="00A138DA"/>
    <w:rsid w:val="00A14EA8"/>
    <w:rsid w:val="00A22BE6"/>
    <w:rsid w:val="00A3071F"/>
    <w:rsid w:val="00A30C8E"/>
    <w:rsid w:val="00A326AC"/>
    <w:rsid w:val="00A3309D"/>
    <w:rsid w:val="00A33417"/>
    <w:rsid w:val="00A425D7"/>
    <w:rsid w:val="00A44765"/>
    <w:rsid w:val="00A456F4"/>
    <w:rsid w:val="00A55BB8"/>
    <w:rsid w:val="00A56A9B"/>
    <w:rsid w:val="00A573E2"/>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4C35"/>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1157"/>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A8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4701"/>
    <w:rsid w:val="00C36344"/>
    <w:rsid w:val="00C400C7"/>
    <w:rsid w:val="00C42C54"/>
    <w:rsid w:val="00C53568"/>
    <w:rsid w:val="00C53E99"/>
    <w:rsid w:val="00C55404"/>
    <w:rsid w:val="00C557B7"/>
    <w:rsid w:val="00C6009E"/>
    <w:rsid w:val="00C61C2F"/>
    <w:rsid w:val="00C740A4"/>
    <w:rsid w:val="00C74303"/>
    <w:rsid w:val="00C80EDD"/>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3529E"/>
    <w:rsid w:val="00D43526"/>
    <w:rsid w:val="00D43BC1"/>
    <w:rsid w:val="00D442BF"/>
    <w:rsid w:val="00D52EC3"/>
    <w:rsid w:val="00D566E3"/>
    <w:rsid w:val="00D56D88"/>
    <w:rsid w:val="00D57E32"/>
    <w:rsid w:val="00D61E66"/>
    <w:rsid w:val="00D6560C"/>
    <w:rsid w:val="00D66A63"/>
    <w:rsid w:val="00D71223"/>
    <w:rsid w:val="00D82FD6"/>
    <w:rsid w:val="00DA3EA2"/>
    <w:rsid w:val="00DA483D"/>
    <w:rsid w:val="00DA50C9"/>
    <w:rsid w:val="00DA60AF"/>
    <w:rsid w:val="00DA612D"/>
    <w:rsid w:val="00DB0CB9"/>
    <w:rsid w:val="00DC16A2"/>
    <w:rsid w:val="00DC597F"/>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540D2"/>
    <w:rsid w:val="00E602B7"/>
    <w:rsid w:val="00E6385B"/>
    <w:rsid w:val="00E668A0"/>
    <w:rsid w:val="00E71EB4"/>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15D2B"/>
    <w:rsid w:val="00F22F83"/>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53568"/>
    <w:pPr>
      <w:tabs>
        <w:tab w:val="clear" w:pos="7655"/>
        <w:tab w:val="clear" w:pos="15309"/>
      </w:tabs>
      <w:spacing w:before="120"/>
      <w:jc w:val="left"/>
    </w:pPr>
    <w:rPr>
      <w:sz w:val="22"/>
      <w:szCs w:val="22"/>
    </w:rPr>
  </w:style>
  <w:style w:type="paragraph" w:customStyle="1" w:styleId="Footerodd">
    <w:name w:val="Footer odd"/>
    <w:basedOn w:val="Normal"/>
    <w:rsid w:val="00C53568"/>
    <w:pPr>
      <w:spacing w:before="12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53568"/>
    <w:pPr>
      <w:tabs>
        <w:tab w:val="clear" w:pos="7655"/>
        <w:tab w:val="clear" w:pos="15309"/>
      </w:tabs>
      <w:spacing w:before="120"/>
      <w:jc w:val="left"/>
    </w:pPr>
    <w:rPr>
      <w:sz w:val="22"/>
      <w:szCs w:val="22"/>
    </w:rPr>
  </w:style>
  <w:style w:type="paragraph" w:customStyle="1" w:styleId="Footerodd">
    <w:name w:val="Footer odd"/>
    <w:basedOn w:val="Normal"/>
    <w:rsid w:val="00C53568"/>
    <w:pPr>
      <w:spacing w:before="12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0E5E0-0E34-4096-A0C0-5406916B7A71}">
  <ds:schemaRefs>
    <ds:schemaRef ds:uri="http://schemas.microsoft.com/sharepoint/v3/contenttype/forms"/>
  </ds:schemaRefs>
</ds:datastoreItem>
</file>

<file path=customXml/itemProps2.xml><?xml version="1.0" encoding="utf-8"?>
<ds:datastoreItem xmlns:ds="http://schemas.openxmlformats.org/officeDocument/2006/customXml" ds:itemID="{A1253BFA-1D36-4839-8AC3-7BAB8B29E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9B6C24-685F-45C0-8D17-A38C18875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Year 5 The Arts – Music assessment teacher guidelines | Soundscapes| Queensland Essential Learnings and Standards</vt:lpstr>
    </vt:vector>
  </TitlesOfParts>
  <Company>Queensland Studies Authority</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The Arts - Music assessment teacher guidelines | Soundscapes | Queensland Essential Learnings and Standards</dc:title>
  <dc:subject/>
  <dc:creator>Queensland Studies Authority</dc:creator>
  <cp:keywords/>
  <dc:description>Students create and perform a soundscape to tell a sound story about a particular event or environment.</dc:description>
  <cp:lastModifiedBy>QSA</cp:lastModifiedBy>
  <cp:revision>2</cp:revision>
  <cp:lastPrinted>2007-11-30T05:27:00Z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ies>
</file>