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44960" w:rsidP="00BC58D9">
      <w:pPr>
        <w:pStyle w:val="CoverTitle"/>
      </w:pPr>
      <w:bookmarkStart w:id="0" w:name="_GoBack"/>
      <w:bookmarkEnd w:id="0"/>
      <w:r>
        <w:t>I want a pen</w:t>
      </w:r>
      <w:r w:rsidR="002627EA">
        <w:t>-</w:t>
      </w:r>
      <w:r>
        <w:t>pal</w:t>
      </w:r>
      <w:r w:rsidR="00C07D0F">
        <w:t xml:space="preserve"> </w:t>
      </w:r>
      <w:r>
        <w:t>—</w:t>
      </w:r>
      <w:r w:rsidR="00C07D0F">
        <w:t xml:space="preserve"> </w:t>
      </w:r>
      <w:r>
        <w:t>w</w:t>
      </w:r>
      <w:r w:rsidR="00835C88">
        <w:t>riting</w:t>
      </w:r>
    </w:p>
    <w:tbl>
      <w:tblPr>
        <w:tblW w:w="0" w:type="auto"/>
        <w:tblLook w:val="01E0" w:firstRow="1" w:lastRow="1" w:firstColumn="1" w:lastColumn="1" w:noHBand="0" w:noVBand="0"/>
      </w:tblPr>
      <w:tblGrid>
        <w:gridCol w:w="2167"/>
        <w:gridCol w:w="6396"/>
      </w:tblGrid>
      <w:tr w:rsidR="00321DA5">
        <w:trPr>
          <w:trHeight w:val="614"/>
        </w:trPr>
        <w:tc>
          <w:tcPr>
            <w:tcW w:w="1874" w:type="dxa"/>
            <w:shd w:val="clear" w:color="auto" w:fill="B4A7C0"/>
            <w:tcMar>
              <w:top w:w="113" w:type="dxa"/>
              <w:left w:w="113" w:type="dxa"/>
              <w:bottom w:w="113" w:type="dxa"/>
              <w:right w:w="113" w:type="dxa"/>
            </w:tcMar>
          </w:tcPr>
          <w:p w:rsidR="00321DA5" w:rsidRPr="00C557B7" w:rsidRDefault="00C07D0F" w:rsidP="00FE53A4">
            <w:pPr>
              <w:pStyle w:val="CoverYearKLAName"/>
            </w:pPr>
            <w:r>
              <w:t>Elementary</w:t>
            </w:r>
            <w:r w:rsidRPr="00C557B7">
              <w:t xml:space="preserve"> </w:t>
            </w:r>
            <w:r w:rsidR="00321DA5" w:rsidRPr="00C557B7">
              <w:t xml:space="preserve">Year </w:t>
            </w:r>
            <w:r w:rsidR="00835C88">
              <w:t>9</w:t>
            </w:r>
          </w:p>
        </w:tc>
        <w:tc>
          <w:tcPr>
            <w:tcW w:w="6396" w:type="dxa"/>
            <w:shd w:val="clear" w:color="auto" w:fill="E3DEE8"/>
            <w:tcMar>
              <w:top w:w="113" w:type="dxa"/>
              <w:left w:w="113" w:type="dxa"/>
              <w:bottom w:w="113" w:type="dxa"/>
              <w:right w:w="113" w:type="dxa"/>
            </w:tcMar>
            <w:vAlign w:val="center"/>
          </w:tcPr>
          <w:p w:rsidR="00321DA5" w:rsidRDefault="00835C88" w:rsidP="00C07D0F">
            <w:pPr>
              <w:pStyle w:val="CoverYearKLAName"/>
            </w:pPr>
            <w:r>
              <w:t>Languages</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835C88" w:rsidP="00835C88">
            <w:pPr>
              <w:pStyle w:val="CoverOverview"/>
            </w:pPr>
            <w:r>
              <w:t>Students write a letter of self-in</w:t>
            </w:r>
            <w:r w:rsidR="00272296">
              <w:t xml:space="preserve">troduction </w:t>
            </w:r>
            <w:r w:rsidR="00412631">
              <w:t xml:space="preserve">in Japanese </w:t>
            </w:r>
            <w:r w:rsidR="00272296">
              <w:t>to a pen</w:t>
            </w:r>
            <w:r w:rsidR="002627EA">
              <w:t>-</w:t>
            </w:r>
            <w:r>
              <w:t xml:space="preserve">pal in </w:t>
            </w:r>
            <w:smartTag w:uri="urn:schemas-microsoft-com:office:smarttags" w:element="place">
              <w:smartTag w:uri="urn:schemas-microsoft-com:office:smarttags" w:element="country-region">
                <w:r w:rsidRPr="00835C88">
                  <w:t>Japan</w:t>
                </w:r>
              </w:smartTag>
            </w:smartTag>
            <w:r w:rsidR="00706FD0">
              <w:t xml:space="preserve"> and reflect on their learning</w:t>
            </w:r>
            <w:r>
              <w:t>.</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FE53A4">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5E1415" w:rsidRDefault="00835C88" w:rsidP="00835C88">
            <w:r>
              <w:t>2</w:t>
            </w:r>
            <w:r w:rsidR="003B0E07">
              <w:t>.5</w:t>
            </w:r>
            <w:r>
              <w:t xml:space="preserve">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673BD9" w:rsidRDefault="00C07D0F" w:rsidP="00CD0037">
            <w:pPr>
              <w:rPr>
                <w:i/>
              </w:rPr>
            </w:pPr>
            <w:r w:rsidRPr="00183C2A">
              <w:t xml:space="preserve">Students </w:t>
            </w:r>
            <w:r>
              <w:t xml:space="preserve">all over the world </w:t>
            </w:r>
            <w:r w:rsidRPr="00183C2A">
              <w:t xml:space="preserve">correspond with peers from </w:t>
            </w:r>
            <w:r>
              <w:t>another</w:t>
            </w:r>
            <w:r w:rsidRPr="00183C2A">
              <w:t xml:space="preserve"> target language culture</w:t>
            </w:r>
            <w:r>
              <w:t xml:space="preserve"> and maintain pen</w:t>
            </w:r>
            <w:r w:rsidR="002627EA">
              <w:t>-</w:t>
            </w:r>
            <w:r w:rsidRPr="00183C2A">
              <w:t>pal relationships</w:t>
            </w:r>
            <w:r>
              <w:t>. Letters from pen</w:t>
            </w:r>
            <w:r w:rsidR="002627EA">
              <w:t>-</w:t>
            </w:r>
            <w:r w:rsidRPr="00183C2A">
              <w:t>pa</w:t>
            </w:r>
            <w:r>
              <w:t>ls can be rich sources of socio</w:t>
            </w:r>
            <w:r w:rsidRPr="00183C2A">
              <w:t>cultural and li</w:t>
            </w:r>
            <w:r>
              <w:t xml:space="preserve">nguistic knowledge. In this assessment, </w:t>
            </w:r>
            <w:r w:rsidR="00835C88">
              <w:t>student</w:t>
            </w:r>
            <w:r>
              <w:t>s demonstrate their</w:t>
            </w:r>
            <w:r w:rsidR="00835C88">
              <w:t xml:space="preserve"> ability to write a</w:t>
            </w:r>
            <w:r>
              <w:t>n appropriate</w:t>
            </w:r>
            <w:r w:rsidR="00835C88">
              <w:t xml:space="preserve"> letter of self-introduction to a pen</w:t>
            </w:r>
            <w:r w:rsidR="002627EA">
              <w:t>-</w:t>
            </w:r>
            <w:r w:rsidR="00835C88">
              <w:t xml:space="preserve">pal in </w:t>
            </w:r>
            <w:smartTag w:uri="urn:schemas-microsoft-com:office:smarttags" w:element="place">
              <w:smartTag w:uri="urn:schemas-microsoft-com:office:smarttags" w:element="country-region">
                <w:r w:rsidR="00835C88">
                  <w:t>Japan</w:t>
                </w:r>
              </w:smartTag>
            </w:smartTag>
            <w:r w:rsidR="00835C88">
              <w:t xml:space="preserve">. This </w:t>
            </w:r>
            <w:r>
              <w:t>assessment</w:t>
            </w:r>
            <w:r w:rsidR="00835C88">
              <w:t xml:space="preserve"> has</w:t>
            </w:r>
            <w:r>
              <w:t xml:space="preserve"> connections with</w:t>
            </w:r>
            <w:r w:rsidR="00835C88">
              <w:t xml:space="preserve"> </w:t>
            </w:r>
            <w:r w:rsidR="00835C88" w:rsidRPr="008E6559">
              <w:rPr>
                <w:i/>
              </w:rPr>
              <w:t>I want a pen</w:t>
            </w:r>
            <w:r w:rsidR="002627EA">
              <w:rPr>
                <w:i/>
              </w:rPr>
              <w:t>-</w:t>
            </w:r>
            <w:r>
              <w:rPr>
                <w:i/>
              </w:rPr>
              <w:t xml:space="preserve">pal — </w:t>
            </w:r>
            <w:r w:rsidR="00835C88" w:rsidRPr="008E6559">
              <w:rPr>
                <w:i/>
              </w:rPr>
              <w:t>reading</w:t>
            </w:r>
            <w:r w:rsidR="00835C88">
              <w:t xml:space="preserve"> and </w:t>
            </w:r>
            <w:r w:rsidR="00835C88" w:rsidRPr="00C21EF3">
              <w:rPr>
                <w:i/>
              </w:rPr>
              <w:t>First meetings</w:t>
            </w:r>
            <w:r w:rsidR="00673BD9">
              <w:t xml:space="preserve"> — </w:t>
            </w:r>
            <w:r w:rsidR="00673BD9">
              <w:rPr>
                <w:i/>
              </w:rPr>
              <w:t>Prepared Speech.</w:t>
            </w:r>
          </w:p>
        </w:tc>
      </w:tr>
    </w:tbl>
    <w:p w:rsidR="00B34779" w:rsidRPr="00A326AC" w:rsidRDefault="00360559" w:rsidP="009E7E01">
      <w:pPr>
        <w:keepNext/>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6218"/>
      </w:tblGrid>
      <w:tr w:rsidR="00835C88" w:rsidRPr="00750B88">
        <w:trPr>
          <w:trHeight w:val="76"/>
          <w:jc w:val="center"/>
        </w:trPr>
        <w:tc>
          <w:tcPr>
            <w:tcW w:w="9639" w:type="dxa"/>
            <w:gridSpan w:val="2"/>
            <w:shd w:val="clear" w:color="auto" w:fill="E6E6E6"/>
          </w:tcPr>
          <w:p w:rsidR="00835C88" w:rsidRPr="00750B88" w:rsidRDefault="00835C88" w:rsidP="00835C88">
            <w:pPr>
              <w:pStyle w:val="Heading2Table"/>
            </w:pPr>
            <w:r>
              <w:t>Languages</w:t>
            </w:r>
            <w:r w:rsidRPr="00750B88">
              <w:tab/>
              <w:t xml:space="preserve">Essential </w:t>
            </w:r>
            <w:r w:rsidRPr="00835C88">
              <w:t>Learnings</w:t>
            </w:r>
            <w:r w:rsidRPr="00750B88">
              <w:t xml:space="preserve"> by the end of </w:t>
            </w:r>
            <w:r w:rsidR="00E15AD0">
              <w:t>Elementary S</w:t>
            </w:r>
            <w:r>
              <w:t>tage</w:t>
            </w:r>
          </w:p>
        </w:tc>
      </w:tr>
      <w:tr w:rsidR="00934842">
        <w:trPr>
          <w:trHeight w:val="9354"/>
          <w:jc w:val="center"/>
        </w:trPr>
        <w:tc>
          <w:tcPr>
            <w:tcW w:w="342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835C88" w:rsidRPr="00835C88" w:rsidRDefault="00B5457D" w:rsidP="00AD67B6">
            <w:pPr>
              <w:pStyle w:val="Bulletslevel1"/>
              <w:spacing w:before="60" w:after="120"/>
            </w:pPr>
            <w:r>
              <w:t>s</w:t>
            </w:r>
            <w:r w:rsidR="00835C88" w:rsidRPr="00835C88">
              <w:t>elect and apply strategies to adjust verbal and non-verbal language for a variety of purposes, contexts and audiences, and respond appropriately to feedback</w:t>
            </w:r>
          </w:p>
          <w:p w:rsidR="00835C88" w:rsidRPr="00835C88" w:rsidRDefault="00B5457D" w:rsidP="00AD67B6">
            <w:pPr>
              <w:pStyle w:val="Bulletslevel1"/>
              <w:spacing w:before="60" w:after="120"/>
            </w:pPr>
            <w:r>
              <w:t>c</w:t>
            </w:r>
            <w:r w:rsidR="00835C88" w:rsidRPr="00835C88">
              <w:t>onstruct simple, cohesive spoken and written texts for different contexts, displaying some concept of register</w:t>
            </w:r>
          </w:p>
          <w:p w:rsidR="00835C88" w:rsidRPr="00835C88" w:rsidRDefault="00B5457D" w:rsidP="00AD67B6">
            <w:pPr>
              <w:pStyle w:val="Bulletslevel1"/>
              <w:spacing w:before="60" w:after="120"/>
            </w:pPr>
            <w:r>
              <w:t>n</w:t>
            </w:r>
            <w:r w:rsidR="00835C88" w:rsidRPr="00835C88">
              <w:t>otice and compare similarities and differences between the target language and English and/or other familiar languages</w:t>
            </w:r>
          </w:p>
          <w:p w:rsidR="00835C88" w:rsidRPr="00835C88" w:rsidRDefault="00B5457D" w:rsidP="00AD67B6">
            <w:pPr>
              <w:pStyle w:val="Bulletslevel1"/>
              <w:spacing w:before="60" w:after="120"/>
            </w:pPr>
            <w:r>
              <w:t>n</w:t>
            </w:r>
            <w:r w:rsidR="00835C88" w:rsidRPr="00835C88">
              <w:t>otice and compare their own beliefs, attitudes and practices and those reflected in the target culture</w:t>
            </w:r>
          </w:p>
          <w:p w:rsidR="00835C88" w:rsidRPr="00835C88" w:rsidRDefault="00B5457D" w:rsidP="00AD67B6">
            <w:pPr>
              <w:pStyle w:val="Bulletslevel1"/>
              <w:spacing w:before="60" w:after="120"/>
            </w:pPr>
            <w:r>
              <w:t>r</w:t>
            </w:r>
            <w:r w:rsidR="00835C88" w:rsidRPr="00835C88">
              <w:t>eflect on and evaluate the suitability of language choices for purposes, context and audience</w:t>
            </w:r>
          </w:p>
          <w:p w:rsidR="00934842" w:rsidRPr="00A67D85" w:rsidRDefault="00B5457D" w:rsidP="00AD67B6">
            <w:pPr>
              <w:pStyle w:val="Bulletslevel1"/>
              <w:spacing w:before="60" w:after="120"/>
            </w:pPr>
            <w:r>
              <w:t>r</w:t>
            </w:r>
            <w:r w:rsidR="00835C88">
              <w:t>eflect on learning, apply new understandings and identify future applications</w:t>
            </w:r>
            <w:r>
              <w:t>.</w:t>
            </w:r>
          </w:p>
        </w:tc>
        <w:tc>
          <w:tcPr>
            <w:tcW w:w="6218" w:type="dxa"/>
          </w:tcPr>
          <w:p w:rsidR="00934842" w:rsidRDefault="00934842" w:rsidP="002C1299">
            <w:pPr>
              <w:pStyle w:val="Heading3"/>
              <w:keepLines/>
            </w:pPr>
            <w:r>
              <w:t>Knowledge and understanding</w:t>
            </w:r>
          </w:p>
          <w:p w:rsidR="00835C88" w:rsidRPr="00271417" w:rsidRDefault="00835C88" w:rsidP="00835C88">
            <w:pPr>
              <w:pStyle w:val="Organiser"/>
              <w:rPr>
                <w:i/>
              </w:rPr>
            </w:pPr>
            <w:r>
              <w:rPr>
                <w:i/>
              </w:rPr>
              <w:t>Comprehending and composing in the target language</w:t>
            </w:r>
          </w:p>
          <w:p w:rsidR="00835C88" w:rsidRPr="00347A20" w:rsidRDefault="00835C88" w:rsidP="00835C88">
            <w:pPr>
              <w:pStyle w:val="Organiser"/>
            </w:pPr>
            <w:r w:rsidRPr="00347A20">
              <w:t>Comprehending and composing skills are used to understand language input, to convey information and express ideas and opinions, and to engage in interactions in the target language for different purposes, contexts and audiences</w:t>
            </w:r>
            <w:r w:rsidR="00B5457D">
              <w:t>.</w:t>
            </w:r>
          </w:p>
          <w:p w:rsidR="00835C88" w:rsidRDefault="00835C88" w:rsidP="00AD67B6">
            <w:pPr>
              <w:pStyle w:val="Bulletslevel1"/>
              <w:keepNext/>
              <w:keepLines/>
              <w:spacing w:before="60" w:after="120"/>
            </w:pPr>
            <w:r w:rsidRPr="007547BF">
              <w:t>Verbal language and non-verbal language are ad</w:t>
            </w:r>
            <w:r>
              <w:t>apted according to purpose, context and audience</w:t>
            </w:r>
            <w:r w:rsidR="00E15AD0">
              <w:t>.</w:t>
            </w:r>
          </w:p>
          <w:p w:rsidR="00835C88" w:rsidRDefault="00835C88" w:rsidP="00AD67B6">
            <w:pPr>
              <w:pStyle w:val="Bulletslevel1"/>
              <w:keepNext/>
              <w:keepLines/>
              <w:spacing w:before="60" w:after="120"/>
            </w:pPr>
            <w:r>
              <w:t>Texts, including conversations and narratives, follow patterns and are shaped by conventions that can vary between cultures</w:t>
            </w:r>
            <w:r w:rsidR="00E15AD0">
              <w:t>.</w:t>
            </w:r>
          </w:p>
          <w:p w:rsidR="00835C88" w:rsidRDefault="00835C88" w:rsidP="00AD67B6">
            <w:pPr>
              <w:pStyle w:val="Bulletslevel1"/>
              <w:keepNext/>
              <w:keepLines/>
              <w:spacing w:before="60" w:after="120"/>
            </w:pPr>
            <w:r>
              <w:t>Familiar language can be used in new contexts to help interpret and convey main ideas and supporting details</w:t>
            </w:r>
            <w:r w:rsidR="00E15AD0">
              <w:t>.</w:t>
            </w:r>
          </w:p>
          <w:p w:rsidR="00934842" w:rsidRPr="00B910EC" w:rsidRDefault="00835C88" w:rsidP="00AD67B6">
            <w:pPr>
              <w:pStyle w:val="Bulletslevel1"/>
              <w:keepNext/>
              <w:keepLines/>
              <w:spacing w:before="60" w:after="120"/>
            </w:pPr>
            <w:r>
              <w:t>Familiar linguistic features and structures are manipulated to generate original target language texts and to construct simple, cohesive texts for different purposes, contexts and audiences</w:t>
            </w:r>
            <w:r w:rsidR="00934842" w:rsidRPr="00B910EC">
              <w:t>.</w:t>
            </w:r>
          </w:p>
          <w:p w:rsidR="00835C88" w:rsidRPr="00271417" w:rsidRDefault="00835C88" w:rsidP="00835C88">
            <w:pPr>
              <w:pStyle w:val="Organiser"/>
              <w:rPr>
                <w:i/>
              </w:rPr>
            </w:pPr>
            <w:r>
              <w:rPr>
                <w:i/>
              </w:rPr>
              <w:t>Intercultural competence and language awareness</w:t>
            </w:r>
          </w:p>
          <w:p w:rsidR="00835C88" w:rsidRPr="000E6EA3" w:rsidRDefault="00835C88" w:rsidP="00835C88">
            <w:pPr>
              <w:pStyle w:val="Organiser"/>
            </w:pPr>
            <w:r>
              <w:t xml:space="preserve">Intercultural competence and knowledge </w:t>
            </w:r>
            <w:r w:rsidR="002627EA">
              <w:t>of languages and cultures allow</w:t>
            </w:r>
            <w:r>
              <w:t xml:space="preserve"> for exploration of different ways of experiencing and acting in the world</w:t>
            </w:r>
            <w:r w:rsidR="00B5457D">
              <w:t>.</w:t>
            </w:r>
          </w:p>
          <w:p w:rsidR="00835C88" w:rsidRDefault="00835C88" w:rsidP="00AD67B6">
            <w:pPr>
              <w:pStyle w:val="Bulletslevel1"/>
              <w:keepNext/>
              <w:keepLines/>
              <w:spacing w:before="60" w:after="120"/>
            </w:pPr>
            <w:r>
              <w:t>Ideas or information may or may not be transferable from one language to another and can provide cultural insights and information</w:t>
            </w:r>
            <w:r w:rsidR="00E15AD0">
              <w:t>.</w:t>
            </w:r>
          </w:p>
          <w:p w:rsidR="00934842" w:rsidRDefault="00835C88" w:rsidP="00AD67B6">
            <w:pPr>
              <w:pStyle w:val="Bulletslevel1"/>
              <w:keepNext/>
              <w:keepLines/>
              <w:spacing w:before="60" w:after="120"/>
            </w:pPr>
            <w:r>
              <w:t>Cultural practices in the target language can be compared with those of other cultures and connections noticed between language use and cultural knowledge and behaviour</w:t>
            </w:r>
            <w:r w:rsidR="00E15AD0">
              <w:t>.</w:t>
            </w:r>
          </w:p>
        </w:tc>
      </w:tr>
      <w:tr w:rsidR="00B34779" w:rsidRPr="00AD12C7">
        <w:trPr>
          <w:trHeight w:val="1496"/>
          <w:jc w:val="center"/>
        </w:trPr>
        <w:tc>
          <w:tcPr>
            <w:tcW w:w="9639" w:type="dxa"/>
            <w:gridSpan w:val="2"/>
          </w:tcPr>
          <w:p w:rsidR="00B34779" w:rsidRDefault="00B34779" w:rsidP="00AD67B6">
            <w:pPr>
              <w:pStyle w:val="Heading3"/>
              <w:keepLines/>
              <w:spacing w:before="120"/>
            </w:pPr>
            <w:r>
              <w:t xml:space="preserve">Assessable </w:t>
            </w:r>
            <w:r w:rsidRPr="00AD12C7">
              <w:t>el</w:t>
            </w:r>
            <w:r>
              <w:t>ements</w:t>
            </w:r>
          </w:p>
          <w:p w:rsidR="00835C88" w:rsidRDefault="00835C88" w:rsidP="00053780">
            <w:pPr>
              <w:pStyle w:val="Bulletslevel1"/>
              <w:keepNext/>
              <w:keepLines/>
              <w:spacing w:before="0" w:after="60" w:line="240" w:lineRule="auto"/>
            </w:pPr>
            <w:r>
              <w:t>Knowledge and understanding</w:t>
            </w:r>
          </w:p>
          <w:p w:rsidR="00835C88" w:rsidRDefault="00835C88" w:rsidP="00053780">
            <w:pPr>
              <w:pStyle w:val="Bulletslevel1"/>
              <w:keepNext/>
              <w:keepLines/>
              <w:spacing w:before="0" w:after="60" w:line="240" w:lineRule="auto"/>
            </w:pPr>
            <w:r>
              <w:t>Composing texts</w:t>
            </w:r>
          </w:p>
          <w:p w:rsidR="00835C88" w:rsidRPr="00B910EC" w:rsidRDefault="00835C88" w:rsidP="00053780">
            <w:pPr>
              <w:pStyle w:val="Bulletslevel1"/>
              <w:keepNext/>
              <w:keepLines/>
              <w:spacing w:before="0" w:after="60" w:line="240" w:lineRule="auto"/>
            </w:pPr>
            <w:r>
              <w:t>Intercultural competence</w:t>
            </w:r>
          </w:p>
          <w:p w:rsidR="00B34779" w:rsidRPr="00AD12C7" w:rsidRDefault="00835C88" w:rsidP="00053780">
            <w:pPr>
              <w:pStyle w:val="Bulletslevel1"/>
              <w:keepNext/>
              <w:keepLines/>
              <w:spacing w:before="0" w:after="60" w:line="240" w:lineRule="auto"/>
            </w:pPr>
            <w:r>
              <w:t>Reflecting</w:t>
            </w:r>
          </w:p>
        </w:tc>
      </w:tr>
      <w:tr w:rsidR="00835C88" w:rsidRPr="00474B75">
        <w:trPr>
          <w:trHeight w:val="76"/>
          <w:jc w:val="center"/>
        </w:trPr>
        <w:tc>
          <w:tcPr>
            <w:tcW w:w="9639" w:type="dxa"/>
            <w:gridSpan w:val="2"/>
          </w:tcPr>
          <w:p w:rsidR="00835C88" w:rsidRPr="00474B75" w:rsidRDefault="00835C88" w:rsidP="006B0583">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Pr>
                <w:rStyle w:val="SourceTitleChar"/>
              </w:rPr>
              <w:t>Languages</w:t>
            </w:r>
            <w:r w:rsidRPr="00F377B6">
              <w:rPr>
                <w:rStyle w:val="SourceTitleChar"/>
              </w:rPr>
              <w:t xml:space="preserve"> Essential</w:t>
            </w:r>
            <w:r w:rsidRPr="00750B88">
              <w:rPr>
                <w:rStyle w:val="SourceTitleChar"/>
              </w:rPr>
              <w:t xml:space="preserve"> Learnings by the end of </w:t>
            </w:r>
            <w:r w:rsidR="00D40C15">
              <w:rPr>
                <w:rStyle w:val="SourceTitleChar"/>
              </w:rPr>
              <w:t xml:space="preserve">the Elementary Stage, </w:t>
            </w:r>
            <w:r w:rsidRPr="00750B88">
              <w:t xml:space="preserve">QSA, </w:t>
            </w:r>
            <w:smartTag w:uri="urn:schemas-microsoft-com:office:smarttags" w:element="place">
              <w:smartTag w:uri="urn:schemas-microsoft-com:office:smarttags" w:element="City">
                <w:r w:rsidRPr="00750B88">
                  <w:t>Brisbane</w:t>
                </w:r>
              </w:smartTag>
            </w:smartTag>
            <w:r w:rsidRPr="00474B75">
              <w:t>.</w:t>
            </w:r>
          </w:p>
        </w:tc>
      </w:tr>
    </w:tbl>
    <w:p w:rsidR="00F9534A" w:rsidRDefault="006651E7" w:rsidP="00E064D7">
      <w:r>
        <w:lastRenderedPageBreak/>
        <w:t>Listed here are s</w:t>
      </w:r>
      <w:r w:rsidR="008F3048">
        <w:t xml:space="preserve">uggested </w:t>
      </w:r>
      <w:r w:rsidR="008F3048" w:rsidRPr="00444D1F">
        <w:rPr>
          <w:b/>
        </w:rPr>
        <w:t>learning experiences</w:t>
      </w:r>
      <w:r w:rsidR="008F3048">
        <w:t xml:space="preserve"> for students be</w:t>
      </w:r>
      <w:r w:rsidR="00D43BC1">
        <w:t xml:space="preserve">fore </w:t>
      </w:r>
      <w:r w:rsidR="00673BD9">
        <w:t>implementing</w:t>
      </w:r>
      <w:r w:rsidR="00D43BC1">
        <w:t xml:space="preserve"> this assessment.</w:t>
      </w:r>
    </w:p>
    <w:p w:rsidR="005548BD" w:rsidRDefault="00360559" w:rsidP="000F65B4">
      <w:pPr>
        <w:pStyle w:val="Bulletslevel1"/>
      </w:pPr>
      <w:r>
        <w:rPr>
          <w:noProof/>
        </w:rPr>
        <w:drawing>
          <wp:anchor distT="0" distB="0" distL="114300" distR="114300" simplePos="0" relativeHeight="251655680" behindDoc="0" locked="0" layoutInCell="1" allowOverlap="1">
            <wp:simplePos x="0" y="0"/>
            <wp:positionH relativeFrom="page">
              <wp:posOffset>377190</wp:posOffset>
            </wp:positionH>
            <wp:positionV relativeFrom="margin">
              <wp:posOffset>-13970</wp:posOffset>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A30">
        <w:t>Research</w:t>
      </w:r>
      <w:r w:rsidR="00E064D7">
        <w:t xml:space="preserve"> </w:t>
      </w:r>
      <w:r w:rsidR="005548BD">
        <w:t xml:space="preserve">and discuss </w:t>
      </w:r>
      <w:r w:rsidR="00E064D7">
        <w:t xml:space="preserve">the lifestyles of young people in </w:t>
      </w:r>
      <w:smartTag w:uri="urn:schemas-microsoft-com:office:smarttags" w:element="place">
        <w:smartTag w:uri="urn:schemas-microsoft-com:office:smarttags" w:element="country-region">
          <w:r w:rsidR="00E064D7">
            <w:t>Japan</w:t>
          </w:r>
        </w:smartTag>
      </w:smartTag>
      <w:r w:rsidR="00E064D7">
        <w:t xml:space="preserve"> to discover </w:t>
      </w:r>
      <w:r w:rsidR="00BC7E09">
        <w:t xml:space="preserve">their </w:t>
      </w:r>
      <w:r w:rsidR="00E064D7">
        <w:t>routines</w:t>
      </w:r>
      <w:r w:rsidR="005548BD">
        <w:t xml:space="preserve"> and compare these with routines in own culture. (See Appendix</w:t>
      </w:r>
      <w:r w:rsidR="000F65B4">
        <w:t xml:space="preserve"> A: Japanese culture and language — web resources.)</w:t>
      </w:r>
    </w:p>
    <w:p w:rsidR="00E064D7" w:rsidRDefault="00BC7E09" w:rsidP="00E064D7">
      <w:pPr>
        <w:pStyle w:val="Bulletslevel1"/>
      </w:pPr>
      <w:r>
        <w:t>Discuss how</w:t>
      </w:r>
      <w:r w:rsidR="00E064D7">
        <w:t xml:space="preserve"> knowledge </w:t>
      </w:r>
      <w:r>
        <w:t xml:space="preserve">of routines </w:t>
      </w:r>
      <w:r w:rsidR="00E064D7">
        <w:t xml:space="preserve">will </w:t>
      </w:r>
      <w:r>
        <w:t>help students to understand and respond to</w:t>
      </w:r>
      <w:r w:rsidR="00153396">
        <w:t xml:space="preserve"> pen</w:t>
      </w:r>
      <w:r w:rsidR="002627EA">
        <w:t>-</w:t>
      </w:r>
      <w:r w:rsidR="00153396">
        <w:t>pal</w:t>
      </w:r>
      <w:r w:rsidR="00E064D7">
        <w:t xml:space="preserve"> letters written in Japanese from peers in </w:t>
      </w:r>
      <w:smartTag w:uri="urn:schemas-microsoft-com:office:smarttags" w:element="country-region">
        <w:smartTag w:uri="urn:schemas-microsoft-com:office:smarttags" w:element="place">
          <w:r w:rsidR="00E064D7">
            <w:t>Japan</w:t>
          </w:r>
        </w:smartTag>
      </w:smartTag>
      <w:r>
        <w:t>.</w:t>
      </w:r>
    </w:p>
    <w:p w:rsidR="000F65B4" w:rsidRDefault="000F65B4" w:rsidP="000F65B4">
      <w:pPr>
        <w:pStyle w:val="Bulletslevel1"/>
      </w:pPr>
      <w:r>
        <w:t>Discuss letter-writing genres and conventions in English.</w:t>
      </w:r>
    </w:p>
    <w:p w:rsidR="00E064D7" w:rsidRDefault="00BC7E09" w:rsidP="00E064D7">
      <w:pPr>
        <w:pStyle w:val="Bulletslevel1"/>
      </w:pPr>
      <w:r>
        <w:t>Read</w:t>
      </w:r>
      <w:r w:rsidR="00E064D7">
        <w:t xml:space="preserve"> </w:t>
      </w:r>
      <w:r w:rsidR="005F2186">
        <w:t xml:space="preserve">and discuss </w:t>
      </w:r>
      <w:r w:rsidR="00E064D7">
        <w:t>sample letters</w:t>
      </w:r>
      <w:r>
        <w:t xml:space="preserve"> written in Japanese and note </w:t>
      </w:r>
      <w:r w:rsidR="00E064D7">
        <w:t xml:space="preserve">differences and similarities when compared </w:t>
      </w:r>
      <w:r>
        <w:t>with</w:t>
      </w:r>
      <w:r w:rsidR="00E064D7">
        <w:t xml:space="preserve"> English</w:t>
      </w:r>
      <w:r>
        <w:t xml:space="preserve"> or another familiar language.</w:t>
      </w:r>
      <w:r w:rsidR="005F2186" w:rsidRPr="005F2186">
        <w:t xml:space="preserve"> </w:t>
      </w:r>
      <w:r w:rsidR="005F2186">
        <w:t xml:space="preserve">(See Appendix B: </w:t>
      </w:r>
      <w:r w:rsidR="009D4A7B">
        <w:br/>
      </w:r>
      <w:r w:rsidR="005F2186">
        <w:t>Letter-writing conventions.)</w:t>
      </w:r>
    </w:p>
    <w:p w:rsidR="00E064D7" w:rsidRDefault="00E064D7" w:rsidP="00E064D7">
      <w:pPr>
        <w:pStyle w:val="Bulletslevel1"/>
      </w:pPr>
      <w:r>
        <w:t>Discu</w:t>
      </w:r>
      <w:r w:rsidR="00BC7E09">
        <w:t>ss hand</w:t>
      </w:r>
      <w:r>
        <w:t>w</w:t>
      </w:r>
      <w:r w:rsidR="0000378C">
        <w:t xml:space="preserve">riting styles in English and </w:t>
      </w:r>
      <w:r>
        <w:t>Japanese</w:t>
      </w:r>
      <w:r w:rsidR="0000378C">
        <w:t>.</w:t>
      </w:r>
    </w:p>
    <w:p w:rsidR="00E064D7" w:rsidRDefault="00BC7E09" w:rsidP="00E064D7">
      <w:pPr>
        <w:pStyle w:val="Bulletslevel1"/>
      </w:pPr>
      <w:r>
        <w:t>Learn</w:t>
      </w:r>
      <w:r w:rsidR="00E064D7">
        <w:t xml:space="preserve"> new grammar and vocabulary related to </w:t>
      </w:r>
      <w:r w:rsidR="00606C34">
        <w:t>writing a letter of self-introduction.</w:t>
      </w:r>
      <w:r w:rsidR="002E282E">
        <w:t xml:space="preserve"> (See </w:t>
      </w:r>
      <w:r w:rsidR="000F65B4">
        <w:t xml:space="preserve">Appendix A: Japanese culture and language — web resources and </w:t>
      </w:r>
      <w:r w:rsidR="002E282E">
        <w:t>Appendix C: S</w:t>
      </w:r>
      <w:r w:rsidR="00103B47">
        <w:t>ummary of suggested language content.)</w:t>
      </w:r>
    </w:p>
    <w:p w:rsidR="00E064D7" w:rsidRDefault="00BC7E09" w:rsidP="00E064D7">
      <w:pPr>
        <w:pStyle w:val="Bulletslevel1"/>
      </w:pPr>
      <w:r>
        <w:t>Learn</w:t>
      </w:r>
      <w:r w:rsidR="00E064D7">
        <w:t xml:space="preserve"> how to write in Japanese using squared paper</w:t>
      </w:r>
      <w:r w:rsidR="00606C34">
        <w:t>. (See the Assessment-related resource accompanying this assessment</w:t>
      </w:r>
      <w:r w:rsidR="00D0327D">
        <w:t xml:space="preserve">: </w:t>
      </w:r>
      <w:r w:rsidR="00D0327D" w:rsidRPr="00153396">
        <w:t>Genkoo yooshi</w:t>
      </w:r>
      <w:r w:rsidR="00D0327D">
        <w:t>.)</w:t>
      </w:r>
    </w:p>
    <w:p w:rsidR="00E064D7" w:rsidRDefault="00BC7E09" w:rsidP="00E064D7">
      <w:pPr>
        <w:pStyle w:val="Bulletslevel1"/>
      </w:pPr>
      <w:r>
        <w:t>Draft and redraft</w:t>
      </w:r>
      <w:r w:rsidR="00E064D7">
        <w:t xml:space="preserve"> letters of self-introduction</w:t>
      </w:r>
      <w:r w:rsidR="00D0327D">
        <w:t>.</w:t>
      </w:r>
    </w:p>
    <w:p w:rsidR="00673BD9" w:rsidRDefault="00E064D7" w:rsidP="00673BD9">
      <w:pPr>
        <w:pStyle w:val="Bulletslevel1"/>
      </w:pPr>
      <w:r>
        <w:t>Lear</w:t>
      </w:r>
      <w:r w:rsidR="00BC7E09">
        <w:t>n</w:t>
      </w:r>
      <w:r>
        <w:t xml:space="preserve"> how to write letters using a </w:t>
      </w:r>
      <w:r w:rsidR="00D0327D">
        <w:t xml:space="preserve">computer with </w:t>
      </w:r>
      <w:r>
        <w:t>Global IME</w:t>
      </w:r>
      <w:r w:rsidR="00D0327D">
        <w:t xml:space="preserve"> </w:t>
      </w:r>
      <w:r w:rsidR="00153396">
        <w:t xml:space="preserve">(input method editing) </w:t>
      </w:r>
      <w:r w:rsidR="000F65B4">
        <w:t xml:space="preserve">software. </w:t>
      </w:r>
      <w:r w:rsidR="00131BAB">
        <w:t xml:space="preserve">Global IME </w:t>
      </w:r>
      <w:r w:rsidR="00D0327D">
        <w:t>software allows computer users to enter complex characters and symbols, such as Japanese charact</w:t>
      </w:r>
      <w:r w:rsidR="00393562">
        <w:t>ers, using a standard keyboard.</w:t>
      </w:r>
    </w:p>
    <w:p w:rsidR="00673BD9" w:rsidRDefault="00673BD9" w:rsidP="00673BD9">
      <w:pPr>
        <w:pStyle w:val="Bulletslevel1"/>
      </w:pPr>
      <w:r>
        <w:t>Reflect on new learning and understanding about Japanese culture and language.</w:t>
      </w:r>
    </w:p>
    <w:p w:rsidR="00673BD9" w:rsidRDefault="00673BD9" w:rsidP="00673BD9">
      <w:pPr>
        <w:pStyle w:val="Bulletslevel1"/>
      </w:pPr>
      <w:r>
        <w:t>Reflect on suitability of language choices for a pen-pal context.</w:t>
      </w:r>
    </w:p>
    <w:tbl>
      <w:tblPr>
        <w:tblpPr w:leftFromText="181" w:rightFromText="181" w:vertAnchor="page" w:horzAnchor="margin" w:tblpY="11755"/>
        <w:tblW w:w="9639" w:type="dxa"/>
        <w:tblLook w:val="01E0" w:firstRow="1" w:lastRow="1" w:firstColumn="1" w:lastColumn="1" w:noHBand="0" w:noVBand="0"/>
      </w:tblPr>
      <w:tblGrid>
        <w:gridCol w:w="1074"/>
        <w:gridCol w:w="8565"/>
      </w:tblGrid>
      <w:tr w:rsidR="00673BD9" w:rsidRPr="008814B0" w:rsidTr="00673BD9">
        <w:trPr>
          <w:trHeight w:val="870"/>
        </w:trPr>
        <w:tc>
          <w:tcPr>
            <w:tcW w:w="557" w:type="pct"/>
          </w:tcPr>
          <w:p w:rsidR="00673BD9" w:rsidRPr="000B2F55" w:rsidRDefault="00673BD9" w:rsidP="00673BD9">
            <w:pPr>
              <w:spacing w:before="0" w:after="0" w:line="240" w:lineRule="auto"/>
            </w:pPr>
            <w:r>
              <w:br w:type="page"/>
            </w:r>
            <w:r w:rsidR="00360559">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673BD9" w:rsidRPr="008814B0" w:rsidRDefault="00673BD9" w:rsidP="00673BD9">
            <w:pPr>
              <w:pStyle w:val="Heading2"/>
              <w:keepNext w:val="0"/>
              <w:spacing w:before="0" w:after="0"/>
            </w:pPr>
            <w:r w:rsidRPr="00B03C83">
              <w:rPr>
                <w:noProof/>
              </w:rPr>
              <w:t>Teacher resources</w:t>
            </w:r>
          </w:p>
        </w:tc>
      </w:tr>
    </w:tbl>
    <w:p w:rsidR="00256D6F" w:rsidRDefault="00256D6F" w:rsidP="00153396">
      <w:pPr>
        <w:pStyle w:val="Bulletslevel1"/>
        <w:numPr>
          <w:ilvl w:val="0"/>
          <w:numId w:val="0"/>
        </w:numPr>
        <w:ind w:left="380" w:hanging="380"/>
      </w:pPr>
      <w:r>
        <w:t>Appendix A</w:t>
      </w:r>
      <w:r>
        <w:tab/>
      </w:r>
      <w:r>
        <w:tab/>
        <w:t xml:space="preserve">Japanese culture </w:t>
      </w:r>
      <w:r w:rsidR="005548BD">
        <w:t xml:space="preserve">and language </w:t>
      </w:r>
      <w:r>
        <w:t>— web resources</w:t>
      </w:r>
    </w:p>
    <w:p w:rsidR="006F2F7B" w:rsidRDefault="006F2F7B" w:rsidP="00153396">
      <w:pPr>
        <w:pStyle w:val="Bulletslevel1"/>
        <w:numPr>
          <w:ilvl w:val="0"/>
          <w:numId w:val="0"/>
        </w:numPr>
        <w:ind w:left="380" w:hanging="380"/>
      </w:pPr>
      <w:r>
        <w:t>Appendix B</w:t>
      </w:r>
      <w:r>
        <w:tab/>
      </w:r>
      <w:r>
        <w:tab/>
        <w:t>Letter-writing conventions</w:t>
      </w:r>
    </w:p>
    <w:p w:rsidR="009D4A7B" w:rsidRDefault="009D4A7B" w:rsidP="00153396">
      <w:pPr>
        <w:pStyle w:val="Bulletslevel1"/>
        <w:numPr>
          <w:ilvl w:val="0"/>
          <w:numId w:val="0"/>
        </w:numPr>
        <w:ind w:left="380" w:hanging="380"/>
      </w:pPr>
      <w:r>
        <w:t>Appendix C</w:t>
      </w:r>
      <w:r>
        <w:tab/>
      </w:r>
      <w:r>
        <w:tab/>
        <w:t>Summary of suggested language content</w:t>
      </w:r>
    </w:p>
    <w:p w:rsidR="00835BA3" w:rsidRDefault="00835BA3" w:rsidP="002627EA">
      <w:pPr>
        <w:pStyle w:val="Bulletslevel1"/>
        <w:numPr>
          <w:ilvl w:val="0"/>
          <w:numId w:val="0"/>
        </w:numPr>
        <w:ind w:left="380" w:hanging="380"/>
      </w:pPr>
      <w:r>
        <w:t>Assessment-related resource</w:t>
      </w:r>
      <w:r>
        <w:tab/>
      </w:r>
      <w:r>
        <w:tab/>
      </w:r>
      <w:bookmarkStart w:id="1" w:name="OLE_LINK1"/>
      <w:bookmarkStart w:id="2" w:name="OLE_LINK2"/>
      <w:r w:rsidRPr="00153396">
        <w:t>Genkoo yooshi</w:t>
      </w:r>
      <w:bookmarkEnd w:id="1"/>
      <w:bookmarkEnd w:id="2"/>
    </w:p>
    <w:p w:rsidR="00835BA3" w:rsidRDefault="00835BA3" w:rsidP="00835BA3">
      <w:pPr>
        <w:pStyle w:val="Bulletslevel1"/>
        <w:numPr>
          <w:ilvl w:val="0"/>
          <w:numId w:val="0"/>
        </w:numPr>
        <w:ind w:left="380" w:hanging="380"/>
      </w:pPr>
      <w:r>
        <w:t>Computers with Global IME software</w:t>
      </w:r>
      <w:r w:rsidRPr="00393562">
        <w:t xml:space="preserve"> </w:t>
      </w:r>
      <w:r>
        <w:t>(optional)</w:t>
      </w:r>
    </w:p>
    <w:p w:rsidR="00CB5E1F" w:rsidRDefault="00CB5E1F" w:rsidP="00CB5E1F">
      <w:pPr>
        <w:pStyle w:val="Bulletslevel1"/>
        <w:numPr>
          <w:ilvl w:val="0"/>
          <w:numId w:val="0"/>
        </w:numPr>
        <w:ind w:left="380" w:hanging="380"/>
      </w:pPr>
    </w:p>
    <w:p w:rsidR="00233FC0" w:rsidRDefault="00360559" w:rsidP="00393562">
      <w:pPr>
        <w:pStyle w:val="Heading2"/>
      </w:pPr>
      <w:r>
        <w:rPr>
          <w:noProof/>
        </w:rPr>
        <w:drawing>
          <wp:anchor distT="0" distB="0" distL="114300" distR="114300" simplePos="0" relativeHeight="251659776" behindDoc="0" locked="0" layoutInCell="1" allowOverlap="1">
            <wp:simplePos x="0" y="0"/>
            <wp:positionH relativeFrom="page">
              <wp:posOffset>514350</wp:posOffset>
            </wp:positionH>
            <wp:positionV relativeFrom="paragraph">
              <wp:posOffset>-19685</wp:posOffset>
            </wp:positionV>
            <wp:extent cx="6713220" cy="1319530"/>
            <wp:effectExtent l="0" t="0" r="0" b="0"/>
            <wp:wrapSquare wrapText="bothSides"/>
            <wp:docPr id="49" name="Picture 49"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862D1A" w:rsidRDefault="00862D1A" w:rsidP="00862D1A">
      <w:pPr>
        <w:pStyle w:val="Bulletslevel1"/>
      </w:pPr>
      <w:r>
        <w:t xml:space="preserve">Ensure students have knowledge of </w:t>
      </w:r>
      <w:r w:rsidR="00673BD9">
        <w:t xml:space="preserve">the required </w:t>
      </w:r>
      <w:r>
        <w:t xml:space="preserve">Japanese script before completing this assessment. </w:t>
      </w:r>
    </w:p>
    <w:p w:rsidR="002649F7" w:rsidRDefault="00862D1A" w:rsidP="00862D1A">
      <w:pPr>
        <w:pStyle w:val="Bulletslevel1"/>
        <w:numPr>
          <w:ilvl w:val="0"/>
          <w:numId w:val="0"/>
        </w:numPr>
        <w:ind w:left="380"/>
      </w:pPr>
      <w:r>
        <w:t xml:space="preserve">Note: This assessment would </w:t>
      </w:r>
      <w:r w:rsidR="00F95EAD">
        <w:t>suit implementation</w:t>
      </w:r>
      <w:r>
        <w:t xml:space="preserve"> at the end of one term or semester of Japanese. This decision will be determined by the level of proficiency of the students.</w:t>
      </w:r>
      <w:r w:rsidRPr="00862D1A">
        <w:t xml:space="preserve"> </w:t>
      </w:r>
    </w:p>
    <w:p w:rsidR="002649F7" w:rsidRDefault="00035248" w:rsidP="002649F7">
      <w:pPr>
        <w:pStyle w:val="Bulletslevel1"/>
      </w:pPr>
      <w:r w:rsidRPr="00D17978">
        <w:t xml:space="preserve">Revise any key text structures and language elements targeted for assessment. Students should have </w:t>
      </w:r>
      <w:r>
        <w:t xml:space="preserve">had </w:t>
      </w:r>
      <w:r w:rsidRPr="00D17978">
        <w:t xml:space="preserve">significant opportunity </w:t>
      </w:r>
      <w:r w:rsidR="00673BD9">
        <w:t>to learn</w:t>
      </w:r>
      <w:r w:rsidRPr="00D17978">
        <w:t xml:space="preserve"> the required language elements before the assessment.</w:t>
      </w:r>
      <w:r w:rsidRPr="00035248">
        <w:t xml:space="preserve"> </w:t>
      </w:r>
    </w:p>
    <w:p w:rsidR="002649F7" w:rsidRDefault="00035248" w:rsidP="002649F7">
      <w:pPr>
        <w:pStyle w:val="Bulletslevel1"/>
      </w:pPr>
      <w:r>
        <w:t xml:space="preserve">Decide whether students will </w:t>
      </w:r>
      <w:r w:rsidR="0016206B">
        <w:t>have access to</w:t>
      </w:r>
      <w:r w:rsidR="002649F7">
        <w:t xml:space="preserve"> dictionaries, </w:t>
      </w:r>
      <w:r w:rsidR="0016206B">
        <w:t xml:space="preserve">word lists </w:t>
      </w:r>
      <w:r w:rsidR="002649F7">
        <w:t xml:space="preserve">or hiragana and katakana charts </w:t>
      </w:r>
      <w:r>
        <w:t>during the assessment.</w:t>
      </w:r>
      <w:r w:rsidR="002649F7" w:rsidRPr="002649F7">
        <w:t xml:space="preserve"> </w:t>
      </w:r>
      <w:r w:rsidR="002649F7" w:rsidRPr="007951CD">
        <w:t xml:space="preserve">Students from </w:t>
      </w:r>
      <w:r w:rsidR="002649F7">
        <w:t xml:space="preserve">orthographic </w:t>
      </w:r>
      <w:r w:rsidR="002649F7" w:rsidRPr="007951CD">
        <w:t>b</w:t>
      </w:r>
      <w:r w:rsidR="002649F7">
        <w:t>ackgrounds will have quite well</w:t>
      </w:r>
      <w:r w:rsidR="002649F7" w:rsidRPr="002649F7">
        <w:rPr>
          <w:sz w:val="16"/>
          <w:szCs w:val="16"/>
        </w:rPr>
        <w:noBreakHyphen/>
      </w:r>
      <w:r w:rsidR="002649F7" w:rsidRPr="007951CD">
        <w:t>developed skills</w:t>
      </w:r>
      <w:r w:rsidR="002649F7">
        <w:t xml:space="preserve"> for the reading and writing of Japanese script. Students from non</w:t>
      </w:r>
      <w:r w:rsidR="002649F7" w:rsidRPr="002649F7">
        <w:rPr>
          <w:sz w:val="16"/>
          <w:szCs w:val="16"/>
        </w:rPr>
        <w:noBreakHyphen/>
      </w:r>
      <w:r w:rsidR="002649F7">
        <w:t xml:space="preserve">orthographic backgrounds may need to refer to hiragana and katakana charts. </w:t>
      </w:r>
    </w:p>
    <w:p w:rsidR="00035248" w:rsidRDefault="002649F7" w:rsidP="002649F7">
      <w:pPr>
        <w:pStyle w:val="Bulletslevel1"/>
      </w:pPr>
      <w:r>
        <w:t>Ensure students have read at least one letter of self-introduction and had opportunities to develop the knowledge and understanding and skills required for the assessment.</w:t>
      </w:r>
    </w:p>
    <w:p w:rsidR="0006153D" w:rsidRDefault="00035248" w:rsidP="00035248">
      <w:pPr>
        <w:pStyle w:val="Bulletslevel1"/>
      </w:pPr>
      <w:r>
        <w:t>Decide if students can type their assessment in Japanese.</w:t>
      </w:r>
      <w:r w:rsidRPr="006C080F">
        <w:t xml:space="preserve"> </w:t>
      </w:r>
      <w:r>
        <w:t>Arrange computer access if necessary.</w:t>
      </w:r>
      <w:r w:rsidR="0016206B">
        <w:t xml:space="preserve"> </w:t>
      </w:r>
    </w:p>
    <w:p w:rsidR="00035248" w:rsidRDefault="00035248" w:rsidP="00035248">
      <w:pPr>
        <w:pStyle w:val="Bulletslevel1"/>
      </w:pPr>
      <w:r w:rsidRPr="00D17978">
        <w:t xml:space="preserve">Consider what </w:t>
      </w:r>
      <w:r>
        <w:t>stimulus resources</w:t>
      </w:r>
      <w:r w:rsidRPr="00D17978">
        <w:t xml:space="preserve"> could be o</w:t>
      </w:r>
      <w:r>
        <w:t>ffered in the assessment.</w:t>
      </w:r>
    </w:p>
    <w:p w:rsidR="0006153D" w:rsidRPr="00D17978" w:rsidRDefault="0006153D" w:rsidP="0006153D">
      <w:pPr>
        <w:pStyle w:val="Bulletslevel1"/>
      </w:pPr>
      <w:r w:rsidRPr="00D17978">
        <w:t>Print any relevant and required resources</w:t>
      </w:r>
      <w:r w:rsidR="00035248">
        <w:t>, such as squared paper</w:t>
      </w:r>
      <w:r w:rsidRPr="00D17978">
        <w:t xml:space="preserve">. </w:t>
      </w:r>
    </w:p>
    <w:p w:rsidR="00035248" w:rsidRDefault="00E85CE7" w:rsidP="00035248">
      <w:pPr>
        <w:pStyle w:val="Bulletslevel1"/>
      </w:pPr>
      <w:r w:rsidRPr="00D17978">
        <w:t>Consider</w:t>
      </w:r>
      <w:r>
        <w:t xml:space="preserve"> </w:t>
      </w:r>
      <w:r w:rsidRPr="00D17978">
        <w:t>equity issues</w:t>
      </w:r>
      <w:r>
        <w:t>. Ensure s</w:t>
      </w:r>
      <w:r w:rsidRPr="00D17978">
        <w:t xml:space="preserve">tudents </w:t>
      </w:r>
      <w:r>
        <w:t>are not</w:t>
      </w:r>
      <w:r w:rsidRPr="00D17978">
        <w:t xml:space="preserve"> disadvantaged due to a shortage of resources. </w:t>
      </w:r>
    </w:p>
    <w:p w:rsidR="00E85CE7" w:rsidRDefault="00035248" w:rsidP="00035248">
      <w:pPr>
        <w:pStyle w:val="Bulletslevel1"/>
      </w:pPr>
      <w:r>
        <w:t xml:space="preserve">Ensure students understand the </w:t>
      </w:r>
      <w:r w:rsidRPr="00CB5E1F">
        <w:rPr>
          <w:i/>
        </w:rPr>
        <w:t>Guide to making judgments</w:t>
      </w:r>
      <w:r>
        <w:t>.</w:t>
      </w:r>
    </w:p>
    <w:p w:rsidR="00F27707" w:rsidRDefault="00F27707" w:rsidP="00F27707">
      <w:pPr>
        <w:pStyle w:val="Bulletslevel1"/>
      </w:pPr>
      <w:r w:rsidRPr="00D17978">
        <w:t>Employ the support strategies used in everyday practice for students who may require additional support to complete the assessment.</w:t>
      </w:r>
    </w:p>
    <w:p w:rsidR="00233FC0" w:rsidRDefault="00233FC0" w:rsidP="0006153D">
      <w:pPr>
        <w:pStyle w:val="Heading2TOP"/>
      </w:pPr>
      <w:r>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216C8D" w:rsidRPr="009D15D5">
        <w:trPr>
          <w:jc w:val="center"/>
        </w:trPr>
        <w:tc>
          <w:tcPr>
            <w:tcW w:w="3213" w:type="dxa"/>
            <w:shd w:val="clear" w:color="auto" w:fill="CCCCCC"/>
          </w:tcPr>
          <w:p w:rsidR="00216C8D" w:rsidRPr="009D15D5" w:rsidRDefault="00216C8D" w:rsidP="00C11F18">
            <w:pPr>
              <w:keepNext/>
              <w:spacing w:before="120" w:after="120"/>
              <w:rPr>
                <w:b/>
              </w:rPr>
            </w:pPr>
            <w:r w:rsidRPr="009D15D5">
              <w:rPr>
                <w:b/>
              </w:rPr>
              <w:t>Suggested time</w:t>
            </w:r>
          </w:p>
        </w:tc>
        <w:tc>
          <w:tcPr>
            <w:tcW w:w="3213" w:type="dxa"/>
            <w:shd w:val="clear" w:color="auto" w:fill="CCCCCC"/>
          </w:tcPr>
          <w:p w:rsidR="00216C8D" w:rsidRPr="009D15D5" w:rsidRDefault="00216C8D" w:rsidP="00C11F18">
            <w:pPr>
              <w:keepNext/>
              <w:spacing w:before="120" w:after="120"/>
              <w:rPr>
                <w:b/>
              </w:rPr>
            </w:pPr>
            <w:r w:rsidRPr="009D15D5">
              <w:rPr>
                <w:b/>
              </w:rPr>
              <w:t>Student activity</w:t>
            </w:r>
          </w:p>
        </w:tc>
        <w:tc>
          <w:tcPr>
            <w:tcW w:w="3213"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1. </w:t>
            </w:r>
            <w:r w:rsidR="0006153D">
              <w:rPr>
                <w:b/>
              </w:rPr>
              <w:t>Writing</w:t>
            </w:r>
          </w:p>
        </w:tc>
      </w:tr>
      <w:tr w:rsidR="0006153D">
        <w:trPr>
          <w:jc w:val="center"/>
        </w:trPr>
        <w:tc>
          <w:tcPr>
            <w:tcW w:w="3213" w:type="dxa"/>
          </w:tcPr>
          <w:p w:rsidR="0006153D" w:rsidRDefault="00673BD9" w:rsidP="0006153D">
            <w:pPr>
              <w:pStyle w:val="tablesml"/>
            </w:pPr>
            <w:r>
              <w:t xml:space="preserve">10 </w:t>
            </w:r>
            <w:r w:rsidR="0006153D">
              <w:t>minutes</w:t>
            </w:r>
          </w:p>
        </w:tc>
        <w:tc>
          <w:tcPr>
            <w:tcW w:w="3213" w:type="dxa"/>
          </w:tcPr>
          <w:p w:rsidR="0006153D" w:rsidRPr="00964AFA" w:rsidRDefault="0006153D" w:rsidP="00964AFA">
            <w:pPr>
              <w:pStyle w:val="tablesml"/>
            </w:pPr>
            <w:r>
              <w:t>Read through</w:t>
            </w:r>
            <w:r w:rsidR="003B0E07">
              <w:t xml:space="preserve"> the</w:t>
            </w:r>
            <w:r>
              <w:t xml:space="preserve"> </w:t>
            </w:r>
            <w:r>
              <w:rPr>
                <w:i/>
              </w:rPr>
              <w:t>Student booklet</w:t>
            </w:r>
            <w:r>
              <w:t xml:space="preserve"> and </w:t>
            </w:r>
            <w:r w:rsidR="003B0E07">
              <w:rPr>
                <w:i/>
              </w:rPr>
              <w:t>Guide to making judg</w:t>
            </w:r>
            <w:r>
              <w:rPr>
                <w:i/>
              </w:rPr>
              <w:t>ments.</w:t>
            </w:r>
          </w:p>
        </w:tc>
        <w:tc>
          <w:tcPr>
            <w:tcW w:w="3213" w:type="dxa"/>
          </w:tcPr>
          <w:p w:rsidR="0006153D" w:rsidRDefault="0006153D" w:rsidP="0006153D">
            <w:pPr>
              <w:pStyle w:val="tablesml"/>
            </w:pPr>
            <w:r>
              <w:t>Clarify wha</w:t>
            </w:r>
            <w:r w:rsidR="00835BA3">
              <w:t>t is required in the assessment, if necessary.</w:t>
            </w:r>
          </w:p>
          <w:p w:rsidR="0006153D" w:rsidRPr="00964AFA" w:rsidRDefault="0006153D" w:rsidP="0006153D">
            <w:pPr>
              <w:pStyle w:val="tablesml"/>
            </w:pPr>
            <w:r>
              <w:t>Ensure students have writing implements</w:t>
            </w:r>
            <w:r w:rsidR="00131BAB">
              <w:t>,</w:t>
            </w:r>
            <w:r>
              <w:t xml:space="preserve"> such as pencils and erasers</w:t>
            </w:r>
            <w:r w:rsidR="003B0E07">
              <w:t>.</w:t>
            </w:r>
          </w:p>
        </w:tc>
      </w:tr>
      <w:tr w:rsidR="0006153D">
        <w:trPr>
          <w:jc w:val="center"/>
        </w:trPr>
        <w:tc>
          <w:tcPr>
            <w:tcW w:w="3213" w:type="dxa"/>
          </w:tcPr>
          <w:p w:rsidR="0006153D" w:rsidRPr="00964AFA" w:rsidRDefault="0006153D" w:rsidP="00964AFA">
            <w:pPr>
              <w:pStyle w:val="tablesml"/>
            </w:pPr>
            <w:r>
              <w:t>100 minutes</w:t>
            </w:r>
          </w:p>
        </w:tc>
        <w:tc>
          <w:tcPr>
            <w:tcW w:w="3213" w:type="dxa"/>
          </w:tcPr>
          <w:p w:rsidR="0006153D" w:rsidRDefault="0006153D" w:rsidP="0006153D">
            <w:pPr>
              <w:pStyle w:val="tablesml"/>
            </w:pPr>
            <w:r>
              <w:t xml:space="preserve">Write a </w:t>
            </w:r>
            <w:r w:rsidR="00835BA3">
              <w:t>plan for</w:t>
            </w:r>
            <w:r>
              <w:t xml:space="preserve"> the letter in English, reflect, </w:t>
            </w:r>
            <w:r w:rsidR="00835BA3">
              <w:t xml:space="preserve">and </w:t>
            </w:r>
            <w:r>
              <w:t>edit.</w:t>
            </w:r>
          </w:p>
          <w:p w:rsidR="0006153D" w:rsidRDefault="0006153D" w:rsidP="0006153D">
            <w:pPr>
              <w:pStyle w:val="tablesml"/>
            </w:pPr>
            <w:r>
              <w:t>Write the letter in Japanese</w:t>
            </w:r>
            <w:r w:rsidR="00835BA3">
              <w:t>.</w:t>
            </w:r>
          </w:p>
          <w:p w:rsidR="0006153D" w:rsidRPr="00964AFA" w:rsidRDefault="00835BA3" w:rsidP="0006153D">
            <w:pPr>
              <w:pStyle w:val="tablesml"/>
            </w:pPr>
            <w:r>
              <w:t>Reflect on and check</w:t>
            </w:r>
            <w:r w:rsidR="0006153D">
              <w:t xml:space="preserve"> work</w:t>
            </w:r>
            <w:r>
              <w:t>.</w:t>
            </w:r>
          </w:p>
        </w:tc>
        <w:tc>
          <w:tcPr>
            <w:tcW w:w="3213" w:type="dxa"/>
          </w:tcPr>
          <w:p w:rsidR="003B0E07" w:rsidRDefault="0006153D" w:rsidP="0006153D">
            <w:pPr>
              <w:pStyle w:val="tablesml"/>
            </w:pPr>
            <w:r>
              <w:t>Distribute squared pa</w:t>
            </w:r>
            <w:r w:rsidR="003B0E07">
              <w:t>per if the letter is to be hand</w:t>
            </w:r>
            <w:r>
              <w:t xml:space="preserve">written. </w:t>
            </w:r>
          </w:p>
          <w:p w:rsidR="0006153D" w:rsidRDefault="0006153D" w:rsidP="0006153D">
            <w:pPr>
              <w:pStyle w:val="tablesml"/>
            </w:pPr>
            <w:r>
              <w:t xml:space="preserve">Remind students of the </w:t>
            </w:r>
            <w:r w:rsidR="00835BA3">
              <w:t xml:space="preserve">writing </w:t>
            </w:r>
            <w:r>
              <w:t>conventions required (start at the top right and write downwards</w:t>
            </w:r>
            <w:r w:rsidR="00673BD9">
              <w:t>,</w:t>
            </w:r>
            <w:r>
              <w:t xml:space="preserve"> etc</w:t>
            </w:r>
            <w:r w:rsidR="003B0E07">
              <w:t>.</w:t>
            </w:r>
            <w:r>
              <w:t>)</w:t>
            </w:r>
          </w:p>
          <w:p w:rsidR="0006153D" w:rsidRPr="00964AFA" w:rsidRDefault="0006153D" w:rsidP="0006153D">
            <w:pPr>
              <w:pStyle w:val="tablesml"/>
            </w:pPr>
            <w:r>
              <w:t>Assist as needed.</w:t>
            </w:r>
          </w:p>
        </w:tc>
      </w:tr>
      <w:tr w:rsidR="0006153D" w:rsidRPr="009D15D5">
        <w:trPr>
          <w:jc w:val="center"/>
        </w:trPr>
        <w:tc>
          <w:tcPr>
            <w:tcW w:w="9639" w:type="dxa"/>
            <w:gridSpan w:val="3"/>
            <w:shd w:val="clear" w:color="auto" w:fill="E6E6E6"/>
          </w:tcPr>
          <w:p w:rsidR="0006153D" w:rsidRPr="009D15D5" w:rsidRDefault="0006153D" w:rsidP="00C11F18">
            <w:pPr>
              <w:keepNext/>
              <w:spacing w:before="120" w:after="120"/>
              <w:rPr>
                <w:b/>
              </w:rPr>
            </w:pPr>
            <w:r w:rsidRPr="009D15D5">
              <w:rPr>
                <w:b/>
              </w:rPr>
              <w:t xml:space="preserve">Section 2. </w:t>
            </w:r>
            <w:r>
              <w:rPr>
                <w:b/>
              </w:rPr>
              <w:t>Refl</w:t>
            </w:r>
            <w:r w:rsidR="003B0E07">
              <w:rPr>
                <w:b/>
              </w:rPr>
              <w:t>ecting</w:t>
            </w:r>
          </w:p>
        </w:tc>
      </w:tr>
      <w:tr w:rsidR="0006153D">
        <w:trPr>
          <w:jc w:val="center"/>
        </w:trPr>
        <w:tc>
          <w:tcPr>
            <w:tcW w:w="3213" w:type="dxa"/>
          </w:tcPr>
          <w:p w:rsidR="0006153D" w:rsidRDefault="00673BD9" w:rsidP="00964AFA">
            <w:pPr>
              <w:pStyle w:val="tablesml"/>
            </w:pPr>
            <w:r>
              <w:t>20 minutes</w:t>
            </w:r>
            <w:r>
              <w:br/>
            </w:r>
          </w:p>
        </w:tc>
        <w:tc>
          <w:tcPr>
            <w:tcW w:w="3213" w:type="dxa"/>
          </w:tcPr>
          <w:p w:rsidR="0006153D" w:rsidRPr="0006153D" w:rsidRDefault="0006153D" w:rsidP="0006153D">
            <w:pPr>
              <w:pStyle w:val="tablesml"/>
            </w:pPr>
            <w:r w:rsidRPr="0006153D">
              <w:t xml:space="preserve">Complete </w:t>
            </w:r>
            <w:r w:rsidR="003B0E07">
              <w:t xml:space="preserve">the </w:t>
            </w:r>
            <w:r w:rsidRPr="0006153D">
              <w:t>reflection in English</w:t>
            </w:r>
            <w:r w:rsidR="00835BA3">
              <w:t>.</w:t>
            </w:r>
          </w:p>
        </w:tc>
        <w:tc>
          <w:tcPr>
            <w:tcW w:w="3213" w:type="dxa"/>
          </w:tcPr>
          <w:p w:rsidR="0006153D" w:rsidRDefault="0006153D" w:rsidP="0006153D">
            <w:pPr>
              <w:pStyle w:val="tablesml"/>
            </w:pPr>
            <w:r>
              <w:t xml:space="preserve">Clarify what is required in the assessment and the </w:t>
            </w:r>
            <w:r>
              <w:rPr>
                <w:i/>
              </w:rPr>
              <w:t>Guide to making judgments</w:t>
            </w:r>
            <w:r>
              <w:t xml:space="preserve"> as needed.</w:t>
            </w:r>
          </w:p>
          <w:p w:rsidR="0006153D" w:rsidRDefault="0006153D" w:rsidP="0006153D">
            <w:pPr>
              <w:pStyle w:val="tablesml"/>
            </w:pPr>
            <w:r>
              <w:t xml:space="preserve">Assist as needed. </w:t>
            </w:r>
          </w:p>
          <w:p w:rsidR="0006153D" w:rsidRDefault="0006153D" w:rsidP="0006153D">
            <w:pPr>
              <w:pStyle w:val="tablesml"/>
            </w:pPr>
            <w:r>
              <w:t>Give feedback.</w:t>
            </w:r>
          </w:p>
        </w:tc>
      </w:tr>
    </w:tbl>
    <w:p w:rsidR="00447263" w:rsidRPr="00447263" w:rsidRDefault="00447263" w:rsidP="00447263"/>
    <w:tbl>
      <w:tblPr>
        <w:tblW w:w="9639" w:type="dxa"/>
        <w:tblLook w:val="01E0" w:firstRow="1" w:lastRow="1" w:firstColumn="1" w:lastColumn="1" w:noHBand="0" w:noVBand="0"/>
      </w:tblPr>
      <w:tblGrid>
        <w:gridCol w:w="1074"/>
        <w:gridCol w:w="8565"/>
      </w:tblGrid>
      <w:tr w:rsidR="00B52D86" w:rsidRPr="008814B0">
        <w:trPr>
          <w:trHeight w:val="870"/>
        </w:trPr>
        <w:tc>
          <w:tcPr>
            <w:tcW w:w="1074" w:type="dxa"/>
          </w:tcPr>
          <w:p w:rsidR="00B52D86" w:rsidRPr="000B2F55" w:rsidRDefault="00B52D86" w:rsidP="00447263">
            <w:pPr>
              <w:spacing w:before="0" w:after="0" w:line="240" w:lineRule="auto"/>
            </w:pPr>
            <w:r>
              <w:br w:type="page"/>
            </w:r>
            <w:r w:rsidR="00360559">
              <w:rPr>
                <w:noProof/>
              </w:rPr>
              <w:drawing>
                <wp:inline distT="0" distB="0" distL="0" distR="0">
                  <wp:extent cx="542290" cy="542290"/>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8565" w:type="dxa"/>
            <w:vAlign w:val="center"/>
          </w:tcPr>
          <w:p w:rsidR="00B52D86" w:rsidRPr="008814B0" w:rsidRDefault="00B52D86" w:rsidP="00FE3FBF">
            <w:pPr>
              <w:pStyle w:val="Heading2"/>
              <w:pageBreakBefore/>
              <w:spacing w:before="0" w:after="0"/>
            </w:pPr>
            <w:r>
              <w:rPr>
                <w:noProof/>
              </w:rPr>
              <w:t>Resources for the assessment</w:t>
            </w:r>
          </w:p>
        </w:tc>
      </w:tr>
    </w:tbl>
    <w:p w:rsidR="0006153D" w:rsidRDefault="00673BD9" w:rsidP="0006153D">
      <w:pPr>
        <w:rPr>
          <w:lang w:eastAsia="ja-JP"/>
        </w:rPr>
      </w:pPr>
      <w:r>
        <w:rPr>
          <w:lang w:eastAsia="ja-JP"/>
        </w:rPr>
        <w:t>Assessment-related resource</w:t>
      </w:r>
      <w:r>
        <w:rPr>
          <w:lang w:eastAsia="ja-JP"/>
        </w:rPr>
        <w:tab/>
      </w:r>
      <w:r w:rsidR="002627EA">
        <w:rPr>
          <w:lang w:eastAsia="ja-JP"/>
        </w:rPr>
        <w:t>Genkoo yooshi</w:t>
      </w:r>
    </w:p>
    <w:p w:rsidR="003B0E07" w:rsidRDefault="003B0E07" w:rsidP="0006153D">
      <w:pPr>
        <w:rPr>
          <w:lang w:eastAsia="ja-JP"/>
        </w:rPr>
      </w:pPr>
      <w:r>
        <w:rPr>
          <w:lang w:eastAsia="ja-JP"/>
        </w:rPr>
        <w:t>2B or pacer pencils</w:t>
      </w:r>
    </w:p>
    <w:p w:rsidR="003B0E07" w:rsidRDefault="003B0E07" w:rsidP="0006153D">
      <w:pPr>
        <w:rPr>
          <w:lang w:eastAsia="ja-JP"/>
        </w:rPr>
      </w:pPr>
      <w:r>
        <w:rPr>
          <w:lang w:eastAsia="ja-JP"/>
        </w:rPr>
        <w:t>Computers with IME software (optional)</w:t>
      </w:r>
    </w:p>
    <w:p w:rsidR="002649F7" w:rsidRPr="00D43BC1" w:rsidRDefault="002627EA" w:rsidP="0006153D">
      <w:r>
        <w:t xml:space="preserve">Wordlists, dictionaries, </w:t>
      </w:r>
      <w:r w:rsidR="002649F7">
        <w:t>hiragana and katakana charts (optional)</w:t>
      </w:r>
    </w:p>
    <w:p w:rsidR="00447263" w:rsidRDefault="00447263" w:rsidP="00FA5455"/>
    <w:p w:rsidR="00447263" w:rsidRDefault="00447263" w:rsidP="00FA5455"/>
    <w:p w:rsidR="00447263" w:rsidRDefault="00447263" w:rsidP="00FA5455"/>
    <w:p w:rsidR="00FA5455" w:rsidRDefault="00943DC9" w:rsidP="00FA5455">
      <w:r>
        <w:br w:type="page"/>
      </w:r>
      <w:r w:rsidR="00360559">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B52D86">
      <w:pPr>
        <w:pStyle w:val="Heading3"/>
      </w:pPr>
      <w:r w:rsidRPr="005110F5">
        <w:t>Making judgments about this assessment</w:t>
      </w:r>
    </w:p>
    <w:p w:rsidR="007E6E15" w:rsidRDefault="007E6E15" w:rsidP="007E6E15">
      <w:pPr>
        <w:pStyle w:val="Bulletslevel2"/>
        <w:numPr>
          <w:ilvl w:val="0"/>
          <w:numId w:val="0"/>
        </w:numPr>
      </w:pPr>
      <w:r>
        <w:t>The</w:t>
      </w:r>
      <w:r w:rsidRPr="00D17978">
        <w:t xml:space="preserve"> </w:t>
      </w:r>
      <w:r w:rsidRPr="00D17978">
        <w:rPr>
          <w:i/>
        </w:rPr>
        <w:t>Guide to making judgments</w:t>
      </w:r>
      <w:r>
        <w:t xml:space="preserve"> </w:t>
      </w:r>
      <w:r w:rsidRPr="00D17978">
        <w:t>for this assessment demonstrates student development along a continuum</w:t>
      </w:r>
      <w:r>
        <w:t>. It</w:t>
      </w:r>
      <w:r w:rsidRPr="00D17978">
        <w:t xml:space="preserve"> us</w:t>
      </w:r>
      <w:r>
        <w:t>es</w:t>
      </w:r>
      <w:r w:rsidRPr="00D17978">
        <w:t xml:space="preserve"> task-specific descriptors </w:t>
      </w:r>
      <w:r>
        <w:t>to describe the quality of student performance as a</w:t>
      </w:r>
      <w:r w:rsidRPr="00D17978">
        <w:t xml:space="preserve"> </w:t>
      </w:r>
      <w:r>
        <w:t xml:space="preserve">standard </w:t>
      </w:r>
      <w:r w:rsidRPr="00D17978">
        <w:t>from A to E across each of the assessable eleme</w:t>
      </w:r>
      <w:r>
        <w:t>nts. In the continua model, each higher standard grade has those below nested within it. In short, an A standard</w:t>
      </w:r>
      <w:r w:rsidRPr="00D17978">
        <w:t xml:space="preserve"> includes all qualities previously described along the continuum. </w:t>
      </w:r>
      <w:r w:rsidR="00673BD9">
        <w:t>As</w:t>
      </w:r>
      <w:r w:rsidRPr="00D17978">
        <w:t xml:space="preserve"> the continua model plots </w:t>
      </w:r>
      <w:r>
        <w:t xml:space="preserve">noticeable </w:t>
      </w:r>
      <w:r w:rsidRPr="00D17978">
        <w:t>differences</w:t>
      </w:r>
      <w:r>
        <w:t xml:space="preserve"> in student performance</w:t>
      </w:r>
      <w:r w:rsidRPr="00D17978">
        <w:t xml:space="preserve">, the descriptor </w:t>
      </w:r>
      <w:r>
        <w:t>shows</w:t>
      </w:r>
      <w:r w:rsidRPr="00D17978">
        <w:t xml:space="preserve"> what students can do, not what students can</w:t>
      </w:r>
      <w:r>
        <w:t>not</w:t>
      </w:r>
      <w:r w:rsidRPr="00D17978">
        <w:t xml:space="preserve"> do.</w:t>
      </w:r>
    </w:p>
    <w:p w:rsidR="007E6E15" w:rsidRPr="00D17978" w:rsidRDefault="007E6E15" w:rsidP="007E6E15">
      <w:pPr>
        <w:pStyle w:val="Bulletslevel2"/>
        <w:numPr>
          <w:ilvl w:val="0"/>
          <w:numId w:val="0"/>
        </w:numPr>
      </w:pPr>
      <w:r w:rsidRPr="00D17978">
        <w:t>Reflection is an integra</w:t>
      </w:r>
      <w:r>
        <w:t>l part of this assessment but u</w:t>
      </w:r>
      <w:r w:rsidRPr="00D17978">
        <w:t xml:space="preserve">se of the target language </w:t>
      </w:r>
      <w:r>
        <w:t>for reflection is not required and is not assessable</w:t>
      </w:r>
      <w:r w:rsidRPr="00D17978">
        <w:t xml:space="preserve">. </w:t>
      </w:r>
      <w:r w:rsidR="00673BD9">
        <w:t>In this assessment</w:t>
      </w:r>
      <w:r w:rsidRPr="00D17978">
        <w:t xml:space="preserve"> language proficiency is assessed through the assessable elements</w:t>
      </w:r>
      <w:r>
        <w:t xml:space="preserve"> —</w:t>
      </w:r>
      <w:r w:rsidR="00673BD9">
        <w:t xml:space="preserve"> Knowledge and understanding</w:t>
      </w:r>
      <w:r w:rsidRPr="00D17978">
        <w:t xml:space="preserve"> and Composing texts. </w:t>
      </w:r>
    </w:p>
    <w:p w:rsidR="00AA077E" w:rsidRDefault="007E6E15" w:rsidP="00AA077E">
      <w:r>
        <w:t>Evidence of Intercultural competence is taken from the reflection. It may be possible to see some evidence of Intercultural competence in texts composed by the student</w:t>
      </w:r>
      <w:r w:rsidRPr="0046314D">
        <w:t xml:space="preserve"> </w:t>
      </w:r>
      <w:r>
        <w:t>in the target language. These should also be considered when making a final judgment on this assessable element</w:t>
      </w:r>
      <w:r w:rsidR="0061511F">
        <w:t>.</w:t>
      </w:r>
    </w:p>
    <w:p w:rsidR="00FA5455" w:rsidRDefault="007E6E15" w:rsidP="007E6E15">
      <w:pPr>
        <w:pStyle w:val="Bulletslevel2"/>
        <w:numPr>
          <w:ilvl w:val="0"/>
          <w:numId w:val="0"/>
        </w:numPr>
      </w:pPr>
      <w:r>
        <w:t>Teachers will need to make judg</w:t>
      </w:r>
      <w:r w:rsidRPr="00D17978">
        <w:t xml:space="preserve">ments about </w:t>
      </w:r>
      <w:r>
        <w:t xml:space="preserve">the impact of students’ </w:t>
      </w:r>
      <w:r w:rsidRPr="00D17978">
        <w:t xml:space="preserve">access </w:t>
      </w:r>
      <w:r>
        <w:t xml:space="preserve">or restricted access </w:t>
      </w:r>
      <w:r w:rsidRPr="00D17978">
        <w:t xml:space="preserve">to hiragana and katakana charts </w:t>
      </w:r>
      <w:r>
        <w:t>when completing the assessment</w:t>
      </w:r>
      <w:r w:rsidRPr="00D17978">
        <w:t xml:space="preserve">. </w:t>
      </w:r>
      <w:r>
        <w:t>Depending on the level of students, they should be encouraged to attempt assessments without the use of a chart.</w:t>
      </w:r>
    </w:p>
    <w:p w:rsidR="00673BD9" w:rsidRPr="000E4E18" w:rsidRDefault="00673BD9" w:rsidP="007E6E15">
      <w:pPr>
        <w:pStyle w:val="Bulletslevel2"/>
        <w:numPr>
          <w:ilvl w:val="0"/>
          <w:numId w:val="0"/>
        </w:numPr>
      </w:pPr>
    </w:p>
    <w:tbl>
      <w:tblPr>
        <w:tblW w:w="9639" w:type="dxa"/>
        <w:tblLook w:val="01E0" w:firstRow="1" w:lastRow="1" w:firstColumn="1" w:lastColumn="1" w:noHBand="0" w:noVBand="0"/>
      </w:tblPr>
      <w:tblGrid>
        <w:gridCol w:w="1072"/>
        <w:gridCol w:w="8567"/>
      </w:tblGrid>
      <w:tr w:rsidR="00FA5455" w:rsidRPr="008814B0" w:rsidTr="00673BD9">
        <w:trPr>
          <w:trHeight w:val="870"/>
        </w:trPr>
        <w:tc>
          <w:tcPr>
            <w:tcW w:w="556" w:type="pct"/>
            <w:vAlign w:val="bottom"/>
          </w:tcPr>
          <w:p w:rsidR="00FA5455" w:rsidRPr="000B2F55" w:rsidRDefault="00360559" w:rsidP="002C1E49">
            <w:pPr>
              <w:spacing w:before="0" w:after="0" w:line="240" w:lineRule="auto"/>
            </w:pPr>
            <w:r>
              <w:rPr>
                <w:noProof/>
              </w:rPr>
              <w:drawing>
                <wp:inline distT="0" distB="0" distL="0" distR="0">
                  <wp:extent cx="542290" cy="54229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360559"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6B0583" w:rsidRDefault="006B0583" w:rsidP="006B0583">
      <w:r>
        <w:t>Teachers should discuss aspects of student performance. This can be done as a</w:t>
      </w:r>
      <w:r w:rsidR="00673BD9">
        <w:t xml:space="preserve"> group and individually. E</w:t>
      </w:r>
      <w:r>
        <w:t xml:space="preserve">rrors in writing at the </w:t>
      </w:r>
      <w:r w:rsidR="00673BD9">
        <w:t>Elementary</w:t>
      </w:r>
      <w:r w:rsidR="00DF7B4A">
        <w:t xml:space="preserve"> S</w:t>
      </w:r>
      <w:r>
        <w:t>tage will most likely be related to the following:</w:t>
      </w:r>
    </w:p>
    <w:p w:rsidR="006B0583" w:rsidRDefault="006B0583" w:rsidP="006B0583">
      <w:pPr>
        <w:pStyle w:val="Bulletslevel1"/>
      </w:pPr>
      <w:r>
        <w:t>mistakes when writing particles</w:t>
      </w:r>
      <w:r>
        <w:rPr>
          <w:rFonts w:ascii="MS Mincho" w:hAnsi="MS Mincho" w:hint="eastAsia"/>
          <w:lang w:eastAsia="ja-JP"/>
        </w:rPr>
        <w:t xml:space="preserve">　（わ</w:t>
      </w:r>
      <w:r>
        <w:rPr>
          <w:rFonts w:ascii="MS Mincho" w:hAnsi="MS Mincho" w:hint="eastAsia"/>
          <w:lang w:eastAsia="ja-JP"/>
        </w:rPr>
        <w:tab/>
        <w:t>は）</w:t>
      </w:r>
    </w:p>
    <w:p w:rsidR="006B0583" w:rsidRDefault="006B0583" w:rsidP="006B0583">
      <w:pPr>
        <w:pStyle w:val="Bulletslevel1"/>
      </w:pPr>
      <w:r>
        <w:t xml:space="preserve">mistakes when writing combination sounds </w:t>
      </w:r>
      <w:r w:rsidRPr="003058F3">
        <w:rPr>
          <w:rFonts w:ascii="MS Mincho" w:eastAsia="MS Mincho" w:hAnsi="MS Mincho" w:cs="MS Gothic" w:hint="eastAsia"/>
          <w:lang w:eastAsia="ja-JP"/>
        </w:rPr>
        <w:t>（きょう）</w:t>
      </w:r>
    </w:p>
    <w:p w:rsidR="006B0583" w:rsidRDefault="006B0583" w:rsidP="006B0583">
      <w:pPr>
        <w:pStyle w:val="Bulletslevel1"/>
      </w:pPr>
      <w:r>
        <w:t>confusing hiragana symbols that are similar</w:t>
      </w:r>
      <w:r>
        <w:rPr>
          <w:rFonts w:ascii="MS Gothic" w:eastAsia="MS Gothic" w:hAnsi="MS Gothic" w:cs="MS Gothic" w:hint="eastAsia"/>
          <w:lang w:eastAsia="ja-JP"/>
        </w:rPr>
        <w:t xml:space="preserve">　</w:t>
      </w:r>
      <w:r w:rsidRPr="003058F3">
        <w:rPr>
          <w:rFonts w:ascii="MS Mincho" w:eastAsia="MS Mincho" w:hAnsi="MS Mincho" w:cs="MS Gothic" w:hint="eastAsia"/>
          <w:lang w:eastAsia="ja-JP"/>
        </w:rPr>
        <w:t>（れ</w:t>
      </w:r>
      <w:r w:rsidRPr="003058F3">
        <w:rPr>
          <w:rFonts w:ascii="MS Mincho" w:eastAsia="MS Mincho" w:hAnsi="MS Mincho" w:cs="Arial"/>
          <w:lang w:eastAsia="ja-JP"/>
        </w:rPr>
        <w:tab/>
      </w:r>
      <w:r w:rsidRPr="003058F3">
        <w:rPr>
          <w:rFonts w:ascii="MS Mincho" w:eastAsia="MS Mincho" w:hAnsi="MS Mincho" w:cs="MS Gothic" w:hint="eastAsia"/>
          <w:lang w:eastAsia="ja-JP"/>
        </w:rPr>
        <w:t>ね</w:t>
      </w:r>
      <w:r w:rsidRPr="003058F3">
        <w:rPr>
          <w:rFonts w:ascii="MS Mincho" w:eastAsia="MS Mincho" w:hAnsi="MS Mincho" w:cs="Arial"/>
          <w:lang w:eastAsia="ja-JP"/>
        </w:rPr>
        <w:tab/>
      </w:r>
      <w:r w:rsidRPr="003058F3">
        <w:rPr>
          <w:rFonts w:ascii="MS Mincho" w:eastAsia="MS Mincho" w:hAnsi="MS Mincho" w:cs="MS Gothic" w:hint="eastAsia"/>
          <w:lang w:eastAsia="ja-JP"/>
        </w:rPr>
        <w:t>わ）</w:t>
      </w:r>
    </w:p>
    <w:p w:rsidR="006B0583" w:rsidRDefault="006B0583" w:rsidP="006B0583">
      <w:pPr>
        <w:pStyle w:val="Bulletslevel1"/>
      </w:pPr>
      <w:r>
        <w:t>confusing which script to use when writing</w:t>
      </w:r>
    </w:p>
    <w:p w:rsidR="006774B8" w:rsidRPr="000E4E18" w:rsidRDefault="00673BD9" w:rsidP="006B0583">
      <w:pPr>
        <w:pStyle w:val="Bulletslevel1"/>
      </w:pPr>
      <w:r>
        <w:rPr>
          <w:lang w:eastAsia="ja-JP"/>
        </w:rPr>
        <w:t>the</w:t>
      </w:r>
      <w:r w:rsidR="006B0583">
        <w:rPr>
          <w:lang w:eastAsia="ja-JP"/>
        </w:rPr>
        <w:t xml:space="preserve"> formation of specific moji</w:t>
      </w:r>
      <w:r w:rsidR="00DF7B4A">
        <w:rPr>
          <w:lang w:eastAsia="ja-JP"/>
        </w:rPr>
        <w:t>.</w:t>
      </w:r>
    </w:p>
    <w:tbl>
      <w:tblPr>
        <w:tblW w:w="9639" w:type="dxa"/>
        <w:tblLook w:val="01E0" w:firstRow="1" w:lastRow="1" w:firstColumn="1" w:lastColumn="1" w:noHBand="0" w:noVBand="0"/>
      </w:tblPr>
      <w:tblGrid>
        <w:gridCol w:w="1070"/>
        <w:gridCol w:w="8569"/>
      </w:tblGrid>
      <w:tr w:rsidR="006774B8" w:rsidRPr="008814B0">
        <w:tc>
          <w:tcPr>
            <w:tcW w:w="500" w:type="pct"/>
            <w:shd w:val="clear" w:color="auto" w:fill="auto"/>
          </w:tcPr>
          <w:p w:rsidR="006774B8" w:rsidRPr="000B2F55" w:rsidRDefault="00360559" w:rsidP="002C1E49">
            <w:pPr>
              <w:spacing w:before="0" w:after="0" w:line="240" w:lineRule="auto"/>
            </w:pPr>
            <w:r>
              <w:rPr>
                <w:noProof/>
              </w:rPr>
              <w:drawing>
                <wp:inline distT="0" distB="0" distL="0" distR="0">
                  <wp:extent cx="542290" cy="542290"/>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00673BD9">
              <w:rPr>
                <w:i/>
              </w:rPr>
              <w:t>About</w:t>
            </w:r>
            <w:r w:rsidRPr="00630422">
              <w:rPr>
                <w:i/>
              </w:rPr>
              <w:t xml:space="preserve">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0B53B7" w:rsidRDefault="000B53B7" w:rsidP="000B53B7">
      <w:pPr>
        <w:pStyle w:val="Heading2TOP"/>
      </w:pPr>
      <w:r>
        <w:t>Japanese culture</w:t>
      </w:r>
      <w:r w:rsidR="005548BD">
        <w:t xml:space="preserve"> and language</w:t>
      </w:r>
      <w:r>
        <w:t xml:space="preserve"> — web resources</w:t>
      </w:r>
    </w:p>
    <w:p w:rsidR="000B53B7" w:rsidRDefault="000B53B7" w:rsidP="000B53B7">
      <w:pPr>
        <w:spacing w:after="120"/>
      </w:pPr>
      <w:r>
        <w:t>Teachers should always check websites before recommending them to students. These websites were accessed in August and September 2008.</w:t>
      </w:r>
    </w:p>
    <w:p w:rsidR="005548BD" w:rsidRDefault="005548BD" w:rsidP="007E706C">
      <w:pPr>
        <w:spacing w:after="120"/>
        <w:rPr>
          <w:rStyle w:val="Heading3Char"/>
        </w:rPr>
      </w:pPr>
    </w:p>
    <w:p w:rsidR="000B53B7" w:rsidRPr="00734441" w:rsidRDefault="000B53B7" w:rsidP="007E706C">
      <w:pPr>
        <w:spacing w:after="120"/>
        <w:rPr>
          <w:rFonts w:cs="Arial"/>
          <w:szCs w:val="22"/>
        </w:rPr>
      </w:pPr>
      <w:r w:rsidRPr="00734441">
        <w:rPr>
          <w:rStyle w:val="Heading3Char"/>
        </w:rPr>
        <w:t xml:space="preserve">About </w:t>
      </w:r>
      <w:smartTag w:uri="urn:schemas-microsoft-com:office:smarttags" w:element="place">
        <w:smartTag w:uri="urn:schemas-microsoft-com:office:smarttags" w:element="country-region">
          <w:r w:rsidRPr="00734441">
            <w:rPr>
              <w:rStyle w:val="Heading3Char"/>
            </w:rPr>
            <w:t>Japan</w:t>
          </w:r>
        </w:smartTag>
      </w:smartTag>
    </w:p>
    <w:p w:rsidR="000B53B7" w:rsidRPr="00421341" w:rsidRDefault="000B53B7" w:rsidP="000B53B7">
      <w:pPr>
        <w:pStyle w:val="Bulletslevel1"/>
      </w:pPr>
      <w:r>
        <w:t xml:space="preserve">Search for images of </w:t>
      </w:r>
      <w:smartTag w:uri="urn:schemas-microsoft-com:office:smarttags" w:element="place">
        <w:smartTag w:uri="urn:schemas-microsoft-com:office:smarttags" w:element="country-region">
          <w:r>
            <w:t>Japan</w:t>
          </w:r>
        </w:smartTag>
      </w:smartTag>
      <w:r>
        <w:t xml:space="preserve"> on Flickr photosharing website: &lt;</w:t>
      </w:r>
      <w:r w:rsidRPr="00D84518">
        <w:t>www.flickr.com</w:t>
      </w:r>
      <w:r>
        <w:t>&gt;.</w:t>
      </w:r>
    </w:p>
    <w:p w:rsidR="000B53B7" w:rsidRPr="009D18C1" w:rsidRDefault="000B53B7" w:rsidP="000B53B7">
      <w:pPr>
        <w:pStyle w:val="Bulletslevel1"/>
        <w:rPr>
          <w:lang w:val="fr-FR"/>
        </w:rPr>
      </w:pPr>
      <w:smartTag w:uri="urn:schemas-microsoft-com:office:smarttags" w:element="country-region">
        <w:smartTag w:uri="urn:schemas-microsoft-com:office:smarttags" w:element="place">
          <w:r w:rsidRPr="007E706C">
            <w:t>Japan</w:t>
          </w:r>
        </w:smartTag>
      </w:smartTag>
      <w:r w:rsidRPr="007E706C">
        <w:t xml:space="preserve"> zone — travel guide, information and culture</w:t>
      </w:r>
      <w:r w:rsidRPr="009D18C1">
        <w:rPr>
          <w:lang w:val="fr-FR"/>
        </w:rPr>
        <w:t xml:space="preserve">: </w:t>
      </w:r>
      <w:r>
        <w:rPr>
          <w:lang w:val="fr-FR"/>
        </w:rPr>
        <w:br/>
      </w:r>
      <w:r w:rsidRPr="009D18C1">
        <w:rPr>
          <w:lang w:val="fr-FR"/>
        </w:rPr>
        <w:t>&lt;www.japan-zone.com/culture/dishes.shtml&gt;.</w:t>
      </w:r>
    </w:p>
    <w:p w:rsidR="000B53B7" w:rsidRPr="009D18C1" w:rsidRDefault="000B53B7" w:rsidP="000B53B7">
      <w:pPr>
        <w:pStyle w:val="Bulletslevel1"/>
      </w:pPr>
      <w:smartTag w:uri="urn:schemas-microsoft-com:office:smarttags" w:element="place">
        <w:smartTag w:uri="urn:schemas-microsoft-com:office:smarttags" w:element="country-region">
          <w:r w:rsidRPr="009D18C1">
            <w:t>Japan</w:t>
          </w:r>
        </w:smartTag>
      </w:smartTag>
      <w:r w:rsidRPr="009D18C1">
        <w:t xml:space="preserve"> guide</w:t>
      </w:r>
      <w:r>
        <w:t xml:space="preserve"> </w:t>
      </w:r>
      <w:r w:rsidRPr="009D18C1">
        <w:t>— Japan living and travel guide</w:t>
      </w:r>
      <w:r>
        <w:t>: &lt;</w:t>
      </w:r>
      <w:r w:rsidRPr="009D18C1">
        <w:t>www.japan-guide.com/e/e2035.html</w:t>
      </w:r>
      <w:r>
        <w:t>&gt;.</w:t>
      </w:r>
    </w:p>
    <w:p w:rsidR="000B53B7" w:rsidRPr="00E72E74" w:rsidRDefault="000B53B7" w:rsidP="000B53B7">
      <w:pPr>
        <w:pStyle w:val="Bulletslevel1"/>
      </w:pPr>
      <w:r>
        <w:t xml:space="preserve">About.com </w:t>
      </w:r>
      <w:r>
        <w:softHyphen/>
        <w:t>— Japanese language and culture: &lt;</w:t>
      </w:r>
      <w:r w:rsidRPr="000B5DCF">
        <w:t>http://japanese.about.com</w:t>
      </w:r>
      <w:r>
        <w:t>&gt;.</w:t>
      </w:r>
    </w:p>
    <w:p w:rsidR="000B53B7" w:rsidRDefault="000B53B7" w:rsidP="000B53B7">
      <w:pPr>
        <w:pStyle w:val="Bulletslevel1"/>
        <w:rPr>
          <w:rFonts w:cs="Arial"/>
          <w:szCs w:val="22"/>
        </w:rPr>
      </w:pPr>
      <w:r w:rsidRPr="000B5DCF">
        <w:t xml:space="preserve">Earthy Family — Culture of </w:t>
      </w:r>
      <w:smartTag w:uri="urn:schemas-microsoft-com:office:smarttags" w:element="place">
        <w:smartTag w:uri="urn:schemas-microsoft-com:office:smarttags" w:element="country-region">
          <w:r w:rsidRPr="000B5DCF">
            <w:t>Japan</w:t>
          </w:r>
        </w:smartTag>
      </w:smartTag>
      <w:r>
        <w:t>: &lt;</w:t>
      </w:r>
      <w:r w:rsidRPr="000B5DCF">
        <w:t>www.earthyfamily.com/J-Culture.htm</w:t>
      </w:r>
      <w:r>
        <w:t>&gt;.</w:t>
      </w:r>
      <w:r w:rsidRPr="000857C5">
        <w:rPr>
          <w:rFonts w:cs="Arial"/>
          <w:szCs w:val="22"/>
        </w:rPr>
        <w:t xml:space="preserve"> </w:t>
      </w:r>
    </w:p>
    <w:p w:rsidR="000B53B7" w:rsidRPr="000857C5" w:rsidRDefault="000B53B7" w:rsidP="000B53B7">
      <w:pPr>
        <w:pStyle w:val="Bulletslevel1"/>
        <w:rPr>
          <w:rFonts w:cs="Arial"/>
          <w:szCs w:val="22"/>
          <w:lang w:val="fr-FR"/>
        </w:rPr>
      </w:pPr>
      <w:r>
        <w:rPr>
          <w:rFonts w:cs="Arial"/>
          <w:szCs w:val="22"/>
          <w:lang w:val="fr-FR"/>
        </w:rPr>
        <w:t>Japan Culture Club, online catalogue of Japanese cultural items: &lt;http://japan-cc.com&gt;.</w:t>
      </w:r>
    </w:p>
    <w:p w:rsidR="000B53B7" w:rsidRDefault="000B53B7" w:rsidP="000B53B7">
      <w:pPr>
        <w:pStyle w:val="Bulletslevel1"/>
        <w:rPr>
          <w:rFonts w:cs="Arial"/>
          <w:color w:val="000000"/>
          <w:szCs w:val="22"/>
        </w:rPr>
      </w:pPr>
      <w:r>
        <w:t>Babychatter — Japanese names. S</w:t>
      </w:r>
      <w:r>
        <w:rPr>
          <w:lang w:val="pt-BR"/>
        </w:rPr>
        <w:t>elect Japanese girls or boys names</w:t>
      </w:r>
      <w:r>
        <w:t>: &lt;</w:t>
      </w:r>
      <w:r w:rsidRPr="00D15624">
        <w:rPr>
          <w:lang w:val="pt-BR"/>
        </w:rPr>
        <w:t>www.babychatter.com</w:t>
      </w:r>
      <w:r>
        <w:rPr>
          <w:lang w:val="pt-BR"/>
        </w:rPr>
        <w:t>&gt;.</w:t>
      </w:r>
      <w:r w:rsidRPr="00DD48B9">
        <w:rPr>
          <w:rFonts w:cs="Arial"/>
          <w:color w:val="000000"/>
          <w:szCs w:val="22"/>
        </w:rPr>
        <w:t xml:space="preserve"> </w:t>
      </w:r>
    </w:p>
    <w:p w:rsidR="000B53B7" w:rsidRPr="00421341" w:rsidRDefault="000B53B7" w:rsidP="000B53B7">
      <w:pPr>
        <w:pStyle w:val="Bulletslevel1"/>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&lt;http://athome.nime.ac.jp&gt;.</w:t>
      </w:r>
    </w:p>
    <w:p w:rsidR="000B53B7" w:rsidRPr="00421341" w:rsidRDefault="000B53B7" w:rsidP="000B53B7">
      <w:pPr>
        <w:pStyle w:val="Bulletslevel1"/>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r w:rsidRPr="00DD48B9">
        <w:rPr>
          <w:rFonts w:cs="Arial"/>
          <w:color w:val="000000"/>
          <w:szCs w:val="22"/>
        </w:rPr>
        <w:t>http://web-japan.org/museum/menu.html</w:t>
      </w:r>
      <w:r>
        <w:rPr>
          <w:rFonts w:cs="Arial"/>
          <w:color w:val="000000"/>
          <w:szCs w:val="22"/>
        </w:rPr>
        <w:t>&gt;.</w:t>
      </w:r>
    </w:p>
    <w:p w:rsidR="000B53B7" w:rsidRDefault="000B53B7" w:rsidP="000B53B7">
      <w:pPr>
        <w:pStyle w:val="Bulletslevel1"/>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Pr>
          <w:lang w:val="en"/>
        </w:rPr>
        <w:t xml:space="preserve">  —  sponsored by Japanese Ministry of Foreign Affairs (MOFA):  </w:t>
      </w:r>
      <w:r>
        <w:rPr>
          <w:lang w:val="en"/>
        </w:rPr>
        <w:br/>
        <w:t>&lt;</w:t>
      </w:r>
      <w:r>
        <w:rPr>
          <w:rFonts w:cs="Arial"/>
          <w:color w:val="000000"/>
          <w:szCs w:val="22"/>
        </w:rPr>
        <w:t>http://web-japan.org&gt;.</w:t>
      </w:r>
      <w:r w:rsidRPr="00421341">
        <w:rPr>
          <w:rFonts w:cs="Arial"/>
          <w:color w:val="000000"/>
          <w:szCs w:val="22"/>
        </w:rPr>
        <w:t xml:space="preserve"> </w:t>
      </w:r>
    </w:p>
    <w:p w:rsidR="000B53B7" w:rsidRPr="00421341" w:rsidRDefault="000B53B7" w:rsidP="000B53B7">
      <w:pPr>
        <w:pStyle w:val="Bulletslevel1"/>
      </w:pPr>
      <w:r w:rsidRPr="00421341">
        <w:t>Japan Foundation resources</w:t>
      </w:r>
      <w:r>
        <w:t>:</w:t>
      </w:r>
      <w:r w:rsidRPr="00421341">
        <w:t xml:space="preserve"> </w:t>
      </w:r>
      <w:r>
        <w:t>&lt;</w:t>
      </w:r>
      <w:r w:rsidRPr="00784A11">
        <w:t>http://momiji.jpf.go.jp/kyozai/English/index.php</w:t>
      </w:r>
      <w:r>
        <w:t>&gt;.</w:t>
      </w:r>
    </w:p>
    <w:p w:rsidR="000B53B7" w:rsidRPr="00421341" w:rsidRDefault="000B53B7" w:rsidP="000B53B7">
      <w:pPr>
        <w:pStyle w:val="Bulletslevel1"/>
      </w:pPr>
      <w:r>
        <w:t>Culture at work — Japanese culture: &lt;</w:t>
      </w:r>
      <w:r w:rsidRPr="00784A11">
        <w:t>www.culture-at-work.com/jpnlinks.html</w:t>
      </w:r>
      <w:r>
        <w:t>&gt;.</w:t>
      </w:r>
    </w:p>
    <w:p w:rsidR="000B53B7" w:rsidRPr="00421341" w:rsidRDefault="000B53B7" w:rsidP="000B53B7">
      <w:pPr>
        <w:pStyle w:val="Bulletslevel1"/>
      </w:pPr>
      <w:r>
        <w:t>Japanese web links: &lt;</w:t>
      </w:r>
      <w:r w:rsidRPr="00371030">
        <w:t>http://ww2.lafayette.edu/~stocktoj/home/japanl.html</w:t>
      </w:r>
      <w:r>
        <w:t>&gt;.</w:t>
      </w:r>
      <w:r w:rsidRPr="00421341">
        <w:t xml:space="preserve"> </w:t>
      </w:r>
    </w:p>
    <w:p w:rsidR="000B53B7" w:rsidRPr="00421341" w:rsidRDefault="000B53B7" w:rsidP="000B53B7">
      <w:pPr>
        <w:pStyle w:val="Bulletslevel1"/>
        <w:rPr>
          <w:lang w:val="fr-FR"/>
        </w:rPr>
      </w:pPr>
      <w:r w:rsidRPr="00421341">
        <w:rPr>
          <w:lang w:val="fr-FR"/>
        </w:rPr>
        <w:t>Japan National Tourist Organisation</w:t>
      </w:r>
      <w:r w:rsidRPr="00371030">
        <w:rPr>
          <w:lang w:val="fr-FR"/>
        </w:rPr>
        <w:t xml:space="preserve">: </w:t>
      </w:r>
      <w:r>
        <w:rPr>
          <w:lang w:val="fr-FR"/>
        </w:rPr>
        <w:t>&lt;www.jnto.go.jp/eng&gt;.</w:t>
      </w:r>
    </w:p>
    <w:p w:rsidR="000B53B7" w:rsidRPr="00371030" w:rsidRDefault="000B53B7" w:rsidP="000B53B7">
      <w:pPr>
        <w:pStyle w:val="Bulletslevel1"/>
      </w:pPr>
      <w:r w:rsidRPr="00371030">
        <w:t xml:space="preserve">Explore </w:t>
      </w:r>
      <w:smartTag w:uri="urn:schemas-microsoft-com:office:smarttags" w:element="place">
        <w:smartTag w:uri="urn:schemas-microsoft-com:office:smarttags" w:element="country-region">
          <w:r w:rsidRPr="00371030">
            <w:t>Japan</w:t>
          </w:r>
        </w:smartTag>
      </w:smartTag>
      <w:r w:rsidRPr="00371030">
        <w:t xml:space="preserve"> </w:t>
      </w:r>
      <w:r>
        <w:t>—</w:t>
      </w:r>
      <w:r w:rsidRPr="00371030">
        <w:t xml:space="preserve"> online Japanese gift</w:t>
      </w:r>
      <w:r>
        <w:t xml:space="preserve"> </w:t>
      </w:r>
      <w:r w:rsidRPr="00371030">
        <w:t>shop: &lt;www.explorejapan.com&gt;.</w:t>
      </w:r>
    </w:p>
    <w:p w:rsidR="000B53B7" w:rsidRPr="00421341" w:rsidRDefault="000B53B7" w:rsidP="000B53B7">
      <w:pPr>
        <w:pStyle w:val="Bulletslevel1"/>
        <w:rPr>
          <w:lang w:val="fr-FR"/>
        </w:rPr>
      </w:pPr>
      <w:r>
        <w:rPr>
          <w:lang w:val="fr-FR"/>
        </w:rPr>
        <w:t>YesJapan.com Culture Centre:</w:t>
      </w:r>
      <w:r w:rsidRPr="00371030">
        <w:rPr>
          <w:lang w:val="fr-FR"/>
        </w:rPr>
        <w:t xml:space="preserve"> </w:t>
      </w:r>
      <w:r>
        <w:rPr>
          <w:lang w:val="fr-FR"/>
        </w:rPr>
        <w:t>&lt;</w:t>
      </w:r>
      <w:r w:rsidRPr="00371030">
        <w:rPr>
          <w:lang w:val="fr-FR"/>
        </w:rPr>
        <w:t>www.yesjapan.com/culture/culture2.mv</w:t>
      </w:r>
      <w:r>
        <w:rPr>
          <w:lang w:val="fr-FR"/>
        </w:rPr>
        <w:t>&gt;.</w:t>
      </w:r>
    </w:p>
    <w:p w:rsidR="000B53B7" w:rsidRDefault="000B53B7" w:rsidP="000B53B7">
      <w:pPr>
        <w:pStyle w:val="Bulletslevel1"/>
      </w:pPr>
      <w:r w:rsidRPr="00F54AE0">
        <w:t>Asahi guide to Japanese culture:</w:t>
      </w:r>
      <w:r>
        <w:t xml:space="preserve"> &lt;</w:t>
      </w:r>
      <w:r w:rsidRPr="00F54AE0">
        <w:t>www.asahi-net.or.jp/~py3y-knd/culture.html</w:t>
      </w:r>
      <w:r>
        <w:t>&gt;.</w:t>
      </w:r>
      <w:r w:rsidRPr="0096410D">
        <w:t xml:space="preserve"> </w:t>
      </w:r>
    </w:p>
    <w:p w:rsidR="000B53B7" w:rsidRPr="00421341" w:rsidRDefault="000B53B7" w:rsidP="000B53B7">
      <w:pPr>
        <w:pStyle w:val="Bulletslevel1"/>
      </w:pPr>
      <w:r w:rsidRPr="00DD48B9">
        <w:t>Traditional Japanese Culture and Modern Japan:</w:t>
      </w:r>
      <w:r>
        <w:rPr>
          <w:i/>
          <w:iCs/>
          <w:color w:val="004080"/>
        </w:rPr>
        <w:t xml:space="preserve"> &lt;</w:t>
      </w:r>
      <w:r w:rsidRPr="00DD48B9">
        <w:t>www.japanlink.co.jp/ka/home.html</w:t>
      </w:r>
      <w:r>
        <w:t>&gt;.</w:t>
      </w:r>
    </w:p>
    <w:p w:rsidR="000B53B7" w:rsidRPr="00421341" w:rsidRDefault="000B53B7" w:rsidP="000B53B7">
      <w:pPr>
        <w:pStyle w:val="Bulletslevel1"/>
      </w:pPr>
      <w:r>
        <w:t>Loquela education — Japan online:</w:t>
      </w:r>
      <w:r>
        <w:br/>
        <w:t>&lt;</w:t>
      </w:r>
      <w:r w:rsidRPr="009D18C1">
        <w:t>http://loquela-education.net/course/view.php?id=21#section-3</w:t>
      </w:r>
      <w:r>
        <w:t>&gt;.</w:t>
      </w:r>
    </w:p>
    <w:p w:rsidR="000B53B7" w:rsidRPr="00734441" w:rsidRDefault="000B53B7" w:rsidP="000B53B7">
      <w:pPr>
        <w:pStyle w:val="Bulletslevel1"/>
        <w:rPr>
          <w:lang w:val="pt-BR"/>
        </w:rPr>
      </w:pPr>
      <w:r>
        <w:t xml:space="preserve">Japanese Streets — magazine about </w:t>
      </w:r>
      <w:smartTag w:uri="urn:schemas-microsoft-com:office:smarttags" w:element="Street">
        <w:smartTag w:uri="urn:schemas-microsoft-com:office:smarttags" w:element="address">
          <w:r>
            <w:t>Japanese street</w:t>
          </w:r>
        </w:smartTag>
      </w:smartTag>
      <w:r>
        <w:t xml:space="preserve"> fashion and culture: &lt;http://japanesestreets.com&gt;. </w:t>
      </w:r>
    </w:p>
    <w:p w:rsidR="000F65B4" w:rsidRDefault="000F65B4" w:rsidP="000F65B4">
      <w:pPr>
        <w:pStyle w:val="Heading2TOP"/>
      </w:pPr>
      <w:r>
        <w:t>Japanese culture and language — web resources (cont.)</w:t>
      </w:r>
    </w:p>
    <w:p w:rsidR="000B53B7" w:rsidRPr="006E2E13" w:rsidRDefault="000B53B7" w:rsidP="000F65B4">
      <w:pPr>
        <w:pStyle w:val="Heading3"/>
        <w:rPr>
          <w:lang w:val="pt-BR"/>
        </w:rPr>
      </w:pPr>
      <w:r w:rsidRPr="006E2E13">
        <w:rPr>
          <w:lang w:val="pt-BR"/>
        </w:rPr>
        <w:t>Language resources</w:t>
      </w:r>
    </w:p>
    <w:p w:rsidR="000B53B7" w:rsidRPr="006E2E13" w:rsidRDefault="000B53B7" w:rsidP="000B53B7">
      <w:pPr>
        <w:pStyle w:val="Bulletslevel1"/>
        <w:rPr>
          <w:lang w:val="pt-BR"/>
        </w:rPr>
      </w:pPr>
      <w:r w:rsidRPr="006E2E13">
        <w:rPr>
          <w:lang w:val="pt-BR"/>
        </w:rPr>
        <w:t>Curriculum Corporation — Japanese language resources: &lt;http://studio.qantm.com.au/onlinelanguageresources/main.htm</w:t>
      </w:r>
      <w:r>
        <w:rPr>
          <w:lang w:val="pt-BR"/>
        </w:rPr>
        <w:t>&gt;.</w:t>
      </w:r>
    </w:p>
    <w:p w:rsidR="000B53B7" w:rsidRDefault="000B53B7" w:rsidP="000B53B7">
      <w:pPr>
        <w:pStyle w:val="Bulletslevel1"/>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p>
    <w:p w:rsidR="005548BD" w:rsidRDefault="000B53B7" w:rsidP="005548BD">
      <w:pPr>
        <w:pStyle w:val="Bulletslevel1"/>
      </w:pPr>
      <w:r>
        <w:t xml:space="preserve">Japanese picture dictionary: </w:t>
      </w:r>
      <w:r w:rsidR="002627EA">
        <w:t>&lt;www</w:t>
      </w:r>
      <w:r w:rsidRPr="00784A11">
        <w:t>.plala.or.jp/y-naka/jiten.html</w:t>
      </w:r>
      <w:r>
        <w:t>&gt;.</w:t>
      </w:r>
      <w:r w:rsidRPr="00421341">
        <w:t xml:space="preserve"> </w:t>
      </w:r>
    </w:p>
    <w:p w:rsidR="000B53B7" w:rsidRPr="000B53B7" w:rsidRDefault="005548BD" w:rsidP="005548BD">
      <w:pPr>
        <w:pStyle w:val="Bulletslevel1"/>
      </w:pPr>
      <w:r>
        <w:t xml:space="preserve">Japanese language resources for teachers: </w:t>
      </w:r>
      <w:r>
        <w:br/>
        <w:t>&lt;</w:t>
      </w:r>
      <w:r w:rsidRPr="005548BD">
        <w:t>http://loquela-education.net/course/view.php?id=21#section-3</w:t>
      </w:r>
      <w:r>
        <w:t xml:space="preserve">&gt;. </w:t>
      </w:r>
    </w:p>
    <w:p w:rsidR="000B53B7" w:rsidRPr="00E064D7" w:rsidRDefault="000B53B7" w:rsidP="000B53B7">
      <w:pPr>
        <w:pStyle w:val="Heading3"/>
      </w:pPr>
      <w:r w:rsidRPr="00E064D7">
        <w:t>Script practice sheets</w:t>
      </w:r>
    </w:p>
    <w:p w:rsidR="000B53B7" w:rsidRPr="00E064D7" w:rsidRDefault="0016298A" w:rsidP="005548BD">
      <w:pPr>
        <w:pStyle w:val="Bulletslevel1"/>
      </w:pPr>
      <w:r>
        <w:t>Tokyo Mokyo Kana and</w:t>
      </w:r>
      <w:r w:rsidRPr="0016298A">
        <w:t xml:space="preserve"> Kanji Practice Sheets</w:t>
      </w:r>
      <w:r>
        <w:t>: &lt;</w:t>
      </w:r>
      <w:r w:rsidR="000B53B7" w:rsidRPr="0016298A">
        <w:t>www.tokyomokyo.com/index.php?option=com_content&amp;task=view&amp;id=40&amp;Itemid=48</w:t>
      </w:r>
      <w:r>
        <w:t>&gt;.</w:t>
      </w:r>
      <w:r w:rsidR="000B53B7">
        <w:t xml:space="preserve"> </w:t>
      </w:r>
    </w:p>
    <w:p w:rsidR="000B53B7" w:rsidRPr="00E064D7" w:rsidRDefault="006C7697" w:rsidP="005548BD">
      <w:pPr>
        <w:pStyle w:val="Bulletslevel1"/>
      </w:pPr>
      <w:r>
        <w:t>Loquela education.net — Japan website directory</w:t>
      </w:r>
      <w:r w:rsidR="005548BD">
        <w:t xml:space="preserve"> for teachers</w:t>
      </w:r>
      <w:r>
        <w:t xml:space="preserve">: </w:t>
      </w:r>
      <w:r>
        <w:br/>
        <w:t>&lt;</w:t>
      </w:r>
      <w:r w:rsidR="000B53B7" w:rsidRPr="006C7697">
        <w:t>http://loquela-education.net/mod/data/view.php?d=22</w:t>
      </w:r>
      <w:r>
        <w:t>&gt;.</w:t>
      </w:r>
    </w:p>
    <w:p w:rsidR="000B53B7" w:rsidRPr="008029B5" w:rsidRDefault="000B53B7" w:rsidP="000B53B7">
      <w:pPr>
        <w:pStyle w:val="Bulletslevel1"/>
        <w:numPr>
          <w:ilvl w:val="0"/>
          <w:numId w:val="0"/>
        </w:numPr>
      </w:pPr>
    </w:p>
    <w:p w:rsidR="00CE4330" w:rsidRDefault="00CE4330" w:rsidP="005F2186">
      <w:pPr>
        <w:pStyle w:val="Heading2TOP"/>
        <w:sectPr w:rsidR="00CE4330" w:rsidSect="00CE4330">
          <w:headerReference w:type="even" r:id="rId24"/>
          <w:headerReference w:type="default" r:id="rId25"/>
          <w:footerReference w:type="even" r:id="rId26"/>
          <w:footerReference w:type="default" r:id="rId27"/>
          <w:headerReference w:type="first" r:id="rId28"/>
          <w:pgSz w:w="11906" w:h="16838" w:code="9"/>
          <w:pgMar w:top="1134" w:right="1134" w:bottom="567" w:left="1134" w:header="709" w:footer="510" w:gutter="0"/>
          <w:pgNumType w:fmt="upperLetter" w:start="1"/>
          <w:cols w:space="708"/>
          <w:docGrid w:linePitch="360"/>
        </w:sectPr>
      </w:pPr>
    </w:p>
    <w:p w:rsidR="005F2186" w:rsidRDefault="005F2186" w:rsidP="005F2186">
      <w:pPr>
        <w:pStyle w:val="Heading2TOP"/>
      </w:pPr>
      <w:r>
        <w:t>Letter-writing conventions</w:t>
      </w:r>
    </w:p>
    <w:p w:rsidR="00673BD9" w:rsidRPr="00673BD9" w:rsidRDefault="00673BD9" w:rsidP="00673BD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949"/>
        <w:gridCol w:w="3477"/>
        <w:gridCol w:w="3394"/>
      </w:tblGrid>
      <w:tr w:rsidR="005F2186" w:rsidRPr="003C0730" w:rsidTr="004726B0">
        <w:tc>
          <w:tcPr>
            <w:tcW w:w="2949" w:type="dxa"/>
            <w:shd w:val="clear" w:color="auto" w:fill="F3F3F3"/>
          </w:tcPr>
          <w:p w:rsidR="005F2186" w:rsidRDefault="005F2186" w:rsidP="004726B0">
            <w:pPr>
              <w:pStyle w:val="Heading3"/>
              <w:widowControl w:val="0"/>
            </w:pPr>
            <w:r>
              <w:t>Convention</w:t>
            </w:r>
          </w:p>
        </w:tc>
        <w:tc>
          <w:tcPr>
            <w:tcW w:w="3477" w:type="dxa"/>
            <w:shd w:val="clear" w:color="auto" w:fill="auto"/>
          </w:tcPr>
          <w:p w:rsidR="005F2186" w:rsidRPr="003C0730" w:rsidRDefault="005F2186" w:rsidP="004726B0">
            <w:pPr>
              <w:pStyle w:val="Heading3"/>
              <w:widowControl w:val="0"/>
            </w:pPr>
            <w:r>
              <w:t>English</w:t>
            </w:r>
          </w:p>
        </w:tc>
        <w:tc>
          <w:tcPr>
            <w:tcW w:w="3394" w:type="dxa"/>
            <w:shd w:val="clear" w:color="auto" w:fill="auto"/>
          </w:tcPr>
          <w:p w:rsidR="005F2186" w:rsidRPr="003C0730" w:rsidRDefault="005F2186" w:rsidP="004726B0">
            <w:pPr>
              <w:pStyle w:val="Heading3"/>
              <w:widowControl w:val="0"/>
            </w:pPr>
            <w:r>
              <w:t>Japanese</w:t>
            </w:r>
          </w:p>
        </w:tc>
      </w:tr>
      <w:tr w:rsidR="005F2186" w:rsidRPr="003C0730" w:rsidTr="004726B0">
        <w:tc>
          <w:tcPr>
            <w:tcW w:w="2949" w:type="dxa"/>
            <w:shd w:val="clear" w:color="auto" w:fill="F3F3F3"/>
          </w:tcPr>
          <w:p w:rsidR="005F2186" w:rsidRPr="004726B0" w:rsidRDefault="005F2186" w:rsidP="004726B0">
            <w:pPr>
              <w:pStyle w:val="Bulletslevel1"/>
              <w:widowControl w:val="0"/>
              <w:numPr>
                <w:ilvl w:val="0"/>
                <w:numId w:val="0"/>
              </w:numPr>
              <w:spacing w:after="140"/>
              <w:rPr>
                <w:szCs w:val="22"/>
              </w:rPr>
            </w:pPr>
            <w:r w:rsidRPr="004726B0">
              <w:rPr>
                <w:szCs w:val="22"/>
              </w:rPr>
              <w:t>Addressed to someone</w:t>
            </w:r>
          </w:p>
        </w:tc>
        <w:tc>
          <w:tcPr>
            <w:tcW w:w="3477"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c>
          <w:tcPr>
            <w:tcW w:w="3394"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r>
      <w:tr w:rsidR="005F2186" w:rsidRPr="003C0730" w:rsidTr="004726B0">
        <w:tc>
          <w:tcPr>
            <w:tcW w:w="2949" w:type="dxa"/>
            <w:shd w:val="clear" w:color="auto" w:fill="F3F3F3"/>
          </w:tcPr>
          <w:p w:rsidR="005F2186" w:rsidRPr="004726B0" w:rsidRDefault="005F2186" w:rsidP="004726B0">
            <w:pPr>
              <w:pStyle w:val="Bulletslevel1"/>
              <w:widowControl w:val="0"/>
              <w:numPr>
                <w:ilvl w:val="0"/>
                <w:numId w:val="0"/>
              </w:numPr>
              <w:spacing w:after="140"/>
              <w:rPr>
                <w:szCs w:val="22"/>
              </w:rPr>
            </w:pPr>
            <w:r w:rsidRPr="004726B0">
              <w:rPr>
                <w:szCs w:val="22"/>
              </w:rPr>
              <w:t>Signed off by someone</w:t>
            </w:r>
          </w:p>
        </w:tc>
        <w:tc>
          <w:tcPr>
            <w:tcW w:w="3477"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c>
          <w:tcPr>
            <w:tcW w:w="3394"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r>
      <w:tr w:rsidR="005F2186" w:rsidRPr="003C0730" w:rsidTr="004726B0">
        <w:tc>
          <w:tcPr>
            <w:tcW w:w="2949" w:type="dxa"/>
            <w:shd w:val="clear" w:color="auto" w:fill="F3F3F3"/>
          </w:tcPr>
          <w:p w:rsidR="005F2186" w:rsidRPr="004726B0" w:rsidRDefault="005F2186" w:rsidP="004726B0">
            <w:pPr>
              <w:pStyle w:val="Bulletslevel1"/>
              <w:widowControl w:val="0"/>
              <w:numPr>
                <w:ilvl w:val="0"/>
                <w:numId w:val="0"/>
              </w:numPr>
              <w:spacing w:after="140"/>
              <w:rPr>
                <w:szCs w:val="22"/>
              </w:rPr>
            </w:pPr>
            <w:r w:rsidRPr="004726B0">
              <w:rPr>
                <w:szCs w:val="22"/>
              </w:rPr>
              <w:t>English numerals</w:t>
            </w:r>
          </w:p>
        </w:tc>
        <w:tc>
          <w:tcPr>
            <w:tcW w:w="3477"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 — but written word for numbers under ten</w:t>
            </w:r>
          </w:p>
        </w:tc>
        <w:tc>
          <w:tcPr>
            <w:tcW w:w="3394"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  — or kanji for numbers</w:t>
            </w:r>
          </w:p>
        </w:tc>
      </w:tr>
      <w:tr w:rsidR="005F2186" w:rsidRPr="003C0730" w:rsidTr="004726B0">
        <w:tc>
          <w:tcPr>
            <w:tcW w:w="2949" w:type="dxa"/>
            <w:shd w:val="clear" w:color="auto" w:fill="F3F3F3"/>
          </w:tcPr>
          <w:p w:rsidR="005F2186" w:rsidRPr="004726B0" w:rsidRDefault="005F2186" w:rsidP="004726B0">
            <w:pPr>
              <w:pStyle w:val="Bulletslevel1"/>
              <w:widowControl w:val="0"/>
              <w:numPr>
                <w:ilvl w:val="0"/>
                <w:numId w:val="0"/>
              </w:numPr>
              <w:spacing w:after="140"/>
              <w:rPr>
                <w:szCs w:val="22"/>
              </w:rPr>
            </w:pPr>
            <w:r w:rsidRPr="004726B0">
              <w:rPr>
                <w:szCs w:val="22"/>
              </w:rPr>
              <w:t xml:space="preserve">Write across the page, left to right </w:t>
            </w:r>
          </w:p>
        </w:tc>
        <w:tc>
          <w:tcPr>
            <w:tcW w:w="3477"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c>
          <w:tcPr>
            <w:tcW w:w="3394"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 xml:space="preserve">Yes </w:t>
            </w:r>
          </w:p>
          <w:p w:rsidR="005F2186" w:rsidRPr="004726B0" w:rsidRDefault="005F2186" w:rsidP="004726B0">
            <w:pPr>
              <w:pStyle w:val="Bulletslevel1"/>
              <w:widowControl w:val="0"/>
              <w:numPr>
                <w:ilvl w:val="0"/>
                <w:numId w:val="0"/>
              </w:numPr>
              <w:spacing w:after="140"/>
              <w:rPr>
                <w:szCs w:val="22"/>
              </w:rPr>
            </w:pPr>
            <w:r w:rsidRPr="004726B0">
              <w:rPr>
                <w:szCs w:val="22"/>
              </w:rPr>
              <w:t>or</w:t>
            </w:r>
          </w:p>
        </w:tc>
      </w:tr>
      <w:tr w:rsidR="005F2186" w:rsidRPr="003C0730" w:rsidTr="004726B0">
        <w:tc>
          <w:tcPr>
            <w:tcW w:w="2949" w:type="dxa"/>
            <w:shd w:val="clear" w:color="auto" w:fill="F3F3F3"/>
          </w:tcPr>
          <w:p w:rsidR="005F2186" w:rsidRPr="004726B0" w:rsidRDefault="005F2186" w:rsidP="004726B0">
            <w:pPr>
              <w:pStyle w:val="Bulletslevel1"/>
              <w:widowControl w:val="0"/>
              <w:numPr>
                <w:ilvl w:val="0"/>
                <w:numId w:val="0"/>
              </w:numPr>
              <w:spacing w:after="140"/>
              <w:rPr>
                <w:szCs w:val="22"/>
              </w:rPr>
            </w:pPr>
            <w:r w:rsidRPr="004726B0">
              <w:rPr>
                <w:szCs w:val="22"/>
              </w:rPr>
              <w:t>Write down the page, right to left</w:t>
            </w:r>
          </w:p>
        </w:tc>
        <w:tc>
          <w:tcPr>
            <w:tcW w:w="3477"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No</w:t>
            </w:r>
          </w:p>
        </w:tc>
        <w:tc>
          <w:tcPr>
            <w:tcW w:w="3394"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r>
      <w:tr w:rsidR="005F2186" w:rsidRPr="003C0730" w:rsidTr="004726B0">
        <w:tc>
          <w:tcPr>
            <w:tcW w:w="2949" w:type="dxa"/>
            <w:shd w:val="clear" w:color="auto" w:fill="F3F3F3"/>
          </w:tcPr>
          <w:p w:rsidR="005F2186" w:rsidRPr="004726B0" w:rsidRDefault="005F2186" w:rsidP="004726B0">
            <w:pPr>
              <w:pStyle w:val="Bulletslevel1"/>
              <w:widowControl w:val="0"/>
              <w:numPr>
                <w:ilvl w:val="0"/>
                <w:numId w:val="0"/>
              </w:numPr>
              <w:spacing w:after="140"/>
              <w:rPr>
                <w:szCs w:val="22"/>
              </w:rPr>
            </w:pPr>
            <w:r w:rsidRPr="004726B0">
              <w:rPr>
                <w:szCs w:val="22"/>
              </w:rPr>
              <w:t>Handwriting styles vary considerably</w:t>
            </w:r>
          </w:p>
        </w:tc>
        <w:tc>
          <w:tcPr>
            <w:tcW w:w="3477"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c>
          <w:tcPr>
            <w:tcW w:w="3394" w:type="dxa"/>
            <w:shd w:val="clear" w:color="auto" w:fill="auto"/>
          </w:tcPr>
          <w:p w:rsidR="005F2186" w:rsidRPr="004726B0" w:rsidRDefault="005F2186" w:rsidP="004726B0">
            <w:pPr>
              <w:pStyle w:val="Bulletslevel1"/>
              <w:widowControl w:val="0"/>
              <w:numPr>
                <w:ilvl w:val="0"/>
                <w:numId w:val="0"/>
              </w:numPr>
              <w:spacing w:after="140"/>
              <w:rPr>
                <w:szCs w:val="22"/>
              </w:rPr>
            </w:pPr>
            <w:r w:rsidRPr="004726B0">
              <w:rPr>
                <w:szCs w:val="22"/>
              </w:rPr>
              <w:t>Yes</w:t>
            </w:r>
          </w:p>
        </w:tc>
      </w:tr>
    </w:tbl>
    <w:p w:rsidR="006B0583" w:rsidRDefault="006B0583" w:rsidP="006B0583">
      <w:pPr>
        <w:pStyle w:val="Heading2TOP"/>
      </w:pPr>
      <w:r w:rsidRPr="00311267">
        <w:t xml:space="preserve">Summary of suggested language content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3088"/>
        <w:gridCol w:w="6551"/>
      </w:tblGrid>
      <w:tr w:rsidR="006B0583" w:rsidTr="004726B0">
        <w:trPr>
          <w:jc w:val="center"/>
        </w:trPr>
        <w:tc>
          <w:tcPr>
            <w:tcW w:w="3134" w:type="dxa"/>
            <w:shd w:val="clear" w:color="auto" w:fill="auto"/>
          </w:tcPr>
          <w:p w:rsidR="006B0583" w:rsidRPr="004726B0" w:rsidRDefault="006B0583" w:rsidP="004726B0">
            <w:pPr>
              <w:widowControl w:val="0"/>
              <w:rPr>
                <w:b/>
                <w:szCs w:val="22"/>
                <w:lang w:eastAsia="ja-JP"/>
              </w:rPr>
            </w:pPr>
            <w:r w:rsidRPr="004726B0">
              <w:rPr>
                <w:b/>
                <w:szCs w:val="22"/>
                <w:lang w:eastAsia="ja-JP"/>
              </w:rPr>
              <w:t>Targeted language elements</w:t>
            </w:r>
          </w:p>
        </w:tc>
        <w:tc>
          <w:tcPr>
            <w:tcW w:w="6652" w:type="dxa"/>
            <w:shd w:val="clear" w:color="auto" w:fill="auto"/>
          </w:tcPr>
          <w:p w:rsidR="006B0583" w:rsidRPr="004726B0" w:rsidRDefault="006B0583" w:rsidP="004726B0">
            <w:pPr>
              <w:widowControl w:val="0"/>
              <w:rPr>
                <w:b/>
                <w:szCs w:val="22"/>
                <w:lang w:eastAsia="ja-JP"/>
              </w:rPr>
            </w:pPr>
            <w:r w:rsidRPr="004726B0">
              <w:rPr>
                <w:b/>
                <w:szCs w:val="22"/>
                <w:lang w:eastAsia="ja-JP"/>
              </w:rPr>
              <w:t>Example</w:t>
            </w:r>
          </w:p>
        </w:tc>
      </w:tr>
      <w:tr w:rsidR="006B0583"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Greetings</w:t>
            </w:r>
          </w:p>
        </w:tc>
        <w:tc>
          <w:tcPr>
            <w:tcW w:w="6652" w:type="dxa"/>
            <w:shd w:val="clear" w:color="auto" w:fill="auto"/>
          </w:tcPr>
          <w:p w:rsidR="006B0583" w:rsidRPr="004726B0" w:rsidRDefault="006B0583" w:rsidP="004726B0">
            <w:pPr>
              <w:widowControl w:val="0"/>
              <w:rPr>
                <w:rFonts w:ascii="MS Mincho" w:eastAsia="MS Mincho" w:hAnsi="MS Mincho" w:cs="Arial"/>
                <w:szCs w:val="22"/>
                <w:lang w:eastAsia="ja-JP"/>
              </w:rPr>
            </w:pPr>
            <w:r w:rsidRPr="004726B0">
              <w:rPr>
                <w:rFonts w:ascii="MS Mincho" w:eastAsia="MS Mincho" w:hAnsi="MS Mincho" w:cs="MS Gothic" w:hint="eastAsia"/>
                <w:szCs w:val="22"/>
                <w:lang w:eastAsia="ja-JP"/>
              </w:rPr>
              <w:t>こんにちは、はじめまして、どうぞよろしく</w:t>
            </w:r>
          </w:p>
        </w:tc>
      </w:tr>
      <w:tr w:rsidR="006B0583" w:rsidRPr="00442C0B"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Verbs</w:t>
            </w:r>
            <w:r w:rsidR="0000378C" w:rsidRPr="004726B0">
              <w:rPr>
                <w:szCs w:val="22"/>
                <w:lang w:eastAsia="ja-JP"/>
              </w:rPr>
              <w:t xml:space="preserve"> </w:t>
            </w:r>
            <w:r w:rsidRPr="004726B0">
              <w:rPr>
                <w:szCs w:val="22"/>
                <w:lang w:eastAsia="ja-JP"/>
              </w:rPr>
              <w:t>+</w:t>
            </w:r>
            <w:r w:rsidR="0000378C" w:rsidRPr="004726B0">
              <w:rPr>
                <w:szCs w:val="22"/>
                <w:lang w:eastAsia="ja-JP"/>
              </w:rPr>
              <w:t xml:space="preserve"> </w:t>
            </w:r>
            <w:r w:rsidRPr="004726B0">
              <w:rPr>
                <w:szCs w:val="22"/>
                <w:lang w:eastAsia="ja-JP"/>
              </w:rPr>
              <w:t>negative verbs</w:t>
            </w:r>
          </w:p>
        </w:tc>
        <w:tc>
          <w:tcPr>
            <w:tcW w:w="6652" w:type="dxa"/>
            <w:shd w:val="clear" w:color="auto" w:fill="auto"/>
          </w:tcPr>
          <w:p w:rsidR="006B0583" w:rsidRPr="004726B0" w:rsidRDefault="006B0583" w:rsidP="004726B0">
            <w:pPr>
              <w:widowControl w:val="0"/>
              <w:rPr>
                <w:rFonts w:ascii="MS Mincho" w:eastAsia="MS Mincho" w:hAnsi="MS Mincho" w:hint="eastAsia"/>
                <w:szCs w:val="22"/>
                <w:lang w:eastAsia="ja-JP"/>
              </w:rPr>
            </w:pPr>
            <w:r w:rsidRPr="004726B0">
              <w:rPr>
                <w:rFonts w:ascii="MS Mincho" w:eastAsia="MS Mincho" w:hAnsi="MS Mincho" w:cs="MS Gothic" w:hint="eastAsia"/>
                <w:szCs w:val="22"/>
                <w:lang w:eastAsia="ja-JP"/>
              </w:rPr>
              <w:t>かよっています・します・れんしゅうします・すんでいます・</w:t>
            </w:r>
            <w:r w:rsidR="0000378C" w:rsidRPr="004726B0">
              <w:rPr>
                <w:rFonts w:ascii="MS Mincho" w:eastAsia="MS Mincho" w:hAnsi="MS Mincho" w:cs="MS Gothic"/>
                <w:szCs w:val="22"/>
                <w:lang w:eastAsia="ja-JP"/>
              </w:rPr>
              <w:br/>
            </w:r>
            <w:r w:rsidRPr="004726B0">
              <w:rPr>
                <w:rFonts w:ascii="MS Mincho" w:eastAsia="MS Mincho" w:hAnsi="MS Mincho" w:cs="MS Gothic" w:hint="eastAsia"/>
                <w:szCs w:val="22"/>
                <w:lang w:eastAsia="ja-JP"/>
              </w:rPr>
              <w:t>あります・できます・かきます</w:t>
            </w:r>
          </w:p>
        </w:tc>
      </w:tr>
      <w:tr w:rsidR="006B0583"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Structures</w:t>
            </w:r>
          </w:p>
        </w:tc>
        <w:tc>
          <w:tcPr>
            <w:tcW w:w="6652" w:type="dxa"/>
            <w:shd w:val="clear" w:color="auto" w:fill="auto"/>
          </w:tcPr>
          <w:p w:rsidR="006B0583" w:rsidRPr="004726B0" w:rsidRDefault="006B0583" w:rsidP="004726B0">
            <w:pPr>
              <w:widowControl w:val="0"/>
              <w:rPr>
                <w:szCs w:val="22"/>
                <w:lang w:eastAsia="ja-JP"/>
              </w:rPr>
            </w:pPr>
            <w:r w:rsidRPr="004726B0">
              <w:rPr>
                <w:szCs w:val="22"/>
                <w:lang w:eastAsia="ja-JP"/>
              </w:rPr>
              <w:t xml:space="preserve">A </w:t>
            </w:r>
            <w:r w:rsidRPr="004726B0">
              <w:rPr>
                <w:rFonts w:ascii="MS Mincho" w:eastAsia="MS Mincho" w:hAnsi="MS Mincho" w:cs="MS Gothic" w:hint="eastAsia"/>
                <w:szCs w:val="22"/>
                <w:lang w:eastAsia="ja-JP"/>
              </w:rPr>
              <w:t>は</w:t>
            </w:r>
            <w:r w:rsidRPr="004726B0">
              <w:rPr>
                <w:szCs w:val="22"/>
                <w:lang w:eastAsia="ja-JP"/>
              </w:rPr>
              <w:t>B</w:t>
            </w:r>
            <w:r w:rsidRPr="004726B0">
              <w:rPr>
                <w:b/>
                <w:szCs w:val="22"/>
                <w:lang w:eastAsia="ja-JP"/>
              </w:rPr>
              <w:t xml:space="preserve"> </w:t>
            </w:r>
            <w:r w:rsidRPr="004726B0">
              <w:rPr>
                <w:rFonts w:ascii="MS Mincho" w:eastAsia="MS Mincho" w:hAnsi="MS Mincho" w:cs="MS Gothic" w:hint="eastAsia"/>
                <w:szCs w:val="22"/>
                <w:lang w:eastAsia="ja-JP"/>
              </w:rPr>
              <w:t>です</w:t>
            </w:r>
          </w:p>
          <w:p w:rsidR="006B0583" w:rsidRPr="004726B0" w:rsidRDefault="006B0583" w:rsidP="004726B0">
            <w:pPr>
              <w:widowControl w:val="0"/>
              <w:rPr>
                <w:rFonts w:ascii="MS Mincho" w:eastAsia="MS Mincho" w:hAnsi="MS Mincho" w:cs="Arial"/>
                <w:szCs w:val="22"/>
                <w:lang w:eastAsia="ja-JP"/>
              </w:rPr>
            </w:pPr>
            <w:r w:rsidRPr="004726B0">
              <w:rPr>
                <w:rFonts w:ascii="MS Mincho" w:eastAsia="MS Mincho" w:hAnsi="MS Mincho" w:cs="MS Gothic" w:hint="eastAsia"/>
                <w:szCs w:val="22"/>
                <w:lang w:eastAsia="ja-JP"/>
              </w:rPr>
              <w:t>～があります・ありません</w:t>
            </w:r>
          </w:p>
          <w:p w:rsidR="006B0583" w:rsidRPr="004726B0" w:rsidRDefault="006B0583" w:rsidP="004726B0">
            <w:pPr>
              <w:widowControl w:val="0"/>
              <w:rPr>
                <w:rFonts w:ascii="MS Mincho" w:eastAsia="MS Mincho" w:hAnsi="MS Mincho" w:cs="Arial"/>
                <w:szCs w:val="22"/>
                <w:lang w:eastAsia="ja-JP"/>
              </w:rPr>
            </w:pPr>
            <w:r w:rsidRPr="004726B0">
              <w:rPr>
                <w:rFonts w:ascii="MS Mincho" w:eastAsia="MS Mincho" w:hAnsi="MS Mincho" w:cs="MS Gothic" w:hint="eastAsia"/>
                <w:szCs w:val="22"/>
                <w:lang w:eastAsia="ja-JP"/>
              </w:rPr>
              <w:t>～ができます</w:t>
            </w:r>
          </w:p>
          <w:p w:rsidR="006B0583" w:rsidRPr="004726B0" w:rsidRDefault="006B0583" w:rsidP="004726B0">
            <w:pPr>
              <w:widowControl w:val="0"/>
              <w:rPr>
                <w:rFonts w:ascii="MS Mincho" w:eastAsia="MS Mincho" w:hAnsi="MS Mincho" w:cs="Arial"/>
                <w:szCs w:val="22"/>
                <w:lang w:eastAsia="ja-JP"/>
              </w:rPr>
            </w:pPr>
            <w:r w:rsidRPr="004726B0">
              <w:rPr>
                <w:rFonts w:ascii="MS Mincho" w:eastAsia="MS Mincho" w:hAnsi="MS Mincho" w:cs="MS Gothic" w:hint="eastAsia"/>
                <w:szCs w:val="22"/>
                <w:lang w:eastAsia="ja-JP"/>
              </w:rPr>
              <w:t>～てください</w:t>
            </w:r>
          </w:p>
          <w:p w:rsidR="006B0583" w:rsidRPr="004726B0" w:rsidRDefault="006B0583" w:rsidP="004726B0">
            <w:pPr>
              <w:widowControl w:val="0"/>
              <w:rPr>
                <w:rFonts w:cs="Arial"/>
                <w:szCs w:val="22"/>
                <w:lang w:eastAsia="ja-JP"/>
              </w:rPr>
            </w:pPr>
            <w:r w:rsidRPr="004726B0">
              <w:rPr>
                <w:rFonts w:ascii="MS Mincho" w:eastAsia="MS Mincho" w:hAnsi="MS Mincho" w:cs="MS Gothic" w:hint="eastAsia"/>
                <w:szCs w:val="22"/>
                <w:lang w:eastAsia="ja-JP"/>
              </w:rPr>
              <w:t>～がすきです</w:t>
            </w:r>
          </w:p>
        </w:tc>
      </w:tr>
      <w:tr w:rsidR="006B0583"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Particles</w:t>
            </w:r>
          </w:p>
        </w:tc>
        <w:tc>
          <w:tcPr>
            <w:tcW w:w="6652" w:type="dxa"/>
            <w:shd w:val="clear" w:color="auto" w:fill="auto"/>
          </w:tcPr>
          <w:p w:rsidR="006B0583" w:rsidRPr="004726B0" w:rsidRDefault="006B0583" w:rsidP="004726B0">
            <w:pPr>
              <w:widowControl w:val="0"/>
              <w:rPr>
                <w:rFonts w:cs="Arial"/>
                <w:szCs w:val="22"/>
                <w:lang w:eastAsia="ja-JP"/>
              </w:rPr>
            </w:pPr>
            <w:r w:rsidRPr="004726B0">
              <w:rPr>
                <w:szCs w:val="22"/>
                <w:lang w:eastAsia="ja-JP"/>
              </w:rPr>
              <w:t xml:space="preserve">Possessive </w:t>
            </w:r>
            <w:r w:rsidRPr="004726B0">
              <w:rPr>
                <w:rFonts w:ascii="MS Mincho" w:eastAsia="MS Mincho" w:hAnsi="MS Mincho" w:cs="MS Gothic" w:hint="eastAsia"/>
                <w:szCs w:val="22"/>
                <w:lang w:eastAsia="ja-JP"/>
              </w:rPr>
              <w:t>の</w:t>
            </w:r>
          </w:p>
          <w:p w:rsidR="006B0583" w:rsidRPr="004726B0" w:rsidRDefault="006B0583" w:rsidP="004726B0">
            <w:pPr>
              <w:widowControl w:val="0"/>
              <w:rPr>
                <w:szCs w:val="22"/>
                <w:lang w:eastAsia="ja-JP"/>
              </w:rPr>
            </w:pPr>
            <w:r w:rsidRPr="004726B0">
              <w:rPr>
                <w:rFonts w:ascii="MS Mincho" w:eastAsia="MS Mincho" w:hAnsi="MS Mincho" w:cs="MS Gothic" w:hint="eastAsia"/>
                <w:szCs w:val="22"/>
                <w:lang w:eastAsia="ja-JP"/>
              </w:rPr>
              <w:t>と</w:t>
            </w:r>
            <w:r w:rsidRPr="004726B0">
              <w:rPr>
                <w:szCs w:val="22"/>
                <w:lang w:eastAsia="ja-JP"/>
              </w:rPr>
              <w:t xml:space="preserve"> (and)</w:t>
            </w:r>
          </w:p>
        </w:tc>
      </w:tr>
      <w:tr w:rsidR="006B0583"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Vocabulary</w:t>
            </w:r>
          </w:p>
        </w:tc>
        <w:tc>
          <w:tcPr>
            <w:tcW w:w="6652" w:type="dxa"/>
            <w:shd w:val="clear" w:color="auto" w:fill="auto"/>
          </w:tcPr>
          <w:p w:rsidR="006B0583" w:rsidRPr="004726B0" w:rsidRDefault="0000378C" w:rsidP="004726B0">
            <w:pPr>
              <w:widowControl w:val="0"/>
              <w:rPr>
                <w:szCs w:val="22"/>
                <w:lang w:eastAsia="ja-JP"/>
              </w:rPr>
            </w:pPr>
            <w:r w:rsidRPr="004726B0">
              <w:rPr>
                <w:szCs w:val="22"/>
                <w:lang w:eastAsia="ja-JP"/>
              </w:rPr>
              <w:t>Sports, school-</w:t>
            </w:r>
            <w:r w:rsidR="006B0583" w:rsidRPr="004726B0">
              <w:rPr>
                <w:szCs w:val="22"/>
                <w:lang w:eastAsia="ja-JP"/>
              </w:rPr>
              <w:t>related</w:t>
            </w:r>
          </w:p>
        </w:tc>
      </w:tr>
      <w:tr w:rsidR="006B0583"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Adjectives</w:t>
            </w:r>
            <w:r w:rsidR="0000378C" w:rsidRPr="004726B0">
              <w:rPr>
                <w:szCs w:val="22"/>
                <w:lang w:eastAsia="ja-JP"/>
              </w:rPr>
              <w:t xml:space="preserve"> </w:t>
            </w:r>
            <w:r w:rsidRPr="004726B0">
              <w:rPr>
                <w:szCs w:val="22"/>
                <w:lang w:eastAsia="ja-JP"/>
              </w:rPr>
              <w:t>+</w:t>
            </w:r>
            <w:r w:rsidR="0000378C" w:rsidRPr="004726B0">
              <w:rPr>
                <w:szCs w:val="22"/>
                <w:lang w:eastAsia="ja-JP"/>
              </w:rPr>
              <w:t xml:space="preserve"> </w:t>
            </w:r>
            <w:r w:rsidRPr="004726B0">
              <w:rPr>
                <w:szCs w:val="22"/>
                <w:lang w:eastAsia="ja-JP"/>
              </w:rPr>
              <w:t>negative adj</w:t>
            </w:r>
          </w:p>
        </w:tc>
        <w:tc>
          <w:tcPr>
            <w:tcW w:w="6652" w:type="dxa"/>
            <w:shd w:val="clear" w:color="auto" w:fill="auto"/>
          </w:tcPr>
          <w:p w:rsidR="006B0583" w:rsidRPr="004726B0" w:rsidRDefault="006B0583" w:rsidP="004726B0">
            <w:pPr>
              <w:widowControl w:val="0"/>
              <w:rPr>
                <w:rFonts w:ascii="MS Mincho" w:eastAsia="MS Mincho" w:hAnsi="MS Mincho" w:cs="Arial"/>
                <w:szCs w:val="22"/>
                <w:lang w:eastAsia="ja-JP"/>
              </w:rPr>
            </w:pPr>
            <w:r w:rsidRPr="004726B0">
              <w:rPr>
                <w:rFonts w:ascii="MS Mincho" w:eastAsia="MS Mincho" w:hAnsi="MS Mincho" w:cs="MS Gothic" w:hint="eastAsia"/>
                <w:szCs w:val="22"/>
                <w:lang w:eastAsia="ja-JP"/>
              </w:rPr>
              <w:t>大すき・すき・すきじゃない・いい・いちばんいい・たのしい・</w:t>
            </w:r>
          </w:p>
        </w:tc>
      </w:tr>
      <w:tr w:rsidR="006B0583" w:rsidTr="004726B0">
        <w:trPr>
          <w:jc w:val="center"/>
        </w:trPr>
        <w:tc>
          <w:tcPr>
            <w:tcW w:w="3134" w:type="dxa"/>
            <w:shd w:val="clear" w:color="auto" w:fill="auto"/>
          </w:tcPr>
          <w:p w:rsidR="006B0583" w:rsidRPr="004726B0" w:rsidRDefault="006B0583" w:rsidP="004726B0">
            <w:pPr>
              <w:widowControl w:val="0"/>
              <w:rPr>
                <w:szCs w:val="22"/>
                <w:lang w:eastAsia="ja-JP"/>
              </w:rPr>
            </w:pPr>
            <w:r w:rsidRPr="004726B0">
              <w:rPr>
                <w:szCs w:val="22"/>
                <w:lang w:eastAsia="ja-JP"/>
              </w:rPr>
              <w:t>Joiners</w:t>
            </w:r>
          </w:p>
        </w:tc>
        <w:tc>
          <w:tcPr>
            <w:tcW w:w="6652" w:type="dxa"/>
            <w:shd w:val="clear" w:color="auto" w:fill="auto"/>
          </w:tcPr>
          <w:p w:rsidR="006B0583" w:rsidRPr="004726B0" w:rsidRDefault="006B0583" w:rsidP="004726B0">
            <w:pPr>
              <w:widowControl w:val="0"/>
              <w:rPr>
                <w:rFonts w:ascii="MS Mincho" w:eastAsia="MS Mincho" w:hAnsi="MS Mincho"/>
                <w:szCs w:val="22"/>
                <w:lang w:eastAsia="ja-JP"/>
              </w:rPr>
            </w:pPr>
            <w:r w:rsidRPr="004726B0">
              <w:rPr>
                <w:rFonts w:ascii="MS Mincho" w:eastAsia="MS Mincho" w:hAnsi="MS Mincho" w:cs="MS Gothic" w:hint="eastAsia"/>
                <w:szCs w:val="22"/>
                <w:lang w:eastAsia="ja-JP"/>
              </w:rPr>
              <w:t>でも</w:t>
            </w:r>
          </w:p>
        </w:tc>
      </w:tr>
    </w:tbl>
    <w:p w:rsidR="00D61E66" w:rsidRPr="002F45D0" w:rsidRDefault="00D61E66" w:rsidP="003E3A3A"/>
    <w:sectPr w:rsidR="00D61E66" w:rsidRPr="002F45D0" w:rsidSect="00CE4330">
      <w:headerReference w:type="default" r:id="rId29"/>
      <w:pgSz w:w="11906" w:h="16838" w:code="9"/>
      <w:pgMar w:top="1134" w:right="1134" w:bottom="567" w:left="1134" w:header="709" w:footer="510" w:gutter="0"/>
      <w:pgNumType w:fmt="upperLetter"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AD" w:rsidRDefault="00AF60AD">
      <w:r>
        <w:separator/>
      </w:r>
    </w:p>
    <w:p w:rsidR="00AF60AD" w:rsidRDefault="00AF60AD"/>
    <w:p w:rsidR="00AF60AD" w:rsidRDefault="00AF60AD"/>
    <w:p w:rsidR="00AF60AD" w:rsidRDefault="00AF60AD"/>
    <w:p w:rsidR="00AF60AD" w:rsidRDefault="00AF60AD"/>
    <w:p w:rsidR="00AF60AD" w:rsidRDefault="00AF60AD"/>
  </w:endnote>
  <w:endnote w:type="continuationSeparator" w:id="0">
    <w:p w:rsidR="00AF60AD" w:rsidRDefault="00AF60AD">
      <w:r>
        <w:continuationSeparator/>
      </w:r>
    </w:p>
    <w:p w:rsidR="00AF60AD" w:rsidRDefault="00AF60AD"/>
    <w:p w:rsidR="00AF60AD" w:rsidRDefault="00AF60AD"/>
    <w:p w:rsidR="00AF60AD" w:rsidRDefault="00AF60AD"/>
    <w:p w:rsidR="00AF60AD" w:rsidRDefault="00AF60AD"/>
    <w:p w:rsidR="00AF60AD" w:rsidRDefault="00AF6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Default="00A53BA4" w:rsidP="00C20914">
    <w:pPr>
      <w:pStyle w:val="Footereven"/>
    </w:pPr>
    <w:r w:rsidRPr="00EA7134">
      <w:fldChar w:fldCharType="begin"/>
    </w:r>
    <w:r w:rsidRPr="00EA7134">
      <w:instrText xml:space="preserve">PAGE  </w:instrText>
    </w:r>
    <w:r w:rsidRPr="00EA7134">
      <w:fldChar w:fldCharType="separate"/>
    </w:r>
    <w:r w:rsidR="00CE4330">
      <w:t>6</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Default="00A53BA4" w:rsidP="00C20914">
    <w:pPr>
      <w:pStyle w:val="Footerodd"/>
    </w:pPr>
    <w:r>
      <w:fldChar w:fldCharType="begin"/>
    </w:r>
    <w:r>
      <w:instrText xml:space="preserve">PAGE  </w:instrText>
    </w:r>
    <w:r>
      <w:fldChar w:fldCharType="separate"/>
    </w:r>
    <w:r w:rsidR="0036055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A53BA4" w:rsidRPr="0090603A">
      <w:trPr>
        <w:trHeight w:hRule="exact" w:val="1043"/>
        <w:jc w:val="right"/>
      </w:trPr>
      <w:tc>
        <w:tcPr>
          <w:tcW w:w="1800" w:type="dxa"/>
          <w:tcBorders>
            <w:top w:val="nil"/>
            <w:left w:val="nil"/>
            <w:bottom w:val="nil"/>
            <w:right w:val="nil"/>
          </w:tcBorders>
          <w:vAlign w:val="bottom"/>
        </w:tcPr>
        <w:p w:rsidR="00A53BA4" w:rsidRPr="00FA3FE7" w:rsidRDefault="00A53BA4" w:rsidP="00C85825">
          <w:pPr>
            <w:spacing w:after="0"/>
          </w:pPr>
        </w:p>
      </w:tc>
      <w:tc>
        <w:tcPr>
          <w:tcW w:w="5040" w:type="dxa"/>
          <w:tcBorders>
            <w:top w:val="nil"/>
            <w:left w:val="nil"/>
            <w:bottom w:val="nil"/>
            <w:right w:val="nil"/>
          </w:tcBorders>
          <w:shd w:val="clear" w:color="auto" w:fill="auto"/>
          <w:vAlign w:val="bottom"/>
        </w:tcPr>
        <w:p w:rsidR="00A53BA4" w:rsidRPr="000875B8" w:rsidRDefault="00A53BA4" w:rsidP="00C85825">
          <w:pPr>
            <w:pStyle w:val="Footer"/>
            <w:rPr>
              <w:szCs w:val="17"/>
            </w:rPr>
          </w:pPr>
          <w:r w:rsidRPr="000875B8">
            <w:t xml:space="preserve">© The State of </w:t>
          </w:r>
          <w:smartTag w:uri="urn:schemas-microsoft-com:office:smarttags" w:element="State">
            <w:smartTag w:uri="urn:schemas-microsoft-com:office:smarttags" w:element="place">
              <w:r w:rsidRPr="000875B8">
                <w:t>Queensland</w:t>
              </w:r>
            </w:smartTag>
          </w:smartTag>
          <w:r w:rsidRPr="000875B8">
            <w:t xml:space="preserve"> (Queensland Studies Authority) and its licensors 200</w:t>
          </w:r>
          <w:r>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A53BA4" w:rsidRPr="0090603A" w:rsidRDefault="00360559" w:rsidP="00C85825">
          <w:pPr>
            <w:pStyle w:val="Footer"/>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A53BA4" w:rsidRPr="0054418E" w:rsidRDefault="00A53BA4"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Default="00A53BA4"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Default="00A53BA4"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AD" w:rsidRDefault="00AF60AD">
      <w:r>
        <w:separator/>
      </w:r>
    </w:p>
    <w:p w:rsidR="00AF60AD" w:rsidRDefault="00AF60AD"/>
    <w:p w:rsidR="00AF60AD" w:rsidRDefault="00AF60AD"/>
    <w:p w:rsidR="00AF60AD" w:rsidRDefault="00AF60AD"/>
    <w:p w:rsidR="00AF60AD" w:rsidRDefault="00AF60AD"/>
    <w:p w:rsidR="00AF60AD" w:rsidRDefault="00AF60AD"/>
  </w:footnote>
  <w:footnote w:type="continuationSeparator" w:id="0">
    <w:p w:rsidR="00AF60AD" w:rsidRDefault="00AF60AD">
      <w:r>
        <w:continuationSeparator/>
      </w:r>
    </w:p>
    <w:p w:rsidR="00AF60AD" w:rsidRDefault="00AF60AD"/>
    <w:p w:rsidR="00AF60AD" w:rsidRDefault="00AF60AD"/>
    <w:p w:rsidR="00AF60AD" w:rsidRDefault="00AF60AD"/>
    <w:p w:rsidR="00AF60AD" w:rsidRDefault="00AF60AD"/>
    <w:p w:rsidR="00AF60AD" w:rsidRDefault="00AF60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Default="00A53BA4"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Pr="00835C88" w:rsidRDefault="00A53BA4" w:rsidP="00835C88">
    <w:pPr>
      <w:pStyle w:val="Headerright"/>
    </w:pPr>
    <w:r>
      <w:t>Elementary</w:t>
    </w:r>
    <w:r w:rsidRPr="00784506">
      <w:t xml:space="preserve"> Year </w:t>
    </w:r>
    <w:r>
      <w:t xml:space="preserve">9 Languages </w:t>
    </w:r>
    <w:r>
      <w:rPr>
        <w:rFonts w:cs="Arial"/>
      </w:rPr>
      <w:t>— Japanese</w:t>
    </w:r>
    <w:r>
      <w:t xml:space="preserve">: I want a pen-pal </w:t>
    </w:r>
    <w:r>
      <w:rPr>
        <w:rFonts w:cs="Arial"/>
      </w:rPr>
      <w:t>— w</w:t>
    </w:r>
    <w:r>
      <w:t>riting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Default="00360559">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Pr="0000378C" w:rsidRDefault="00A53BA4" w:rsidP="00D61E66">
    <w:pPr>
      <w:rPr>
        <w:b/>
        <w:i/>
        <w:sz w:val="18"/>
        <w:szCs w:val="18"/>
        <w:lang w:val="en-US"/>
      </w:rPr>
    </w:pPr>
    <w:r w:rsidRPr="0000378C">
      <w:rPr>
        <w:b/>
        <w:i/>
        <w:sz w:val="18"/>
        <w:szCs w:val="18"/>
        <w:lang w:val="en-US"/>
      </w:rPr>
      <w:t xml:space="preserve">Appendix </w:t>
    </w:r>
    <w:r w:rsidR="00CE4330">
      <w:rPr>
        <w:b/>
        <w:i/>
        <w:sz w:val="18"/>
        <w:szCs w:val="18"/>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Pr="002F45D0" w:rsidRDefault="00A53BA4" w:rsidP="003A5656">
    <w:pPr>
      <w:pStyle w:val="Headerleft"/>
      <w:rPr>
        <w:lang w:val="en-US"/>
      </w:rPr>
    </w:pPr>
    <w:r>
      <w:rPr>
        <w:lang w:val="en-US"/>
      </w:rPr>
      <w:t xml:space="preserve">Appendix </w:t>
    </w:r>
    <w:r w:rsidR="00CE4330">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A4" w:rsidRPr="00A53BA4" w:rsidRDefault="00A53BA4" w:rsidP="00A53BA4">
    <w:pPr>
      <w:pStyle w:val="Headerleft"/>
      <w:rPr>
        <w:lang w:val="en-US"/>
      </w:rPr>
    </w:pPr>
    <w:r>
      <w:rPr>
        <w:lang w:val="en-US"/>
      </w:rPr>
      <w:t xml:space="preserve">Appendix </w:t>
    </w:r>
    <w:r w:rsidR="00CE4330">
      <w:t>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30" w:rsidRPr="002F45D0" w:rsidRDefault="00CE4330" w:rsidP="003A5656">
    <w:pPr>
      <w:pStyle w:val="Headerleft"/>
      <w:rPr>
        <w:lang w:val="en-US"/>
      </w:rPr>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414"/>
        </w:tabs>
        <w:ind w:left="414" w:hanging="414"/>
      </w:pPr>
      <w:rPr>
        <w:rFonts w:ascii="Symbol" w:hAnsi="Symbol" w:hint="default"/>
      </w:rPr>
    </w:lvl>
    <w:lvl w:ilvl="1" w:tplc="0C090003" w:tentative="1">
      <w:start w:val="1"/>
      <w:numFmt w:val="bullet"/>
      <w:lvlText w:val="o"/>
      <w:lvlJc w:val="left"/>
      <w:pPr>
        <w:tabs>
          <w:tab w:val="num" w:pos="1060"/>
        </w:tabs>
        <w:ind w:left="1060" w:hanging="360"/>
      </w:pPr>
      <w:rPr>
        <w:rFonts w:ascii="Courier New" w:hAnsi="Courier New" w:cs="Courier New" w:hint="default"/>
      </w:rPr>
    </w:lvl>
    <w:lvl w:ilvl="2" w:tplc="0C090005" w:tentative="1">
      <w:start w:val="1"/>
      <w:numFmt w:val="bullet"/>
      <w:lvlText w:val=""/>
      <w:lvlJc w:val="left"/>
      <w:pPr>
        <w:tabs>
          <w:tab w:val="num" w:pos="1780"/>
        </w:tabs>
        <w:ind w:left="1780" w:hanging="360"/>
      </w:pPr>
      <w:rPr>
        <w:rFonts w:ascii="Wingdings" w:hAnsi="Wingdings" w:hint="default"/>
      </w:rPr>
    </w:lvl>
    <w:lvl w:ilvl="3" w:tplc="0C090001" w:tentative="1">
      <w:start w:val="1"/>
      <w:numFmt w:val="bullet"/>
      <w:lvlText w:val=""/>
      <w:lvlJc w:val="left"/>
      <w:pPr>
        <w:tabs>
          <w:tab w:val="num" w:pos="2500"/>
        </w:tabs>
        <w:ind w:left="2500" w:hanging="360"/>
      </w:pPr>
      <w:rPr>
        <w:rFonts w:ascii="Symbol" w:hAnsi="Symbol" w:hint="default"/>
      </w:rPr>
    </w:lvl>
    <w:lvl w:ilvl="4" w:tplc="0C090003" w:tentative="1">
      <w:start w:val="1"/>
      <w:numFmt w:val="bullet"/>
      <w:lvlText w:val="o"/>
      <w:lvlJc w:val="left"/>
      <w:pPr>
        <w:tabs>
          <w:tab w:val="num" w:pos="3220"/>
        </w:tabs>
        <w:ind w:left="3220" w:hanging="360"/>
      </w:pPr>
      <w:rPr>
        <w:rFonts w:ascii="Courier New" w:hAnsi="Courier New" w:cs="Courier New" w:hint="default"/>
      </w:rPr>
    </w:lvl>
    <w:lvl w:ilvl="5" w:tplc="0C090005" w:tentative="1">
      <w:start w:val="1"/>
      <w:numFmt w:val="bullet"/>
      <w:lvlText w:val=""/>
      <w:lvlJc w:val="left"/>
      <w:pPr>
        <w:tabs>
          <w:tab w:val="num" w:pos="3940"/>
        </w:tabs>
        <w:ind w:left="3940" w:hanging="360"/>
      </w:pPr>
      <w:rPr>
        <w:rFonts w:ascii="Wingdings" w:hAnsi="Wingdings" w:hint="default"/>
      </w:rPr>
    </w:lvl>
    <w:lvl w:ilvl="6" w:tplc="0C090001" w:tentative="1">
      <w:start w:val="1"/>
      <w:numFmt w:val="bullet"/>
      <w:lvlText w:val=""/>
      <w:lvlJc w:val="left"/>
      <w:pPr>
        <w:tabs>
          <w:tab w:val="num" w:pos="4660"/>
        </w:tabs>
        <w:ind w:left="4660" w:hanging="360"/>
      </w:pPr>
      <w:rPr>
        <w:rFonts w:ascii="Symbol" w:hAnsi="Symbol" w:hint="default"/>
      </w:rPr>
    </w:lvl>
    <w:lvl w:ilvl="7" w:tplc="0C090003" w:tentative="1">
      <w:start w:val="1"/>
      <w:numFmt w:val="bullet"/>
      <w:lvlText w:val="o"/>
      <w:lvlJc w:val="left"/>
      <w:pPr>
        <w:tabs>
          <w:tab w:val="num" w:pos="5380"/>
        </w:tabs>
        <w:ind w:left="5380" w:hanging="360"/>
      </w:pPr>
      <w:rPr>
        <w:rFonts w:ascii="Courier New" w:hAnsi="Courier New" w:cs="Courier New" w:hint="default"/>
      </w:rPr>
    </w:lvl>
    <w:lvl w:ilvl="8" w:tplc="0C090005" w:tentative="1">
      <w:start w:val="1"/>
      <w:numFmt w:val="bullet"/>
      <w:lvlText w:val=""/>
      <w:lvlJc w:val="left"/>
      <w:pPr>
        <w:tabs>
          <w:tab w:val="num" w:pos="6100"/>
        </w:tabs>
        <w:ind w:left="610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CC74AC9"/>
    <w:multiLevelType w:val="hybridMultilevel"/>
    <w:tmpl w:val="AB0C70A8"/>
    <w:lvl w:ilvl="0" w:tplc="5BCE5616">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20"/>
  </w:num>
  <w:num w:numId="12">
    <w:abstractNumId w:val="17"/>
  </w:num>
  <w:num w:numId="13">
    <w:abstractNumId w:val="8"/>
  </w:num>
  <w:num w:numId="14">
    <w:abstractNumId w:val="10"/>
  </w:num>
  <w:num w:numId="15">
    <w:abstractNumId w:val="22"/>
  </w:num>
  <w:num w:numId="16">
    <w:abstractNumId w:val="0"/>
  </w:num>
  <w:num w:numId="17">
    <w:abstractNumId w:val="9"/>
  </w:num>
  <w:num w:numId="18">
    <w:abstractNumId w:val="19"/>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3"/>
  </w:num>
  <w:num w:numId="43">
    <w:abstractNumId w:val="21"/>
  </w:num>
  <w:num w:numId="44">
    <w:abstractNumId w:val="18"/>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characterSpacingControl w:val="doNotCompress"/>
  <w:hdrShapeDefaults>
    <o:shapedefaults v:ext="edit" spidmax="3074" style="mso-position-horizont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88"/>
    <w:rsid w:val="000022FF"/>
    <w:rsid w:val="00003280"/>
    <w:rsid w:val="0000378C"/>
    <w:rsid w:val="000040CE"/>
    <w:rsid w:val="000043A4"/>
    <w:rsid w:val="00005D8A"/>
    <w:rsid w:val="00007DBF"/>
    <w:rsid w:val="00026548"/>
    <w:rsid w:val="00035248"/>
    <w:rsid w:val="0004134C"/>
    <w:rsid w:val="00042BF3"/>
    <w:rsid w:val="00047FDB"/>
    <w:rsid w:val="000517C2"/>
    <w:rsid w:val="00053780"/>
    <w:rsid w:val="0006153D"/>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53B7"/>
    <w:rsid w:val="000B7AA0"/>
    <w:rsid w:val="000C0E6D"/>
    <w:rsid w:val="000D2039"/>
    <w:rsid w:val="000D6A12"/>
    <w:rsid w:val="000E0E12"/>
    <w:rsid w:val="000E3AB2"/>
    <w:rsid w:val="000E4E18"/>
    <w:rsid w:val="000E6EA3"/>
    <w:rsid w:val="000F0DAD"/>
    <w:rsid w:val="000F52B5"/>
    <w:rsid w:val="000F5EF5"/>
    <w:rsid w:val="000F65B4"/>
    <w:rsid w:val="001019F0"/>
    <w:rsid w:val="00101CF6"/>
    <w:rsid w:val="00102ECC"/>
    <w:rsid w:val="00103B47"/>
    <w:rsid w:val="001040A6"/>
    <w:rsid w:val="001103BE"/>
    <w:rsid w:val="00120E4C"/>
    <w:rsid w:val="00123E4E"/>
    <w:rsid w:val="001247D8"/>
    <w:rsid w:val="00127A14"/>
    <w:rsid w:val="00130EFC"/>
    <w:rsid w:val="00131BAB"/>
    <w:rsid w:val="00132BC2"/>
    <w:rsid w:val="00137481"/>
    <w:rsid w:val="00140F5D"/>
    <w:rsid w:val="00153396"/>
    <w:rsid w:val="00155056"/>
    <w:rsid w:val="001574F9"/>
    <w:rsid w:val="0016206B"/>
    <w:rsid w:val="001627BF"/>
    <w:rsid w:val="0016298A"/>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56D6F"/>
    <w:rsid w:val="002627EA"/>
    <w:rsid w:val="002649F7"/>
    <w:rsid w:val="00264F51"/>
    <w:rsid w:val="00271371"/>
    <w:rsid w:val="00271417"/>
    <w:rsid w:val="00272296"/>
    <w:rsid w:val="002723C2"/>
    <w:rsid w:val="002734E6"/>
    <w:rsid w:val="00273DE2"/>
    <w:rsid w:val="00274767"/>
    <w:rsid w:val="0027478D"/>
    <w:rsid w:val="00276D36"/>
    <w:rsid w:val="00284B38"/>
    <w:rsid w:val="002859A3"/>
    <w:rsid w:val="002865DA"/>
    <w:rsid w:val="002A723E"/>
    <w:rsid w:val="002A79B9"/>
    <w:rsid w:val="002B30EB"/>
    <w:rsid w:val="002B5BFC"/>
    <w:rsid w:val="002C0261"/>
    <w:rsid w:val="002C1299"/>
    <w:rsid w:val="002C1C04"/>
    <w:rsid w:val="002C1E49"/>
    <w:rsid w:val="002C4CB3"/>
    <w:rsid w:val="002D621B"/>
    <w:rsid w:val="002D7C5D"/>
    <w:rsid w:val="002E18AD"/>
    <w:rsid w:val="002E282E"/>
    <w:rsid w:val="002E2F03"/>
    <w:rsid w:val="002F135D"/>
    <w:rsid w:val="002F1520"/>
    <w:rsid w:val="002F3677"/>
    <w:rsid w:val="002F45D0"/>
    <w:rsid w:val="002F4C51"/>
    <w:rsid w:val="002F69A3"/>
    <w:rsid w:val="002F7D42"/>
    <w:rsid w:val="00300F05"/>
    <w:rsid w:val="00302E5C"/>
    <w:rsid w:val="003058F3"/>
    <w:rsid w:val="00314E3C"/>
    <w:rsid w:val="0032073F"/>
    <w:rsid w:val="00321DA5"/>
    <w:rsid w:val="00327D43"/>
    <w:rsid w:val="00330421"/>
    <w:rsid w:val="00331E85"/>
    <w:rsid w:val="003347CE"/>
    <w:rsid w:val="0033529F"/>
    <w:rsid w:val="00343C39"/>
    <w:rsid w:val="00352347"/>
    <w:rsid w:val="00354B41"/>
    <w:rsid w:val="003573C7"/>
    <w:rsid w:val="00357A2A"/>
    <w:rsid w:val="00360559"/>
    <w:rsid w:val="00360CDA"/>
    <w:rsid w:val="00361735"/>
    <w:rsid w:val="0036290B"/>
    <w:rsid w:val="00363611"/>
    <w:rsid w:val="00364F37"/>
    <w:rsid w:val="00382D15"/>
    <w:rsid w:val="00386B43"/>
    <w:rsid w:val="00391A20"/>
    <w:rsid w:val="003931E0"/>
    <w:rsid w:val="00393562"/>
    <w:rsid w:val="0039605F"/>
    <w:rsid w:val="00397DE2"/>
    <w:rsid w:val="003A0CE3"/>
    <w:rsid w:val="003A1874"/>
    <w:rsid w:val="003A5656"/>
    <w:rsid w:val="003A5964"/>
    <w:rsid w:val="003B0E07"/>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2631"/>
    <w:rsid w:val="00416BAF"/>
    <w:rsid w:val="004172A0"/>
    <w:rsid w:val="00421645"/>
    <w:rsid w:val="00424A51"/>
    <w:rsid w:val="004316D0"/>
    <w:rsid w:val="004423A4"/>
    <w:rsid w:val="00444D1F"/>
    <w:rsid w:val="00447263"/>
    <w:rsid w:val="004475A2"/>
    <w:rsid w:val="00453F95"/>
    <w:rsid w:val="00457A26"/>
    <w:rsid w:val="004605DF"/>
    <w:rsid w:val="004726B0"/>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D7A58"/>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48B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186"/>
    <w:rsid w:val="005F253C"/>
    <w:rsid w:val="005F25C9"/>
    <w:rsid w:val="005F2FBA"/>
    <w:rsid w:val="00605CB5"/>
    <w:rsid w:val="00606C34"/>
    <w:rsid w:val="00612547"/>
    <w:rsid w:val="00612611"/>
    <w:rsid w:val="0061511F"/>
    <w:rsid w:val="0062663E"/>
    <w:rsid w:val="00630422"/>
    <w:rsid w:val="00635253"/>
    <w:rsid w:val="00636670"/>
    <w:rsid w:val="006432CE"/>
    <w:rsid w:val="00643803"/>
    <w:rsid w:val="0064612E"/>
    <w:rsid w:val="00646423"/>
    <w:rsid w:val="006559F0"/>
    <w:rsid w:val="00656DC5"/>
    <w:rsid w:val="00657BB0"/>
    <w:rsid w:val="00661055"/>
    <w:rsid w:val="00664FEE"/>
    <w:rsid w:val="006651E7"/>
    <w:rsid w:val="00666387"/>
    <w:rsid w:val="006701F4"/>
    <w:rsid w:val="006732D0"/>
    <w:rsid w:val="00673BD9"/>
    <w:rsid w:val="0067452E"/>
    <w:rsid w:val="006760FA"/>
    <w:rsid w:val="00676DF3"/>
    <w:rsid w:val="006774B8"/>
    <w:rsid w:val="0068018A"/>
    <w:rsid w:val="00683EB7"/>
    <w:rsid w:val="00690771"/>
    <w:rsid w:val="00691536"/>
    <w:rsid w:val="006A24FF"/>
    <w:rsid w:val="006A3901"/>
    <w:rsid w:val="006B0583"/>
    <w:rsid w:val="006B383C"/>
    <w:rsid w:val="006B3EA5"/>
    <w:rsid w:val="006C196E"/>
    <w:rsid w:val="006C1A10"/>
    <w:rsid w:val="006C1A2B"/>
    <w:rsid w:val="006C7697"/>
    <w:rsid w:val="006C7ECA"/>
    <w:rsid w:val="006D1DD0"/>
    <w:rsid w:val="006D394C"/>
    <w:rsid w:val="006D3F19"/>
    <w:rsid w:val="006D5672"/>
    <w:rsid w:val="006D7994"/>
    <w:rsid w:val="006E3C63"/>
    <w:rsid w:val="006E3CD1"/>
    <w:rsid w:val="006E4BEF"/>
    <w:rsid w:val="006E59A5"/>
    <w:rsid w:val="006F03B7"/>
    <w:rsid w:val="006F2F7B"/>
    <w:rsid w:val="006F543A"/>
    <w:rsid w:val="00706FD0"/>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6E15"/>
    <w:rsid w:val="007E706C"/>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35BA3"/>
    <w:rsid w:val="00835C88"/>
    <w:rsid w:val="00852BF6"/>
    <w:rsid w:val="00854A12"/>
    <w:rsid w:val="0085599D"/>
    <w:rsid w:val="00855D90"/>
    <w:rsid w:val="0085648F"/>
    <w:rsid w:val="0085683B"/>
    <w:rsid w:val="00861FF7"/>
    <w:rsid w:val="00862D1A"/>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4CC5"/>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D4A7B"/>
    <w:rsid w:val="009E1352"/>
    <w:rsid w:val="009E7E01"/>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4960"/>
    <w:rsid w:val="00A456F4"/>
    <w:rsid w:val="00A53BA4"/>
    <w:rsid w:val="00A55BB8"/>
    <w:rsid w:val="00A56A9B"/>
    <w:rsid w:val="00A652E4"/>
    <w:rsid w:val="00A67D85"/>
    <w:rsid w:val="00A705F2"/>
    <w:rsid w:val="00A70DDA"/>
    <w:rsid w:val="00A74B73"/>
    <w:rsid w:val="00A74C89"/>
    <w:rsid w:val="00A75BB6"/>
    <w:rsid w:val="00A8320F"/>
    <w:rsid w:val="00A84698"/>
    <w:rsid w:val="00A86041"/>
    <w:rsid w:val="00A9169C"/>
    <w:rsid w:val="00A91E04"/>
    <w:rsid w:val="00A9650D"/>
    <w:rsid w:val="00AA077E"/>
    <w:rsid w:val="00AA464E"/>
    <w:rsid w:val="00AA4B06"/>
    <w:rsid w:val="00AB2C0A"/>
    <w:rsid w:val="00AB7681"/>
    <w:rsid w:val="00AC154F"/>
    <w:rsid w:val="00AC2059"/>
    <w:rsid w:val="00AC3675"/>
    <w:rsid w:val="00AC3A0C"/>
    <w:rsid w:val="00AC4581"/>
    <w:rsid w:val="00AC5E5C"/>
    <w:rsid w:val="00AC6F7A"/>
    <w:rsid w:val="00AD34F1"/>
    <w:rsid w:val="00AD547B"/>
    <w:rsid w:val="00AD67B6"/>
    <w:rsid w:val="00AD709F"/>
    <w:rsid w:val="00AD7BF7"/>
    <w:rsid w:val="00AE1FEC"/>
    <w:rsid w:val="00AE4DC8"/>
    <w:rsid w:val="00AE67F3"/>
    <w:rsid w:val="00AE766C"/>
    <w:rsid w:val="00AE79A1"/>
    <w:rsid w:val="00AF079D"/>
    <w:rsid w:val="00AF5ABE"/>
    <w:rsid w:val="00AF60AD"/>
    <w:rsid w:val="00B03C83"/>
    <w:rsid w:val="00B0620A"/>
    <w:rsid w:val="00B07D01"/>
    <w:rsid w:val="00B13E44"/>
    <w:rsid w:val="00B15D35"/>
    <w:rsid w:val="00B207F1"/>
    <w:rsid w:val="00B20A68"/>
    <w:rsid w:val="00B25C0D"/>
    <w:rsid w:val="00B27069"/>
    <w:rsid w:val="00B339DD"/>
    <w:rsid w:val="00B34779"/>
    <w:rsid w:val="00B429CB"/>
    <w:rsid w:val="00B52BB3"/>
    <w:rsid w:val="00B52D86"/>
    <w:rsid w:val="00B5457D"/>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C7E09"/>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07D0F"/>
    <w:rsid w:val="00C10E44"/>
    <w:rsid w:val="00C11486"/>
    <w:rsid w:val="00C115C4"/>
    <w:rsid w:val="00C11F18"/>
    <w:rsid w:val="00C158C1"/>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5E1F"/>
    <w:rsid w:val="00CB63B6"/>
    <w:rsid w:val="00CC247C"/>
    <w:rsid w:val="00CC5948"/>
    <w:rsid w:val="00CD0037"/>
    <w:rsid w:val="00CD0397"/>
    <w:rsid w:val="00CD5F98"/>
    <w:rsid w:val="00CE11B0"/>
    <w:rsid w:val="00CE1AFF"/>
    <w:rsid w:val="00CE1E8A"/>
    <w:rsid w:val="00CE3336"/>
    <w:rsid w:val="00CE34DF"/>
    <w:rsid w:val="00CE4055"/>
    <w:rsid w:val="00CE4330"/>
    <w:rsid w:val="00CE563C"/>
    <w:rsid w:val="00CF1A05"/>
    <w:rsid w:val="00CF41D8"/>
    <w:rsid w:val="00CF5C48"/>
    <w:rsid w:val="00D00E39"/>
    <w:rsid w:val="00D013A3"/>
    <w:rsid w:val="00D0327D"/>
    <w:rsid w:val="00D0400B"/>
    <w:rsid w:val="00D05C0E"/>
    <w:rsid w:val="00D10209"/>
    <w:rsid w:val="00D11B98"/>
    <w:rsid w:val="00D13A30"/>
    <w:rsid w:val="00D25A86"/>
    <w:rsid w:val="00D32A2C"/>
    <w:rsid w:val="00D40C15"/>
    <w:rsid w:val="00D43526"/>
    <w:rsid w:val="00D43BC1"/>
    <w:rsid w:val="00D442BF"/>
    <w:rsid w:val="00D52EC3"/>
    <w:rsid w:val="00D566E3"/>
    <w:rsid w:val="00D56D88"/>
    <w:rsid w:val="00D57E32"/>
    <w:rsid w:val="00D61E66"/>
    <w:rsid w:val="00D6560C"/>
    <w:rsid w:val="00D66A63"/>
    <w:rsid w:val="00D71223"/>
    <w:rsid w:val="00D82FD6"/>
    <w:rsid w:val="00DA1DA5"/>
    <w:rsid w:val="00DA3EA2"/>
    <w:rsid w:val="00DA483D"/>
    <w:rsid w:val="00DA60AF"/>
    <w:rsid w:val="00DA612D"/>
    <w:rsid w:val="00DB0CB9"/>
    <w:rsid w:val="00DC16A2"/>
    <w:rsid w:val="00DC597F"/>
    <w:rsid w:val="00DC5B1B"/>
    <w:rsid w:val="00DC5D0F"/>
    <w:rsid w:val="00DC7626"/>
    <w:rsid w:val="00DC7DB5"/>
    <w:rsid w:val="00DD52A4"/>
    <w:rsid w:val="00DD6F88"/>
    <w:rsid w:val="00DD7FD6"/>
    <w:rsid w:val="00DE4277"/>
    <w:rsid w:val="00DF337F"/>
    <w:rsid w:val="00DF4AC2"/>
    <w:rsid w:val="00DF7B4A"/>
    <w:rsid w:val="00E002DD"/>
    <w:rsid w:val="00E00B81"/>
    <w:rsid w:val="00E01ABA"/>
    <w:rsid w:val="00E060B6"/>
    <w:rsid w:val="00E064D7"/>
    <w:rsid w:val="00E0662E"/>
    <w:rsid w:val="00E071D9"/>
    <w:rsid w:val="00E07785"/>
    <w:rsid w:val="00E14E07"/>
    <w:rsid w:val="00E15AD0"/>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5CE7"/>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2879"/>
    <w:rsid w:val="00ED405F"/>
    <w:rsid w:val="00EE0587"/>
    <w:rsid w:val="00EE42D2"/>
    <w:rsid w:val="00EE5D2C"/>
    <w:rsid w:val="00EF0769"/>
    <w:rsid w:val="00EF3318"/>
    <w:rsid w:val="00EF6E26"/>
    <w:rsid w:val="00F07104"/>
    <w:rsid w:val="00F125B0"/>
    <w:rsid w:val="00F1372D"/>
    <w:rsid w:val="00F22F83"/>
    <w:rsid w:val="00F26AC6"/>
    <w:rsid w:val="00F27707"/>
    <w:rsid w:val="00F27946"/>
    <w:rsid w:val="00F3010A"/>
    <w:rsid w:val="00F3032B"/>
    <w:rsid w:val="00F33D66"/>
    <w:rsid w:val="00F377B6"/>
    <w:rsid w:val="00F4324A"/>
    <w:rsid w:val="00F446C1"/>
    <w:rsid w:val="00F52581"/>
    <w:rsid w:val="00F52C39"/>
    <w:rsid w:val="00F536F4"/>
    <w:rsid w:val="00F632C1"/>
    <w:rsid w:val="00F65244"/>
    <w:rsid w:val="00F66181"/>
    <w:rsid w:val="00F66CF9"/>
    <w:rsid w:val="00F70F2F"/>
    <w:rsid w:val="00F71307"/>
    <w:rsid w:val="00F754EE"/>
    <w:rsid w:val="00F80C7B"/>
    <w:rsid w:val="00F924E5"/>
    <w:rsid w:val="00F945F2"/>
    <w:rsid w:val="00F9534A"/>
    <w:rsid w:val="00F95EAD"/>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3FBF"/>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style="mso-position-horizont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06153D"/>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Heading3Char">
    <w:name w:val="Heading 3 Char"/>
    <w:link w:val="Heading3"/>
    <w:rsid w:val="000B53B7"/>
    <w:rPr>
      <w:rFonts w:ascii="Arial" w:hAnsi="Arial" w:cs="Arial"/>
      <w:b/>
      <w:bCs/>
      <w:sz w:val="24"/>
      <w:szCs w:val="26"/>
      <w:lang w:val="en-AU" w:eastAsia="en-AU" w:bidi="ar-SA"/>
    </w:rPr>
  </w:style>
  <w:style w:type="character" w:styleId="CommentReference">
    <w:name w:val="annotation reference"/>
    <w:semiHidden/>
    <w:rsid w:val="00CB5E1F"/>
    <w:rPr>
      <w:sz w:val="16"/>
      <w:szCs w:val="16"/>
    </w:rPr>
  </w:style>
  <w:style w:type="paragraph" w:customStyle="1" w:styleId="Checkboxbulletlist">
    <w:name w:val="Checkbox bullet list"/>
    <w:basedOn w:val="Normal"/>
    <w:rsid w:val="003C105A"/>
    <w:pPr>
      <w:numPr>
        <w:numId w:val="23"/>
      </w:numPr>
    </w:pPr>
  </w:style>
  <w:style w:type="paragraph" w:styleId="CommentText">
    <w:name w:val="annotation text"/>
    <w:basedOn w:val="Normal"/>
    <w:semiHidden/>
    <w:rsid w:val="00CB5E1F"/>
    <w:rPr>
      <w:sz w:val="20"/>
      <w:szCs w:val="20"/>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CB5E1F"/>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customStyle="1" w:styleId="Heading2TOPChar">
    <w:name w:val="Heading 2 TOP Char"/>
    <w:basedOn w:val="Heading2Char"/>
    <w:link w:val="Heading2TOP"/>
    <w:rsid w:val="005F2186"/>
    <w:rPr>
      <w:rFonts w:ascii="Arial" w:hAnsi="Arial" w:cs="Arial"/>
      <w:b/>
      <w:bCs/>
      <w:i/>
      <w:iCs/>
      <w:sz w:val="28"/>
      <w:szCs w:val="28"/>
      <w:lang w:val="en-AU" w:eastAsia="en-AU"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styleId="Strong">
    <w:name w:val="Strong"/>
    <w:qFormat/>
    <w:rsid w:val="005548BD"/>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06153D"/>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Heading3Char">
    <w:name w:val="Heading 3 Char"/>
    <w:link w:val="Heading3"/>
    <w:rsid w:val="000B53B7"/>
    <w:rPr>
      <w:rFonts w:ascii="Arial" w:hAnsi="Arial" w:cs="Arial"/>
      <w:b/>
      <w:bCs/>
      <w:sz w:val="24"/>
      <w:szCs w:val="26"/>
      <w:lang w:val="en-AU" w:eastAsia="en-AU" w:bidi="ar-SA"/>
    </w:rPr>
  </w:style>
  <w:style w:type="character" w:styleId="CommentReference">
    <w:name w:val="annotation reference"/>
    <w:semiHidden/>
    <w:rsid w:val="00CB5E1F"/>
    <w:rPr>
      <w:sz w:val="16"/>
      <w:szCs w:val="16"/>
    </w:rPr>
  </w:style>
  <w:style w:type="paragraph" w:customStyle="1" w:styleId="Checkboxbulletlist">
    <w:name w:val="Checkbox bullet list"/>
    <w:basedOn w:val="Normal"/>
    <w:rsid w:val="003C105A"/>
    <w:pPr>
      <w:numPr>
        <w:numId w:val="23"/>
      </w:numPr>
    </w:pPr>
  </w:style>
  <w:style w:type="paragraph" w:styleId="CommentText">
    <w:name w:val="annotation text"/>
    <w:basedOn w:val="Normal"/>
    <w:semiHidden/>
    <w:rsid w:val="00CB5E1F"/>
    <w:rPr>
      <w:sz w:val="20"/>
      <w:szCs w:val="20"/>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CB5E1F"/>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customStyle="1" w:styleId="Heading2TOPChar">
    <w:name w:val="Heading 2 TOP Char"/>
    <w:basedOn w:val="Heading2Char"/>
    <w:link w:val="Heading2TOP"/>
    <w:rsid w:val="005F2186"/>
    <w:rPr>
      <w:rFonts w:ascii="Arial" w:hAnsi="Arial" w:cs="Arial"/>
      <w:b/>
      <w:bCs/>
      <w:i/>
      <w:iCs/>
      <w:sz w:val="28"/>
      <w:szCs w:val="28"/>
      <w:lang w:val="en-AU" w:eastAsia="en-AU"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styleId="Strong">
    <w:name w:val="Strong"/>
    <w:qFormat/>
    <w:rsid w:val="005548BD"/>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88174-1A38-4A8F-846C-108036DD81BB}">
  <ds:schemaRefs>
    <ds:schemaRef ds:uri="http://schemas.microsoft.com/sharepoint/v3/contenttype/forms"/>
  </ds:schemaRefs>
</ds:datastoreItem>
</file>

<file path=customXml/itemProps2.xml><?xml version="1.0" encoding="utf-8"?>
<ds:datastoreItem xmlns:ds="http://schemas.openxmlformats.org/officeDocument/2006/customXml" ds:itemID="{B677D77C-0F31-4DE4-95B3-1D7E932DC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9E1E08-BD88-4EFC-A530-2C2994B6B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Year 9 Languages assessment teacher guidelines | I want a pen-pal — writing — Japanese  | Queensland Essential Learnings and Standards</vt:lpstr>
    </vt:vector>
  </TitlesOfParts>
  <Company>Queensland Studies Authority</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Languages assessment teacher guidelines | I want a pen-pal - writing - Japanese | Queensland Essential Learnings and Standards</dc:title>
  <dc:subject/>
  <dc:creator>Queensland Studies Authority</dc:creator>
  <cp:keywords/>
  <dc:description>Students write a letter of self-introduction in Japanese to a pen-pal in Japan and reflect on their learning.</dc:description>
  <cp:lastModifiedBy>QSA</cp:lastModifiedBy>
  <cp:revision>2</cp:revision>
  <cp:lastPrinted>2009-06-09T00:37:00Z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ies>
</file>