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410271" w:rsidP="00BC58D9">
      <w:pPr>
        <w:pStyle w:val="CoverTitle"/>
      </w:pPr>
      <w:bookmarkStart w:id="0" w:name="_GoBack"/>
      <w:bookmarkEnd w:id="0"/>
      <w:r>
        <w:t>Make a stringed instrument</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410271">
              <w:t>8</w:t>
            </w:r>
          </w:p>
        </w:tc>
        <w:tc>
          <w:tcPr>
            <w:tcW w:w="6396" w:type="dxa"/>
            <w:shd w:val="clear" w:color="auto" w:fill="E3DEE8"/>
            <w:tcMar>
              <w:top w:w="113" w:type="dxa"/>
              <w:left w:w="113" w:type="dxa"/>
              <w:bottom w:w="113" w:type="dxa"/>
              <w:right w:w="113" w:type="dxa"/>
            </w:tcMar>
            <w:vAlign w:val="center"/>
          </w:tcPr>
          <w:p w:rsidR="00321DA5" w:rsidRDefault="00410271" w:rsidP="002F4C51">
            <w:pPr>
              <w:pStyle w:val="CoverYearKLAName"/>
              <w:spacing w:after="0"/>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A95012" w:rsidP="00CD0037">
            <w:pPr>
              <w:pStyle w:val="CoverOverview"/>
            </w:pPr>
            <w:r w:rsidRPr="00227E11">
              <w:t>Students research, design and construct a stringed musical instrument to comply with a design brief and document their technology practice in a design journal.</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A95012" w:rsidP="00C96592">
            <w:pPr>
              <w:spacing w:before="120" w:after="120" w:line="240" w:lineRule="auto"/>
            </w:pPr>
            <w:r>
              <w:t>10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A95012" w:rsidP="00CD0037">
            <w:r w:rsidRPr="00227E11">
              <w:t>Musical instruments are a pervasive element of human culture. From ancient times, musical instruments reflect culture, beliefs and way of life by using locally available materials and technology processes. Through the use of the technology processes of investigating, designing, producing and evaluating, students will design and construct a functional stringed musical instrument. The assessment focuses on selecting and using appropriate materials, tools and techniques.</w:t>
            </w:r>
          </w:p>
        </w:tc>
      </w:tr>
    </w:tbl>
    <w:p w:rsidR="00B34779" w:rsidRPr="00A326AC" w:rsidRDefault="007C566B" w:rsidP="00750B88">
      <w:pPr>
        <w:pageBreakBefore/>
      </w:pPr>
      <w:r>
        <w:rPr>
          <w:b/>
          <w:i/>
          <w:noProof/>
          <w:color w:val="FF0000"/>
        </w:rPr>
        <w:lastRenderedPageBreak/>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4418"/>
      </w:tblGrid>
      <w:tr w:rsidR="00CD0037" w:rsidRPr="00750B88">
        <w:trPr>
          <w:trHeight w:val="76"/>
          <w:jc w:val="center"/>
        </w:trPr>
        <w:tc>
          <w:tcPr>
            <w:tcW w:w="9639" w:type="dxa"/>
            <w:gridSpan w:val="2"/>
            <w:shd w:val="clear" w:color="auto" w:fill="E6E6E6"/>
          </w:tcPr>
          <w:p w:rsidR="00CD0037" w:rsidRPr="00750B88" w:rsidRDefault="00D65DD8" w:rsidP="00C20914">
            <w:pPr>
              <w:pStyle w:val="Heading2Table"/>
            </w:pPr>
            <w:r>
              <w:t>Technology</w:t>
            </w:r>
            <w:r w:rsidR="00CD0037" w:rsidRPr="00750B88">
              <w:tab/>
              <w:t xml:space="preserve">Essential Learnings by the end of Year </w:t>
            </w:r>
            <w:r>
              <w:t>9</w:t>
            </w:r>
          </w:p>
        </w:tc>
      </w:tr>
      <w:tr w:rsidR="00934842">
        <w:trPr>
          <w:trHeight w:val="3454"/>
          <w:jc w:val="center"/>
        </w:trPr>
        <w:tc>
          <w:tcPr>
            <w:tcW w:w="522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321216" w:rsidRPr="00227E11" w:rsidRDefault="00321216" w:rsidP="00321216">
            <w:pPr>
              <w:pStyle w:val="Bulletslevel1"/>
            </w:pPr>
            <w:r w:rsidRPr="00227E11">
              <w:t>investigate and analyse specifications, standards and constraints in the development of design ideas</w:t>
            </w:r>
          </w:p>
          <w:p w:rsidR="00321216" w:rsidRPr="00227E11" w:rsidRDefault="00321216" w:rsidP="00321216">
            <w:pPr>
              <w:pStyle w:val="Bulletslevel1"/>
            </w:pPr>
            <w:r w:rsidRPr="00227E11">
              <w:t>generate and evaluate design ideas and communicate research, design options, budget and timelines in design proposals</w:t>
            </w:r>
          </w:p>
          <w:p w:rsidR="00321216" w:rsidRPr="00227E11" w:rsidRDefault="00321216" w:rsidP="00321216">
            <w:pPr>
              <w:pStyle w:val="Bulletslevel1"/>
            </w:pPr>
            <w:r w:rsidRPr="00227E11">
              <w:t>select resources, techniques and tools to make products that meet detailed specifications</w:t>
            </w:r>
          </w:p>
          <w:p w:rsidR="00321216" w:rsidRPr="00227E11" w:rsidRDefault="00321216" w:rsidP="00321216">
            <w:pPr>
              <w:pStyle w:val="Bulletslevel1"/>
            </w:pPr>
            <w:r w:rsidRPr="00227E11">
              <w:t>plan, manage and refine production procedures for efficiency</w:t>
            </w:r>
          </w:p>
          <w:p w:rsidR="00321216" w:rsidRPr="00227E11" w:rsidRDefault="00321216" w:rsidP="00321216">
            <w:pPr>
              <w:pStyle w:val="Bulletslevel1"/>
            </w:pPr>
            <w:r w:rsidRPr="00227E11">
              <w:t>make products to meet detailed specifications by manipulating or processing resources</w:t>
            </w:r>
          </w:p>
          <w:p w:rsidR="00321216" w:rsidRPr="00227E11" w:rsidRDefault="00321216" w:rsidP="00321216">
            <w:pPr>
              <w:pStyle w:val="Bulletslevel1"/>
            </w:pPr>
            <w:r w:rsidRPr="00227E11">
              <w:t>identify, apply and justify workplace health and safety practices</w:t>
            </w:r>
          </w:p>
          <w:p w:rsidR="00321216" w:rsidRPr="00227E11" w:rsidRDefault="00321216" w:rsidP="00321216">
            <w:pPr>
              <w:pStyle w:val="Bulletslevel1"/>
            </w:pPr>
            <w:r w:rsidRPr="00227E11">
              <w:t>evaluate the suitability of products and processes against criteria and recommend improvements</w:t>
            </w:r>
          </w:p>
          <w:p w:rsidR="00934842" w:rsidRPr="00A67D85" w:rsidRDefault="00321216" w:rsidP="00321216">
            <w:pPr>
              <w:pStyle w:val="Bulletslevel1"/>
            </w:pPr>
            <w:r w:rsidRPr="00227E11">
              <w:t>reflect on learning, apply new understandings and justify future applications.</w:t>
            </w:r>
          </w:p>
        </w:tc>
        <w:tc>
          <w:tcPr>
            <w:tcW w:w="4418" w:type="dxa"/>
          </w:tcPr>
          <w:p w:rsidR="00934842" w:rsidRDefault="00934842" w:rsidP="002C1299">
            <w:pPr>
              <w:pStyle w:val="Heading3"/>
              <w:keepLines/>
            </w:pPr>
            <w:r>
              <w:t>Knowledge and understanding</w:t>
            </w:r>
          </w:p>
          <w:p w:rsidR="00321216" w:rsidRDefault="00321216" w:rsidP="00321216">
            <w:pPr>
              <w:rPr>
                <w:b/>
                <w:i/>
              </w:rPr>
            </w:pPr>
            <w:r w:rsidRPr="00157C65">
              <w:rPr>
                <w:b/>
                <w:i/>
              </w:rPr>
              <w:t>Technology as a human endeavour</w:t>
            </w:r>
          </w:p>
          <w:p w:rsidR="002F30EF" w:rsidRPr="002F30EF" w:rsidRDefault="002F30EF" w:rsidP="002F30EF">
            <w:pPr>
              <w:rPr>
                <w:b/>
                <w:i/>
              </w:rPr>
            </w:pPr>
            <w:r w:rsidRPr="002F30EF">
              <w:rPr>
                <w:b/>
              </w:rPr>
              <w:t>Technology influences and impacts on people, their communities and environments in local and global contexts.</w:t>
            </w:r>
          </w:p>
          <w:p w:rsidR="00321216" w:rsidRPr="00157C65" w:rsidRDefault="00321216" w:rsidP="002F30EF">
            <w:pPr>
              <w:pStyle w:val="Bulletslevel1"/>
            </w:pPr>
            <w:r w:rsidRPr="00157C65">
              <w:t>Product design and production decisions are influenced by aspects of appropriateness and by detailed specifications, constraints and standards of production</w:t>
            </w:r>
            <w:r w:rsidR="00157C65">
              <w:t>.</w:t>
            </w:r>
          </w:p>
          <w:p w:rsidR="00321216" w:rsidRPr="00157C65" w:rsidRDefault="00321216" w:rsidP="00321216">
            <w:pPr>
              <w:rPr>
                <w:b/>
                <w:i/>
              </w:rPr>
            </w:pPr>
            <w:r w:rsidRPr="00157C65">
              <w:rPr>
                <w:b/>
                <w:i/>
              </w:rPr>
              <w:t>Information, materials and systems (resources)</w:t>
            </w:r>
          </w:p>
          <w:p w:rsidR="00321216" w:rsidRPr="00157C65" w:rsidRDefault="00321216" w:rsidP="00321216">
            <w:pPr>
              <w:rPr>
                <w:b/>
              </w:rPr>
            </w:pPr>
            <w:r w:rsidRPr="00157C65">
              <w:rPr>
                <w:b/>
              </w:rPr>
              <w:t xml:space="preserve">Resources </w:t>
            </w:r>
            <w:r w:rsidR="00C119E8">
              <w:rPr>
                <w:b/>
              </w:rPr>
              <w:t>originate from different sources, exist in various forms and are manipulated to meet specifications and standards to make products.</w:t>
            </w:r>
          </w:p>
          <w:p w:rsidR="00934842" w:rsidRPr="00157C65" w:rsidRDefault="00321216" w:rsidP="00157C65">
            <w:pPr>
              <w:pStyle w:val="Bulletslevel1"/>
            </w:pPr>
            <w:r w:rsidRPr="00157C65">
              <w:t>Techniques and tools are selected</w:t>
            </w:r>
            <w:r w:rsidR="00C119E8">
              <w:t>, controlled and managed</w:t>
            </w:r>
            <w:r w:rsidRPr="00157C65">
              <w:t xml:space="preserve"> to manipulate or process resources to </w:t>
            </w:r>
            <w:r w:rsidR="00C119E8">
              <w:t>meet detailed</w:t>
            </w:r>
            <w:r w:rsidRPr="00157C65">
              <w:t xml:space="preserve"> specifications</w:t>
            </w:r>
            <w:r w:rsidR="00C119E8">
              <w:t xml:space="preserve"> and predetermined standards of production.</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2C79CE" w:rsidRPr="0075083A" w:rsidRDefault="002C79CE" w:rsidP="0075083A">
            <w:pPr>
              <w:pStyle w:val="Bulletslevel1"/>
            </w:pPr>
            <w:r w:rsidRPr="0075083A">
              <w:t>Knowledge and understanding</w:t>
            </w:r>
          </w:p>
          <w:p w:rsidR="002C79CE" w:rsidRPr="0075083A" w:rsidRDefault="002C79CE" w:rsidP="0075083A">
            <w:pPr>
              <w:pStyle w:val="Bulletslevel1"/>
            </w:pPr>
            <w:r w:rsidRPr="0075083A">
              <w:t>Investigating and designing</w:t>
            </w:r>
          </w:p>
          <w:p w:rsidR="002C79CE" w:rsidRPr="0075083A" w:rsidRDefault="002C79CE" w:rsidP="0075083A">
            <w:pPr>
              <w:pStyle w:val="Bulletslevel1"/>
            </w:pPr>
            <w:r w:rsidRPr="0075083A">
              <w:t>Producing</w:t>
            </w:r>
          </w:p>
          <w:p w:rsidR="002C79CE" w:rsidRPr="0075083A" w:rsidRDefault="002C79CE" w:rsidP="0075083A">
            <w:pPr>
              <w:pStyle w:val="Bulletslevel1"/>
            </w:pPr>
            <w:r w:rsidRPr="0075083A">
              <w:t>Evaluating</w:t>
            </w:r>
          </w:p>
          <w:p w:rsidR="00B34779" w:rsidRPr="00AD12C7" w:rsidRDefault="002C79CE" w:rsidP="0075083A">
            <w:pPr>
              <w:pStyle w:val="Bulletslevel1"/>
            </w:pPr>
            <w:r w:rsidRPr="0075083A">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2C79CE">
              <w:t>Technology</w:t>
            </w:r>
            <w:r w:rsidRPr="00F377B6">
              <w:rPr>
                <w:rStyle w:val="SourceTitleChar"/>
              </w:rPr>
              <w:t xml:space="preserve"> Essential</w:t>
            </w:r>
            <w:r w:rsidRPr="00750B88">
              <w:rPr>
                <w:rStyle w:val="SourceTitleChar"/>
              </w:rPr>
              <w:t xml:space="preserve"> Learnings by the end of Year </w:t>
            </w:r>
            <w:r w:rsidR="002C79CE">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3B310F" w:rsidRDefault="00E8667A" w:rsidP="00241322">
      <w:pPr>
        <w:pStyle w:val="Heading2"/>
      </w:pPr>
      <w:r>
        <w:br w:type="page"/>
      </w:r>
      <w:r w:rsidR="003B310F" w:rsidRPr="00C53E99">
        <w:t>Links to other KLAs</w:t>
      </w:r>
    </w:p>
    <w:p w:rsidR="003B310F" w:rsidRDefault="003B310F" w:rsidP="003B310F">
      <w:r w:rsidRPr="00DB0CB9">
        <w:t>This assessment</w:t>
      </w:r>
      <w:r w:rsidRPr="001D07D3">
        <w:t xml:space="preserve"> could</w:t>
      </w:r>
      <w:r>
        <w:t xml:space="preserve"> be expanded to assess the following </w:t>
      </w:r>
      <w:r w:rsidRPr="009D15D5">
        <w:rPr>
          <w:b/>
        </w:rPr>
        <w:t>Essential Learnings</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6578"/>
      </w:tblGrid>
      <w:tr w:rsidR="003B310F" w:rsidRPr="00FE5E2B">
        <w:trPr>
          <w:trHeight w:val="76"/>
          <w:jc w:val="center"/>
        </w:trPr>
        <w:tc>
          <w:tcPr>
            <w:tcW w:w="9639" w:type="dxa"/>
            <w:gridSpan w:val="2"/>
            <w:shd w:val="clear" w:color="auto" w:fill="E6E6E6"/>
          </w:tcPr>
          <w:p w:rsidR="003B310F" w:rsidRPr="00750B88" w:rsidRDefault="00241322" w:rsidP="009624E3">
            <w:pPr>
              <w:pStyle w:val="Heading2Table"/>
            </w:pPr>
            <w:r>
              <w:t>The Arts — Music</w:t>
            </w:r>
            <w:r w:rsidR="003B310F" w:rsidRPr="00750B88">
              <w:tab/>
              <w:t xml:space="preserve">Essential Learnings by the end of Year </w:t>
            </w:r>
            <w:r>
              <w:t>9</w:t>
            </w:r>
          </w:p>
        </w:tc>
      </w:tr>
      <w:tr w:rsidR="003B310F">
        <w:trPr>
          <w:trHeight w:val="3454"/>
          <w:jc w:val="center"/>
        </w:trPr>
        <w:tc>
          <w:tcPr>
            <w:tcW w:w="3061" w:type="dxa"/>
          </w:tcPr>
          <w:p w:rsidR="003B310F" w:rsidRPr="00A67D85" w:rsidRDefault="003B310F" w:rsidP="009624E3">
            <w:pPr>
              <w:pStyle w:val="Heading3"/>
              <w:keepLines/>
            </w:pPr>
            <w:r w:rsidRPr="00A67D85">
              <w:t>Ways of working</w:t>
            </w:r>
          </w:p>
          <w:p w:rsidR="003B310F" w:rsidRPr="00750B88" w:rsidRDefault="003B310F" w:rsidP="009624E3">
            <w:pPr>
              <w:pStyle w:val="Organiser"/>
            </w:pPr>
            <w:r w:rsidRPr="00750B88">
              <w:t>Students are able to:</w:t>
            </w:r>
          </w:p>
          <w:p w:rsidR="00241322" w:rsidRPr="00227E11" w:rsidRDefault="00241322" w:rsidP="00241322">
            <w:pPr>
              <w:pStyle w:val="Bulletslevel1"/>
            </w:pPr>
            <w:r w:rsidRPr="00227E11">
              <w:t>create and shape arts works by manipulating arts elements to express meaning in different contexts</w:t>
            </w:r>
          </w:p>
          <w:p w:rsidR="00241322" w:rsidRPr="00227E11" w:rsidRDefault="00241322" w:rsidP="00241322">
            <w:pPr>
              <w:pStyle w:val="Bulletslevel1"/>
            </w:pPr>
            <w:r w:rsidRPr="00227E11">
              <w:t>modify and refine genre-specific arts works, using interpretive and technical skills</w:t>
            </w:r>
          </w:p>
          <w:p w:rsidR="00241322" w:rsidRPr="00227E11" w:rsidRDefault="00241322" w:rsidP="00241322">
            <w:pPr>
              <w:pStyle w:val="Bulletslevel1"/>
            </w:pPr>
            <w:r w:rsidRPr="00227E11">
              <w:t>present arts works to particular audiences for a specific purpose, style and function, using genre specific arts techniques, skills, processes and cultural protocols</w:t>
            </w:r>
          </w:p>
          <w:p w:rsidR="003B310F" w:rsidRPr="00A67D85" w:rsidRDefault="00241322" w:rsidP="00241322">
            <w:pPr>
              <w:pStyle w:val="Bulletslevel1"/>
            </w:pPr>
            <w:r w:rsidRPr="00227E11">
              <w:t xml:space="preserve">reflect on learning, apply new understandings and justify future </w:t>
            </w:r>
            <w:r w:rsidR="001026FE">
              <w:t>a</w:t>
            </w:r>
            <w:r w:rsidRPr="00227E11">
              <w:t>pplications.</w:t>
            </w:r>
          </w:p>
        </w:tc>
        <w:tc>
          <w:tcPr>
            <w:tcW w:w="6578" w:type="dxa"/>
          </w:tcPr>
          <w:p w:rsidR="003B310F" w:rsidRDefault="003B310F" w:rsidP="009624E3">
            <w:pPr>
              <w:pStyle w:val="Heading3"/>
              <w:keepLines/>
            </w:pPr>
            <w:r>
              <w:t>Knowledge and understanding</w:t>
            </w:r>
          </w:p>
          <w:p w:rsidR="00B96F59" w:rsidRDefault="00241322" w:rsidP="00B96F59">
            <w:pPr>
              <w:autoSpaceDE w:val="0"/>
              <w:autoSpaceDN w:val="0"/>
              <w:adjustRightInd w:val="0"/>
              <w:spacing w:before="0" w:after="0" w:line="240" w:lineRule="auto"/>
              <w:rPr>
                <w:b/>
                <w:i/>
              </w:rPr>
            </w:pPr>
            <w:r w:rsidRPr="00241322">
              <w:rPr>
                <w:b/>
                <w:i/>
              </w:rPr>
              <w:t>Music</w:t>
            </w:r>
          </w:p>
          <w:p w:rsidR="00241322" w:rsidRPr="00B96F59" w:rsidRDefault="00B96F59" w:rsidP="00B96F59">
            <w:pPr>
              <w:rPr>
                <w:b/>
              </w:rPr>
            </w:pPr>
            <w:r w:rsidRPr="00B96F59">
              <w:rPr>
                <w:b/>
              </w:rPr>
              <w:t>Music involves singing, playing instruments, listening, moving, improvising and composing by manipulating the music elements to express ideas, considering specific audiences and specific purposes, through sound.</w:t>
            </w:r>
          </w:p>
          <w:p w:rsidR="00241322" w:rsidRPr="00241322" w:rsidRDefault="00241322" w:rsidP="00B96F59">
            <w:pPr>
              <w:pStyle w:val="Bulletslevel1"/>
            </w:pPr>
            <w:r w:rsidRPr="00241322">
              <w:t>Duration, beat, time values and metre are used to create and vary rhythm</w:t>
            </w:r>
            <w:r w:rsidR="0027560D">
              <w:t>.</w:t>
            </w:r>
          </w:p>
          <w:p w:rsidR="00241322" w:rsidRPr="00227E11" w:rsidRDefault="00241322" w:rsidP="00B96F59">
            <w:pPr>
              <w:pStyle w:val="Bulletslevel1"/>
            </w:pPr>
            <w:r w:rsidRPr="00227E11">
              <w:t>Pitch, tonalities, scales and intervals are used to create and vary the horizontal arrangement of sound</w:t>
            </w:r>
            <w:r w:rsidR="0027560D">
              <w:t>.</w:t>
            </w:r>
          </w:p>
          <w:p w:rsidR="00241322" w:rsidRPr="00227E11" w:rsidRDefault="00241322" w:rsidP="00B96F59">
            <w:pPr>
              <w:pStyle w:val="Bulletslevel1"/>
            </w:pPr>
            <w:r w:rsidRPr="00227E11">
              <w:t>Tonalities and harmonies are used to organise music in different vertical arrangements</w:t>
            </w:r>
            <w:r w:rsidR="0027560D">
              <w:t>.</w:t>
            </w:r>
          </w:p>
          <w:p w:rsidR="00241322" w:rsidRPr="00227E11" w:rsidRDefault="00241322" w:rsidP="00B96F59">
            <w:pPr>
              <w:pStyle w:val="Bulletslevel1"/>
            </w:pPr>
            <w:r w:rsidRPr="00227E11">
              <w:t>Interaction between the linear and the vertical arrangement of music is used to create the texture or density of sound</w:t>
            </w:r>
            <w:r w:rsidR="0027560D">
              <w:t>.</w:t>
            </w:r>
          </w:p>
          <w:p w:rsidR="00241322" w:rsidRPr="00227E11" w:rsidRDefault="00241322" w:rsidP="00B96F59">
            <w:pPr>
              <w:pStyle w:val="Bulletslevel1"/>
            </w:pPr>
            <w:r w:rsidRPr="00227E11">
              <w:t>Vocal, instrumental, electronic and computer-generated sound sources have characteristic sound qualities (tone colour) that can be altered through methods of production and manipulation</w:t>
            </w:r>
            <w:r w:rsidR="0027560D">
              <w:t>.</w:t>
            </w:r>
          </w:p>
          <w:p w:rsidR="003B310F" w:rsidRDefault="00241322" w:rsidP="00B96F59">
            <w:pPr>
              <w:pStyle w:val="Bulletslevel1"/>
            </w:pPr>
            <w:r w:rsidRPr="00227E11">
              <w:t>Relative softness and loudness of sounds, and digital and electronic devices, are used to change dynamic levels and expression of music</w:t>
            </w:r>
            <w:r w:rsidR="0027560D">
              <w:t>.</w:t>
            </w:r>
          </w:p>
        </w:tc>
      </w:tr>
      <w:tr w:rsidR="003B310F" w:rsidRPr="00474B75">
        <w:trPr>
          <w:trHeight w:val="76"/>
          <w:jc w:val="center"/>
        </w:trPr>
        <w:tc>
          <w:tcPr>
            <w:tcW w:w="9639" w:type="dxa"/>
            <w:gridSpan w:val="2"/>
          </w:tcPr>
          <w:p w:rsidR="003B310F" w:rsidRPr="00474B75" w:rsidRDefault="003B310F" w:rsidP="009624E3">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rsidR="00B96F59">
              <w:rPr>
                <w:rStyle w:val="SourceTitleChar"/>
              </w:rPr>
              <w:t xml:space="preserve">The Arts </w:t>
            </w:r>
            <w:r w:rsidRPr="00444D1F">
              <w:rPr>
                <w:rStyle w:val="SourceTitleChar"/>
              </w:rPr>
              <w:t>Es</w:t>
            </w:r>
            <w:r w:rsidRPr="00F377B6">
              <w:rPr>
                <w:rStyle w:val="SourceTitleChar"/>
              </w:rPr>
              <w:t>sential</w:t>
            </w:r>
            <w:r w:rsidRPr="00750B88">
              <w:rPr>
                <w:rStyle w:val="SourceTitleChar"/>
              </w:rPr>
              <w:t xml:space="preserve"> Learnings by the end of Year </w:t>
            </w:r>
            <w:r w:rsidR="00B96F59">
              <w:rPr>
                <w:rStyle w:val="SourceTitleChar"/>
              </w:rPr>
              <w:t>9</w:t>
            </w:r>
            <w:r w:rsidRPr="00750B88">
              <w:t>, QSA</w:t>
            </w:r>
            <w:r w:rsidRPr="00474B75">
              <w:t xml:space="preserve">, </w:t>
            </w:r>
            <w:smartTag w:uri="urn:schemas-microsoft-com:office:smarttags" w:element="City">
              <w:smartTag w:uri="urn:schemas-microsoft-com:office:smarttags" w:element="place">
                <w:r w:rsidRPr="00474B75">
                  <w:t>Brisbane</w:t>
                </w:r>
              </w:smartTag>
            </w:smartTag>
            <w:r w:rsidRPr="00474B75">
              <w:t>.</w:t>
            </w:r>
          </w:p>
        </w:tc>
      </w:tr>
    </w:tbl>
    <w:p w:rsidR="0049389D" w:rsidRDefault="0049389D" w:rsidP="00DB0CB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3878"/>
      </w:tblGrid>
      <w:tr w:rsidR="007924C4" w:rsidRPr="00FE5E2B">
        <w:trPr>
          <w:trHeight w:val="76"/>
          <w:jc w:val="center"/>
        </w:trPr>
        <w:tc>
          <w:tcPr>
            <w:tcW w:w="9639" w:type="dxa"/>
            <w:gridSpan w:val="2"/>
            <w:shd w:val="clear" w:color="auto" w:fill="E6E6E6"/>
          </w:tcPr>
          <w:p w:rsidR="007924C4" w:rsidRPr="00750B88" w:rsidRDefault="007924C4" w:rsidP="002E62C0">
            <w:pPr>
              <w:pStyle w:val="Heading2Table"/>
            </w:pPr>
            <w:r>
              <w:t>Science</w:t>
            </w:r>
            <w:r w:rsidRPr="00750B88">
              <w:tab/>
              <w:t xml:space="preserve">Essential Learnings by the end of Year </w:t>
            </w:r>
            <w:r>
              <w:t>9</w:t>
            </w:r>
          </w:p>
        </w:tc>
      </w:tr>
      <w:tr w:rsidR="007924C4">
        <w:trPr>
          <w:trHeight w:val="3454"/>
          <w:jc w:val="center"/>
        </w:trPr>
        <w:tc>
          <w:tcPr>
            <w:tcW w:w="5761" w:type="dxa"/>
          </w:tcPr>
          <w:p w:rsidR="007924C4" w:rsidRPr="00A67D85" w:rsidRDefault="007924C4" w:rsidP="002E62C0">
            <w:pPr>
              <w:pStyle w:val="Heading3"/>
              <w:keepLines/>
            </w:pPr>
            <w:r w:rsidRPr="00A67D85">
              <w:t>Ways of working</w:t>
            </w:r>
          </w:p>
          <w:p w:rsidR="007924C4" w:rsidRPr="00750B88" w:rsidRDefault="007924C4" w:rsidP="002E62C0">
            <w:pPr>
              <w:pStyle w:val="Organiser"/>
            </w:pPr>
            <w:r w:rsidRPr="00750B88">
              <w:t>Students are able to:</w:t>
            </w:r>
          </w:p>
          <w:p w:rsidR="007924C4" w:rsidRPr="00227E11" w:rsidRDefault="007924C4" w:rsidP="007924C4">
            <w:pPr>
              <w:pStyle w:val="Bulletslevel1"/>
            </w:pPr>
            <w:r w:rsidRPr="00227E11">
              <w:t>identify problems and issues, formulate scientific questions and design investigations</w:t>
            </w:r>
          </w:p>
          <w:p w:rsidR="007924C4" w:rsidRPr="00227E11" w:rsidRDefault="007924C4" w:rsidP="007924C4">
            <w:pPr>
              <w:pStyle w:val="Bulletslevel1"/>
            </w:pPr>
            <w:r w:rsidRPr="00227E11">
              <w:t>plan investigations guided by scientific concepts and design and carry out fair tests</w:t>
            </w:r>
          </w:p>
          <w:p w:rsidR="007924C4" w:rsidRPr="00227E11" w:rsidRDefault="007924C4" w:rsidP="007924C4">
            <w:pPr>
              <w:pStyle w:val="Bulletslevel1"/>
            </w:pPr>
            <w:r w:rsidRPr="00227E11">
              <w:t>research and analyse data, information and evidence</w:t>
            </w:r>
          </w:p>
          <w:p w:rsidR="007924C4" w:rsidRPr="00227E11" w:rsidRDefault="007924C4" w:rsidP="007924C4">
            <w:pPr>
              <w:pStyle w:val="Bulletslevel1"/>
            </w:pPr>
            <w:r w:rsidRPr="00227E11">
              <w:t>evaluate data, information and evidence to identify connections, construct arguments and link results to theory</w:t>
            </w:r>
          </w:p>
          <w:p w:rsidR="007924C4" w:rsidRPr="00227E11" w:rsidRDefault="007924C4" w:rsidP="007924C4">
            <w:pPr>
              <w:pStyle w:val="Bulletslevel1"/>
            </w:pPr>
            <w:r w:rsidRPr="00227E11">
              <w:t>select and use scientific equipment and technologies to enhance the reliability and accuracy of data collected in investigations</w:t>
            </w:r>
          </w:p>
          <w:p w:rsidR="007924C4" w:rsidRPr="00227E11" w:rsidRDefault="007924C4" w:rsidP="007924C4">
            <w:pPr>
              <w:pStyle w:val="Bulletslevel1"/>
            </w:pPr>
            <w:r w:rsidRPr="00227E11">
              <w:t>draw conclusions that summarise and explain patterns, and that are consistent with the data and respond to the question</w:t>
            </w:r>
          </w:p>
          <w:p w:rsidR="007924C4" w:rsidRPr="00227E11" w:rsidRDefault="007924C4" w:rsidP="007924C4">
            <w:pPr>
              <w:pStyle w:val="Bulletslevel1"/>
            </w:pPr>
            <w:r w:rsidRPr="00227E11">
              <w:t>communicate scientific ideas, explanations, conclusions, decisions and data, using scientific argument and terminology, in appropriate formats</w:t>
            </w:r>
          </w:p>
          <w:p w:rsidR="007924C4" w:rsidRPr="00A67D85" w:rsidRDefault="007924C4" w:rsidP="007924C4">
            <w:pPr>
              <w:pStyle w:val="Bulletslevel1"/>
            </w:pPr>
            <w:r w:rsidRPr="00227E11">
              <w:t>reflect on learning, apply new understandings and justify future applications.</w:t>
            </w:r>
          </w:p>
        </w:tc>
        <w:tc>
          <w:tcPr>
            <w:tcW w:w="3878" w:type="dxa"/>
          </w:tcPr>
          <w:p w:rsidR="007924C4" w:rsidRDefault="007924C4" w:rsidP="002E62C0">
            <w:pPr>
              <w:pStyle w:val="Heading3"/>
              <w:keepLines/>
            </w:pPr>
            <w:r>
              <w:t>Knowledge and understanding</w:t>
            </w:r>
          </w:p>
          <w:p w:rsidR="007924C4" w:rsidRPr="007924C4" w:rsidRDefault="007924C4" w:rsidP="007924C4">
            <w:pPr>
              <w:rPr>
                <w:b/>
                <w:i/>
              </w:rPr>
            </w:pPr>
            <w:r w:rsidRPr="007924C4">
              <w:rPr>
                <w:b/>
                <w:i/>
              </w:rPr>
              <w:t>Energy and change</w:t>
            </w:r>
          </w:p>
          <w:p w:rsidR="007924C4" w:rsidRPr="007924C4" w:rsidRDefault="007924C4" w:rsidP="007924C4">
            <w:pPr>
              <w:rPr>
                <w:b/>
              </w:rPr>
            </w:pPr>
            <w:r w:rsidRPr="007924C4">
              <w:rPr>
                <w:b/>
              </w:rPr>
              <w:t>Forces and energy are identified and analysed to help understand and develop technologies, and to make predictions about events in the world.</w:t>
            </w:r>
          </w:p>
          <w:p w:rsidR="007924C4" w:rsidRPr="00227E11" w:rsidRDefault="007924C4" w:rsidP="007924C4">
            <w:pPr>
              <w:pStyle w:val="Bulletslevel1"/>
            </w:pPr>
            <w:r w:rsidRPr="00227E11">
              <w:t>An unbalanced force acting on a body results in a change in motion</w:t>
            </w:r>
            <w:r w:rsidR="0027560D">
              <w:t>.</w:t>
            </w:r>
          </w:p>
          <w:p w:rsidR="007924C4" w:rsidRPr="00227E11" w:rsidRDefault="007924C4" w:rsidP="007924C4">
            <w:pPr>
              <w:pStyle w:val="Bulletslevel1"/>
            </w:pPr>
            <w:r w:rsidRPr="00227E11">
              <w:t>Objects remain stationary or in constant motion under the influence of balanced forces</w:t>
            </w:r>
            <w:r w:rsidR="0027560D">
              <w:t>.</w:t>
            </w:r>
          </w:p>
          <w:p w:rsidR="007924C4" w:rsidRPr="00227E11" w:rsidRDefault="007924C4" w:rsidP="007924C4">
            <w:pPr>
              <w:pStyle w:val="Bulletslevel1"/>
            </w:pPr>
            <w:r w:rsidRPr="00227E11">
              <w:t>Energy can be transferred from one medium to another</w:t>
            </w:r>
            <w:r w:rsidR="0027560D">
              <w:t>.</w:t>
            </w:r>
          </w:p>
          <w:p w:rsidR="007924C4" w:rsidRPr="00227E11" w:rsidRDefault="007924C4" w:rsidP="007924C4">
            <w:pPr>
              <w:pStyle w:val="Bulletslevel1"/>
            </w:pPr>
            <w:r w:rsidRPr="00227E11">
              <w:t>Transfer of energy can vary according to the medium in which it travels</w:t>
            </w:r>
            <w:r w:rsidR="0027560D">
              <w:t>.</w:t>
            </w:r>
          </w:p>
          <w:p w:rsidR="007924C4" w:rsidRDefault="007924C4" w:rsidP="007924C4">
            <w:pPr>
              <w:pStyle w:val="Bulletslevel1"/>
            </w:pPr>
            <w:r w:rsidRPr="00227E11">
              <w:t>Energy is conserved when it is transferred or transformed</w:t>
            </w:r>
            <w:r w:rsidR="0027560D">
              <w:t>.</w:t>
            </w:r>
          </w:p>
        </w:tc>
      </w:tr>
      <w:tr w:rsidR="007924C4" w:rsidRPr="00474B75">
        <w:trPr>
          <w:trHeight w:val="76"/>
          <w:jc w:val="center"/>
        </w:trPr>
        <w:tc>
          <w:tcPr>
            <w:tcW w:w="9639" w:type="dxa"/>
            <w:gridSpan w:val="2"/>
          </w:tcPr>
          <w:p w:rsidR="007924C4" w:rsidRPr="00474B75" w:rsidRDefault="007924C4" w:rsidP="002E62C0">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t>Science</w:t>
            </w:r>
            <w:r>
              <w:rPr>
                <w:rStyle w:val="SourceTitleChar"/>
              </w:rPr>
              <w:t xml:space="preserve"> </w:t>
            </w:r>
            <w:r w:rsidRPr="00444D1F">
              <w:rPr>
                <w:rStyle w:val="SourceTitleChar"/>
              </w:rPr>
              <w:t>Es</w:t>
            </w:r>
            <w:r w:rsidRPr="00F377B6">
              <w:rPr>
                <w:rStyle w:val="SourceTitleChar"/>
              </w:rPr>
              <w:t>sential</w:t>
            </w:r>
            <w:r w:rsidRPr="00750B88">
              <w:rPr>
                <w:rStyle w:val="SourceTitleChar"/>
              </w:rPr>
              <w:t xml:space="preserve"> Learnings by the end of Year </w:t>
            </w:r>
            <w:r>
              <w:rPr>
                <w:rStyle w:val="SourceTitleChar"/>
              </w:rPr>
              <w:t>9</w:t>
            </w:r>
            <w:r w:rsidRPr="00750B88">
              <w:t>, QSA</w:t>
            </w:r>
            <w:r w:rsidRPr="00474B75">
              <w:t xml:space="preserve">, </w:t>
            </w:r>
            <w:smartTag w:uri="urn:schemas-microsoft-com:office:smarttags" w:element="City">
              <w:smartTag w:uri="urn:schemas-microsoft-com:office:smarttags" w:element="place">
                <w:r w:rsidRPr="00474B75">
                  <w:t>Brisbane</w:t>
                </w:r>
              </w:smartTag>
            </w:smartTag>
            <w:r w:rsidRPr="00474B75">
              <w:t>.</w:t>
            </w:r>
          </w:p>
        </w:tc>
      </w:tr>
    </w:tbl>
    <w:p w:rsidR="000F5CAD" w:rsidRDefault="000F5CAD" w:rsidP="00A310AB"/>
    <w:p w:rsidR="008F3048" w:rsidRDefault="000F5CAD" w:rsidP="00A310AB">
      <w:r>
        <w:br w:type="page"/>
      </w:r>
      <w:r w:rsidR="006651E7">
        <w:t>Listed here are s</w:t>
      </w:r>
      <w:r w:rsidR="008F3048">
        <w:t xml:space="preserve">uggested </w:t>
      </w:r>
      <w:r w:rsidR="008F3048" w:rsidRPr="00444D1F">
        <w:rPr>
          <w:b/>
        </w:rPr>
        <w:t>learning experiences</w:t>
      </w:r>
      <w:r w:rsidR="008F3048">
        <w:t xml:space="preserve"> for students be</w:t>
      </w:r>
      <w:r w:rsidR="00D43BC1">
        <w:t>fore attempting this assessment.</w:t>
      </w:r>
    </w:p>
    <w:p w:rsidR="00DB5E7B" w:rsidRDefault="007C566B" w:rsidP="0047235E">
      <w:pPr>
        <w:pStyle w:val="Bulletslevel1"/>
        <w:spacing w:after="120" w:line="240" w:lineRule="auto"/>
      </w:pPr>
      <w:r>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E7B">
        <w:rPr>
          <w:noProof/>
        </w:rPr>
        <w:t>Conduct</w:t>
      </w:r>
      <w:r w:rsidR="00A3112D" w:rsidRPr="00227E11">
        <w:t xml:space="preserve"> detailed investigation</w:t>
      </w:r>
      <w:r w:rsidR="00DB5E7B">
        <w:t>s</w:t>
      </w:r>
      <w:r w:rsidR="00A3112D" w:rsidRPr="00227E11">
        <w:t xml:space="preserve"> of technology products, focusing on design, materials and construction methods. </w:t>
      </w:r>
    </w:p>
    <w:p w:rsidR="00A3112D" w:rsidRDefault="00DB5E7B" w:rsidP="00DB5E7B">
      <w:pPr>
        <w:pStyle w:val="Bulletslevel1"/>
        <w:spacing w:after="120" w:line="240" w:lineRule="auto"/>
      </w:pPr>
      <w:r>
        <w:t>Practise using</w:t>
      </w:r>
      <w:r w:rsidR="00A3112D" w:rsidRPr="00227E11">
        <w:t xml:space="preserve"> hands-on examination of a range of objects, noting details of materials and construction techniques</w:t>
      </w:r>
      <w:r>
        <w:t>. This</w:t>
      </w:r>
      <w:r w:rsidR="00A3112D" w:rsidRPr="00227E11">
        <w:t xml:space="preserve"> will aid the design process.</w:t>
      </w:r>
    </w:p>
    <w:p w:rsidR="00187678" w:rsidRDefault="00187678" w:rsidP="00DB5E7B">
      <w:pPr>
        <w:pStyle w:val="Bulletslevel1"/>
        <w:spacing w:after="120" w:line="240" w:lineRule="auto"/>
      </w:pPr>
      <w:r>
        <w:t xml:space="preserve">Practise using </w:t>
      </w:r>
      <w:r w:rsidRPr="00227E11">
        <w:t xml:space="preserve">tools and materials, </w:t>
      </w:r>
      <w:r>
        <w:t>focusing on</w:t>
      </w:r>
      <w:r w:rsidRPr="00227E11">
        <w:t xml:space="preserve"> establishing safe working practices</w:t>
      </w:r>
      <w:r>
        <w:t>.</w:t>
      </w:r>
      <w:r w:rsidR="000F5CAD">
        <w:t xml:space="preserve"> (See Teacher resources for health and safety information sources.)</w:t>
      </w:r>
    </w:p>
    <w:p w:rsidR="00187678" w:rsidRDefault="00187678" w:rsidP="00187678">
      <w:pPr>
        <w:pStyle w:val="Bulletslevel1"/>
        <w:spacing w:after="120" w:line="240" w:lineRule="auto"/>
      </w:pPr>
      <w:r>
        <w:t>Practise</w:t>
      </w:r>
      <w:r w:rsidRPr="00227E11">
        <w:t xml:space="preserve"> using a journal to record investigations, design ideas, production processes, self-evaluation and</w:t>
      </w:r>
      <w:r>
        <w:t xml:space="preserve"> reflection.</w:t>
      </w:r>
    </w:p>
    <w:p w:rsidR="000F5CAD" w:rsidRDefault="000F5CAD" w:rsidP="000F5CAD">
      <w:pPr>
        <w:pStyle w:val="Bulletslevel1"/>
        <w:numPr>
          <w:ilvl w:val="0"/>
          <w:numId w:val="0"/>
        </w:numPr>
        <w:spacing w:after="120" w:line="240" w:lineRule="auto"/>
      </w:pPr>
    </w:p>
    <w:tbl>
      <w:tblPr>
        <w:tblW w:w="9639" w:type="dxa"/>
        <w:tblLook w:val="01E0" w:firstRow="1" w:lastRow="1" w:firstColumn="1" w:lastColumn="1" w:noHBand="0" w:noVBand="0"/>
      </w:tblPr>
      <w:tblGrid>
        <w:gridCol w:w="1008"/>
        <w:gridCol w:w="8631"/>
      </w:tblGrid>
      <w:tr w:rsidR="00C96A28" w:rsidRPr="008814B0">
        <w:trPr>
          <w:trHeight w:val="870"/>
        </w:trPr>
        <w:tc>
          <w:tcPr>
            <w:tcW w:w="523" w:type="pct"/>
          </w:tcPr>
          <w:p w:rsidR="00C96A28" w:rsidRPr="000B2F55" w:rsidRDefault="00C96A28" w:rsidP="00C96A28">
            <w:r>
              <w:br w:type="page"/>
            </w:r>
            <w:r w:rsidR="007C566B">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542290" cy="542290"/>
                  <wp:effectExtent l="0" t="0" r="0" b="0"/>
                  <wp:wrapNone/>
                  <wp:docPr id="57" name="Picture 5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96A28" w:rsidRPr="008814B0" w:rsidRDefault="00C96A28" w:rsidP="00C96A28">
            <w:pPr>
              <w:pStyle w:val="Heading2"/>
            </w:pPr>
            <w:r w:rsidRPr="00B03C83">
              <w:rPr>
                <w:noProof/>
              </w:rPr>
              <w:t>Teacher resources</w:t>
            </w:r>
          </w:p>
        </w:tc>
      </w:tr>
    </w:tbl>
    <w:p w:rsidR="00C96A28" w:rsidRPr="0047235E" w:rsidRDefault="00C96A28" w:rsidP="00C96A28">
      <w:pPr>
        <w:spacing w:after="120" w:line="240" w:lineRule="auto"/>
        <w:rPr>
          <w:b/>
        </w:rPr>
      </w:pPr>
      <w:r>
        <w:rPr>
          <w:b/>
        </w:rPr>
        <w:t>Health and</w:t>
      </w:r>
      <w:r w:rsidRPr="0047235E">
        <w:rPr>
          <w:b/>
        </w:rPr>
        <w:t xml:space="preserve"> safety</w:t>
      </w:r>
    </w:p>
    <w:p w:rsidR="00C96A28" w:rsidRPr="00CB2853" w:rsidRDefault="00C96A28" w:rsidP="00C96A28">
      <w:pPr>
        <w:pStyle w:val="Bulletslevel1"/>
      </w:pPr>
      <w:r w:rsidRPr="00CB2853">
        <w:rPr>
          <w:i/>
        </w:rPr>
        <w:t>Technology (2003) sourcebook guidelines</w:t>
      </w:r>
      <w:r>
        <w:t xml:space="preserve"> (PDF) contains </w:t>
      </w:r>
      <w:r w:rsidRPr="002E6AD6">
        <w:t>comprehensive safety guidelines</w:t>
      </w:r>
      <w:r>
        <w:t xml:space="preserve"> in </w:t>
      </w:r>
      <w:r w:rsidRPr="002E6AD6">
        <w:t>Appendix B</w:t>
      </w:r>
      <w:r>
        <w:t>. This document can be found on the Queensland Studies Authority website at: &lt;</w:t>
      </w:r>
      <w:r w:rsidRPr="00CB2853">
        <w:t>http://www.qsa.qld.edu.au/syllabus/842.html</w:t>
      </w:r>
      <w:r>
        <w:t>&gt;.</w:t>
      </w:r>
    </w:p>
    <w:p w:rsidR="00C96A28" w:rsidRPr="00DB588D" w:rsidRDefault="00C96A28" w:rsidP="00C96A28">
      <w:pPr>
        <w:pStyle w:val="Bulletslevel1"/>
      </w:pPr>
      <w:r w:rsidRPr="0072611F">
        <w:rPr>
          <w:i/>
        </w:rPr>
        <w:t>Workplace Health and Safety Act 1995</w:t>
      </w:r>
      <w:r w:rsidRPr="00DB588D">
        <w:t xml:space="preserve"> </w:t>
      </w:r>
      <w:r>
        <w:t>(PDF): &lt;</w:t>
      </w:r>
      <w:r w:rsidRPr="0072611F">
        <w:t>http://www.deir.qld.gov.au/workplace/law/index.htm</w:t>
      </w:r>
      <w:r w:rsidRPr="00DB588D">
        <w:t>&gt;</w:t>
      </w:r>
      <w:r>
        <w:t>.</w:t>
      </w:r>
    </w:p>
    <w:p w:rsidR="00C96A28" w:rsidRPr="00227E11" w:rsidRDefault="00C96A28" w:rsidP="00C96A28">
      <w:pPr>
        <w:pStyle w:val="Bulletslevel1"/>
      </w:pPr>
      <w:r>
        <w:t>“</w:t>
      </w:r>
      <w:r w:rsidRPr="00227E11">
        <w:t>Safety Identification cartoon</w:t>
      </w:r>
      <w:r>
        <w:t xml:space="preserve">”, </w:t>
      </w:r>
      <w:r w:rsidRPr="00C96A28">
        <w:rPr>
          <w:i/>
        </w:rPr>
        <w:t>Technology Activity Book 1</w:t>
      </w:r>
      <w:r w:rsidRPr="00227E11">
        <w:t xml:space="preserve">, Mazurkiewicz </w:t>
      </w:r>
      <w:r>
        <w:t xml:space="preserve">E </w:t>
      </w:r>
      <w:r w:rsidRPr="00227E11">
        <w:t xml:space="preserve">and Slynko </w:t>
      </w:r>
      <w:r>
        <w:t xml:space="preserve">B </w:t>
      </w:r>
      <w:r w:rsidRPr="00227E11">
        <w:t>19</w:t>
      </w:r>
      <w:r>
        <w:t>95</w:t>
      </w:r>
      <w:r w:rsidRPr="00227E11">
        <w:t xml:space="preserve">, </w:t>
      </w:r>
      <w:r>
        <w:t>Moreton Bay</w:t>
      </w:r>
      <w:r w:rsidRPr="00227E11">
        <w:t xml:space="preserve"> Publishing</w:t>
      </w:r>
      <w:r>
        <w:t>, Brisbane, pp 2-3.</w:t>
      </w:r>
    </w:p>
    <w:p w:rsidR="00C96A28" w:rsidRDefault="00C96A28" w:rsidP="000F5CAD">
      <w:pPr>
        <w:pStyle w:val="Bulletslevel1"/>
      </w:pPr>
      <w:r>
        <w:rPr>
          <w:i/>
        </w:rPr>
        <w:t>Introducing t</w:t>
      </w:r>
      <w:r w:rsidRPr="00A56EBD">
        <w:rPr>
          <w:i/>
        </w:rPr>
        <w:t>echnology</w:t>
      </w:r>
      <w:r w:rsidRPr="00227E11">
        <w:t xml:space="preserve">, Slynko </w:t>
      </w:r>
      <w:r>
        <w:t xml:space="preserve">B </w:t>
      </w:r>
      <w:r w:rsidRPr="00227E11">
        <w:t xml:space="preserve">1991, </w:t>
      </w:r>
      <w:r>
        <w:t>Moreton Bay</w:t>
      </w:r>
      <w:r w:rsidRPr="00227E11">
        <w:t xml:space="preserve"> Publishing</w:t>
      </w:r>
      <w:r>
        <w:t xml:space="preserve">, </w:t>
      </w:r>
      <w:smartTag w:uri="urn:schemas-microsoft-com:office:smarttags" w:element="place">
        <w:smartTag w:uri="urn:schemas-microsoft-com:office:smarttags" w:element="City">
          <w:r>
            <w:t>Brisbane</w:t>
          </w:r>
        </w:smartTag>
      </w:smartTag>
      <w:r w:rsidR="000F5CAD">
        <w:t>.</w:t>
      </w:r>
    </w:p>
    <w:p w:rsidR="00233FC0" w:rsidRDefault="000F5CAD" w:rsidP="00187678">
      <w:pPr>
        <w:pStyle w:val="Heading2"/>
        <w:spacing w:before="120"/>
      </w:pPr>
      <w:r>
        <w:br w:type="page"/>
      </w:r>
      <w:r w:rsidR="00233FC0">
        <w:t>Preparing</w:t>
      </w:r>
    </w:p>
    <w:p w:rsidR="004F20BA" w:rsidRDefault="007C566B" w:rsidP="004F20BA">
      <w:r>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6" name="Picture 56"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0BA">
        <w:t>Consider these points bef</w:t>
      </w:r>
      <w:r w:rsidR="00227363">
        <w:t>ore implementing the assessment.</w:t>
      </w:r>
    </w:p>
    <w:p w:rsidR="0047235E" w:rsidRPr="00227E11" w:rsidRDefault="005C365F" w:rsidP="0047235E">
      <w:pPr>
        <w:pStyle w:val="Bulletslevel1"/>
      </w:pPr>
      <w:r>
        <w:t>Ensure that you have ac</w:t>
      </w:r>
      <w:r w:rsidR="0047235E" w:rsidRPr="00227E11">
        <w:t>cess to appropriate materials, tools and workspaces</w:t>
      </w:r>
      <w:r>
        <w:t>.</w:t>
      </w:r>
    </w:p>
    <w:p w:rsidR="0047235E" w:rsidRPr="00227E11" w:rsidRDefault="005C365F" w:rsidP="0047235E">
      <w:pPr>
        <w:pStyle w:val="Bulletslevel1"/>
      </w:pPr>
      <w:r>
        <w:t>Ensure</w:t>
      </w:r>
      <w:r w:rsidR="0047235E" w:rsidRPr="00227E11">
        <w:t xml:space="preserve"> students </w:t>
      </w:r>
      <w:r>
        <w:t>have</w:t>
      </w:r>
      <w:r w:rsidR="0047235E" w:rsidRPr="00227E11">
        <w:t xml:space="preserve"> prior experience with tools and materials to develop the skills and knowledge </w:t>
      </w:r>
      <w:r>
        <w:t xml:space="preserve">they will need </w:t>
      </w:r>
      <w:r w:rsidR="0047235E" w:rsidRPr="00227E11">
        <w:t>to confidently complete this challenge</w:t>
      </w:r>
      <w:r>
        <w:t>.</w:t>
      </w:r>
    </w:p>
    <w:p w:rsidR="00F37447" w:rsidRDefault="00F37447" w:rsidP="00F37447">
      <w:pPr>
        <w:pStyle w:val="Bulletslevel1"/>
      </w:pPr>
      <w:r w:rsidRPr="00227E11">
        <w:t xml:space="preserve">While this assessment specifically targets Technology learning, it clearly lends itself to related activities in The Arts </w:t>
      </w:r>
      <w:r>
        <w:t>—</w:t>
      </w:r>
      <w:r w:rsidRPr="00227E11">
        <w:t xml:space="preserve"> Music (where students would compose works to play on their instruments) and Science (energy a</w:t>
      </w:r>
      <w:r>
        <w:t xml:space="preserve">spects of vibrations and sound). </w:t>
      </w:r>
      <w:r w:rsidRPr="00227E11">
        <w:t>Other potential links include SOSE (comparing music and instruments from different cultures) and Mathematics (ratios and calculations for locating harmonics and fret placement).</w:t>
      </w:r>
    </w:p>
    <w:p w:rsidR="0047235E" w:rsidRPr="00227E11" w:rsidRDefault="0047235E" w:rsidP="0047235E">
      <w:pPr>
        <w:pStyle w:val="Bulletslevel1"/>
      </w:pPr>
      <w:r w:rsidRPr="00227E11">
        <w:t xml:space="preserve">This assessment lends itself to multi-disciplinary team teaching, particularly if you are linking it to other KLAs such as SOSE, Science or The Arts. You may find it helpful to invite input from others with expertise in musical instruments, workshop skills or safe working practices. </w:t>
      </w:r>
    </w:p>
    <w:p w:rsidR="00E53F6C" w:rsidRDefault="00E53F6C" w:rsidP="0047235E">
      <w:pPr>
        <w:pStyle w:val="Heading2"/>
      </w:pPr>
      <w:r>
        <w:t>Implementation</w:t>
      </w:r>
    </w:p>
    <w:p w:rsidR="004F20BA" w:rsidRDefault="004F20BA" w:rsidP="004F20BA">
      <w:r>
        <w:t>Consider these points w</w:t>
      </w:r>
      <w:r w:rsidR="00227363">
        <w:t>hen implementing the assessment.</w:t>
      </w:r>
    </w:p>
    <w:p w:rsidR="0047235E" w:rsidRPr="00227E11" w:rsidRDefault="0047235E" w:rsidP="0047235E">
      <w:pPr>
        <w:pStyle w:val="Bulletslevel1"/>
      </w:pPr>
      <w:r w:rsidRPr="00227E11">
        <w:t xml:space="preserve">The key assessable </w:t>
      </w:r>
      <w:r w:rsidR="005C365F">
        <w:t>area</w:t>
      </w:r>
      <w:r w:rsidRPr="00227E11">
        <w:t xml:space="preserve"> is the student’s journal. Ensure students have time in each lesson to record their progress in investigating, designing, constructing and evaluating.</w:t>
      </w:r>
    </w:p>
    <w:p w:rsidR="0047235E" w:rsidRPr="00227E11" w:rsidRDefault="0047235E" w:rsidP="0047235E">
      <w:pPr>
        <w:pStyle w:val="Bulletslevel1"/>
      </w:pPr>
      <w:r w:rsidRPr="00227E11">
        <w:t xml:space="preserve">The journal may take different forms. You could: </w:t>
      </w:r>
    </w:p>
    <w:p w:rsidR="0047235E" w:rsidRPr="00227E11" w:rsidRDefault="0047235E" w:rsidP="005C365F">
      <w:pPr>
        <w:pStyle w:val="Bulletslevel2"/>
      </w:pPr>
      <w:r w:rsidRPr="00227E11">
        <w:t xml:space="preserve">print out the </w:t>
      </w:r>
      <w:r w:rsidRPr="005C365F">
        <w:rPr>
          <w:i/>
        </w:rPr>
        <w:t xml:space="preserve">Student </w:t>
      </w:r>
      <w:r w:rsidR="005C365F" w:rsidRPr="005C365F">
        <w:rPr>
          <w:i/>
        </w:rPr>
        <w:t>b</w:t>
      </w:r>
      <w:r w:rsidRPr="005C365F">
        <w:rPr>
          <w:i/>
        </w:rPr>
        <w:t>ooklet</w:t>
      </w:r>
      <w:r w:rsidRPr="00227E11">
        <w:t xml:space="preserve"> (students will probably need to insert extra pages for their notes </w:t>
      </w:r>
      <w:r w:rsidR="005C365F">
        <w:t>and</w:t>
      </w:r>
      <w:r w:rsidRPr="00227E11">
        <w:t xml:space="preserve"> drawings)</w:t>
      </w:r>
    </w:p>
    <w:p w:rsidR="0047235E" w:rsidRPr="00227E11" w:rsidRDefault="0047235E" w:rsidP="005C365F">
      <w:pPr>
        <w:pStyle w:val="Bulletslevel2"/>
      </w:pPr>
      <w:r w:rsidRPr="00227E11">
        <w:t xml:space="preserve">use electronic copies of the </w:t>
      </w:r>
      <w:r w:rsidRPr="005C365F">
        <w:rPr>
          <w:i/>
        </w:rPr>
        <w:t xml:space="preserve">Student </w:t>
      </w:r>
      <w:r w:rsidR="005C365F" w:rsidRPr="005C365F">
        <w:rPr>
          <w:i/>
        </w:rPr>
        <w:t>b</w:t>
      </w:r>
      <w:r w:rsidRPr="005C365F">
        <w:rPr>
          <w:i/>
        </w:rPr>
        <w:t>ooklet</w:t>
      </w:r>
      <w:r w:rsidRPr="00227E11">
        <w:t xml:space="preserve"> (this method makes it easier to include digital photos</w:t>
      </w:r>
      <w:r w:rsidR="005C365F">
        <w:t>, but</w:t>
      </w:r>
      <w:r w:rsidRPr="00227E11">
        <w:t xml:space="preserve"> students may need to scan in sketches)</w:t>
      </w:r>
    </w:p>
    <w:p w:rsidR="0047235E" w:rsidRPr="00227E11" w:rsidRDefault="0047235E" w:rsidP="005C365F">
      <w:pPr>
        <w:pStyle w:val="Bulletslevel2"/>
      </w:pPr>
      <w:r w:rsidRPr="00227E11">
        <w:t>have students create their own electronic journal, compiling their data in a blog or PowerPoint presentation.</w:t>
      </w:r>
    </w:p>
    <w:p w:rsidR="00233FC0" w:rsidRDefault="00187678" w:rsidP="009F1EAE">
      <w:pPr>
        <w:pStyle w:val="Heading2"/>
      </w:pPr>
      <w:r>
        <w:br w:type="page"/>
      </w:r>
      <w:r w:rsidR="00233FC0">
        <w:t>Sample implementation plan</w:t>
      </w:r>
    </w:p>
    <w:p w:rsidR="00C0583B"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4247"/>
        <w:gridCol w:w="3511"/>
        <w:gridCol w:w="7"/>
      </w:tblGrid>
      <w:tr w:rsidR="001343E6" w:rsidRPr="00227E11">
        <w:trPr>
          <w:gridAfter w:val="1"/>
          <w:wAfter w:w="7" w:type="dxa"/>
          <w:jc w:val="center"/>
        </w:trPr>
        <w:tc>
          <w:tcPr>
            <w:tcW w:w="1874" w:type="dxa"/>
            <w:shd w:val="clear" w:color="auto" w:fill="CCCCCC"/>
          </w:tcPr>
          <w:p w:rsidR="001343E6" w:rsidRPr="0047235E" w:rsidRDefault="001343E6" w:rsidP="00BD27C1">
            <w:pPr>
              <w:spacing w:after="80" w:line="240" w:lineRule="auto"/>
              <w:rPr>
                <w:b/>
              </w:rPr>
            </w:pPr>
            <w:r w:rsidRPr="0047235E">
              <w:rPr>
                <w:b/>
              </w:rPr>
              <w:t>Suggested time</w:t>
            </w:r>
          </w:p>
        </w:tc>
        <w:tc>
          <w:tcPr>
            <w:tcW w:w="4247" w:type="dxa"/>
            <w:shd w:val="clear" w:color="auto" w:fill="CCCCCC"/>
          </w:tcPr>
          <w:p w:rsidR="001343E6" w:rsidRPr="0047235E" w:rsidRDefault="001343E6" w:rsidP="00BD27C1">
            <w:pPr>
              <w:spacing w:after="80" w:line="240" w:lineRule="auto"/>
              <w:rPr>
                <w:b/>
              </w:rPr>
            </w:pPr>
            <w:r w:rsidRPr="0047235E">
              <w:rPr>
                <w:b/>
              </w:rPr>
              <w:t>Student activity</w:t>
            </w:r>
          </w:p>
        </w:tc>
        <w:tc>
          <w:tcPr>
            <w:tcW w:w="3511" w:type="dxa"/>
            <w:shd w:val="clear" w:color="auto" w:fill="CCCCCC"/>
          </w:tcPr>
          <w:p w:rsidR="001343E6" w:rsidRPr="0047235E" w:rsidRDefault="001343E6" w:rsidP="00BD27C1">
            <w:pPr>
              <w:spacing w:after="80" w:line="240" w:lineRule="auto"/>
              <w:rPr>
                <w:b/>
              </w:rPr>
            </w:pPr>
            <w:r w:rsidRPr="0047235E">
              <w:rPr>
                <w:b/>
              </w:rPr>
              <w:t>Teacher role</w:t>
            </w:r>
          </w:p>
        </w:tc>
      </w:tr>
      <w:tr w:rsidR="0047235E" w:rsidRPr="00227E11">
        <w:trPr>
          <w:jc w:val="center"/>
        </w:trPr>
        <w:tc>
          <w:tcPr>
            <w:tcW w:w="9639" w:type="dxa"/>
            <w:gridSpan w:val="4"/>
            <w:shd w:val="clear" w:color="auto" w:fill="E6E6E6"/>
          </w:tcPr>
          <w:p w:rsidR="0047235E" w:rsidRPr="0047235E" w:rsidRDefault="0047235E" w:rsidP="00BD27C1">
            <w:pPr>
              <w:spacing w:after="80" w:line="240" w:lineRule="auto"/>
              <w:rPr>
                <w:b/>
              </w:rPr>
            </w:pPr>
            <w:r w:rsidRPr="0047235E">
              <w:rPr>
                <w:b/>
              </w:rPr>
              <w:t>Section 1: Investigation</w:t>
            </w:r>
          </w:p>
        </w:tc>
      </w:tr>
      <w:tr w:rsidR="001343E6" w:rsidRPr="00227E11">
        <w:trPr>
          <w:gridAfter w:val="1"/>
          <w:wAfter w:w="7" w:type="dxa"/>
          <w:jc w:val="center"/>
        </w:trPr>
        <w:tc>
          <w:tcPr>
            <w:tcW w:w="1874" w:type="dxa"/>
          </w:tcPr>
          <w:p w:rsidR="001343E6" w:rsidRPr="00227E11" w:rsidRDefault="001343E6" w:rsidP="00BD27C1">
            <w:pPr>
              <w:spacing w:after="80" w:line="240" w:lineRule="auto"/>
            </w:pPr>
            <w:r>
              <w:t>3 hours</w:t>
            </w:r>
          </w:p>
          <w:p w:rsidR="001343E6" w:rsidRPr="00227E11" w:rsidRDefault="001343E6" w:rsidP="00BD27C1">
            <w:pPr>
              <w:spacing w:after="80" w:line="240" w:lineRule="auto"/>
            </w:pPr>
          </w:p>
        </w:tc>
        <w:tc>
          <w:tcPr>
            <w:tcW w:w="4247" w:type="dxa"/>
          </w:tcPr>
          <w:p w:rsidR="001343E6" w:rsidRPr="00227E11" w:rsidRDefault="001343E6" w:rsidP="00BD27C1">
            <w:pPr>
              <w:spacing w:after="80" w:line="240" w:lineRule="auto"/>
            </w:pPr>
            <w:r>
              <w:t>Research</w:t>
            </w:r>
            <w:r w:rsidRPr="00227E11">
              <w:t xml:space="preserve"> stringed instruments</w:t>
            </w:r>
            <w:r>
              <w:t>.</w:t>
            </w:r>
          </w:p>
          <w:p w:rsidR="001343E6" w:rsidRPr="00227E11" w:rsidRDefault="001343E6" w:rsidP="00BD27C1">
            <w:pPr>
              <w:spacing w:after="80" w:line="240" w:lineRule="auto"/>
            </w:pPr>
            <w:r w:rsidRPr="00227E11">
              <w:t>Identify design problems and look for ways they have been solved</w:t>
            </w:r>
            <w:r>
              <w:t xml:space="preserve"> (</w:t>
            </w:r>
            <w:r w:rsidRPr="00227E11">
              <w:t xml:space="preserve">e.g. </w:t>
            </w:r>
            <w:r w:rsidR="00AE3C57">
              <w:t>h</w:t>
            </w:r>
            <w:r w:rsidRPr="00227E11">
              <w:t xml:space="preserve">ow </w:t>
            </w:r>
            <w:r>
              <w:t>to</w:t>
            </w:r>
            <w:r w:rsidRPr="00227E11">
              <w:t xml:space="preserve"> attach strings</w:t>
            </w:r>
            <w:r>
              <w:t xml:space="preserve">, how to </w:t>
            </w:r>
            <w:r w:rsidRPr="00227E11">
              <w:t>change the tuning</w:t>
            </w:r>
            <w:r>
              <w:t>, how to ma</w:t>
            </w:r>
            <w:r w:rsidRPr="00227E11">
              <w:t>k</w:t>
            </w:r>
            <w:r>
              <w:t>e it louder).</w:t>
            </w:r>
          </w:p>
          <w:p w:rsidR="001343E6" w:rsidRPr="00227E11" w:rsidRDefault="001343E6" w:rsidP="00BD27C1">
            <w:pPr>
              <w:spacing w:after="80" w:line="240" w:lineRule="auto"/>
            </w:pPr>
            <w:r w:rsidRPr="00227E11">
              <w:t>Test materials and design ideas</w:t>
            </w:r>
            <w:r>
              <w:t>.</w:t>
            </w:r>
          </w:p>
          <w:p w:rsidR="001343E6" w:rsidRPr="00227E11" w:rsidRDefault="001343E6" w:rsidP="00BD27C1">
            <w:pPr>
              <w:spacing w:after="80" w:line="240" w:lineRule="auto"/>
            </w:pPr>
            <w:r>
              <w:t>Make</w:t>
            </w:r>
            <w:r w:rsidRPr="00227E11">
              <w:t xml:space="preserve"> notes of all activities in </w:t>
            </w:r>
            <w:r>
              <w:t>their</w:t>
            </w:r>
            <w:r w:rsidRPr="00227E11">
              <w:t xml:space="preserve"> journal.</w:t>
            </w:r>
          </w:p>
        </w:tc>
        <w:tc>
          <w:tcPr>
            <w:tcW w:w="3511" w:type="dxa"/>
          </w:tcPr>
          <w:p w:rsidR="001343E6" w:rsidRPr="00227E11" w:rsidRDefault="001343E6" w:rsidP="00BD27C1">
            <w:pPr>
              <w:spacing w:after="80" w:line="240" w:lineRule="auto"/>
            </w:pPr>
            <w:r w:rsidRPr="00227E11">
              <w:t>Model investigation process and use of journal for recording findings.</w:t>
            </w:r>
          </w:p>
          <w:p w:rsidR="001343E6" w:rsidRPr="00227E11" w:rsidRDefault="001343E6" w:rsidP="00BD27C1">
            <w:pPr>
              <w:spacing w:after="80" w:line="240" w:lineRule="auto"/>
            </w:pPr>
          </w:p>
        </w:tc>
      </w:tr>
      <w:tr w:rsidR="0047235E" w:rsidRPr="00227E11">
        <w:trPr>
          <w:jc w:val="center"/>
        </w:trPr>
        <w:tc>
          <w:tcPr>
            <w:tcW w:w="9639" w:type="dxa"/>
            <w:gridSpan w:val="4"/>
            <w:shd w:val="clear" w:color="auto" w:fill="E6E6E6"/>
          </w:tcPr>
          <w:p w:rsidR="0047235E" w:rsidRPr="0047235E" w:rsidRDefault="0047235E" w:rsidP="00BD27C1">
            <w:pPr>
              <w:spacing w:after="80" w:line="240" w:lineRule="auto"/>
              <w:rPr>
                <w:b/>
              </w:rPr>
            </w:pPr>
            <w:r w:rsidRPr="0047235E">
              <w:rPr>
                <w:b/>
              </w:rPr>
              <w:t>Section 2: Design</w:t>
            </w:r>
          </w:p>
        </w:tc>
      </w:tr>
      <w:tr w:rsidR="001343E6" w:rsidRPr="00227E11">
        <w:trPr>
          <w:gridAfter w:val="1"/>
          <w:wAfter w:w="7" w:type="dxa"/>
          <w:jc w:val="center"/>
        </w:trPr>
        <w:tc>
          <w:tcPr>
            <w:tcW w:w="1874" w:type="dxa"/>
            <w:tcBorders>
              <w:bottom w:val="single" w:sz="4" w:space="0" w:color="auto"/>
            </w:tcBorders>
          </w:tcPr>
          <w:p w:rsidR="001343E6" w:rsidRPr="00227E11" w:rsidRDefault="001343E6" w:rsidP="00BD27C1">
            <w:pPr>
              <w:spacing w:after="80" w:line="240" w:lineRule="auto"/>
            </w:pPr>
            <w:r w:rsidRPr="00227E11">
              <w:t>90 min</w:t>
            </w:r>
            <w:r w:rsidR="00AE3C57">
              <w:t>utes</w:t>
            </w:r>
          </w:p>
        </w:tc>
        <w:tc>
          <w:tcPr>
            <w:tcW w:w="4247" w:type="dxa"/>
            <w:tcBorders>
              <w:bottom w:val="single" w:sz="4" w:space="0" w:color="auto"/>
            </w:tcBorders>
          </w:tcPr>
          <w:p w:rsidR="001343E6" w:rsidRPr="00227E11" w:rsidRDefault="001343E6" w:rsidP="00BD27C1">
            <w:pPr>
              <w:spacing w:after="80" w:line="240" w:lineRule="auto"/>
            </w:pPr>
            <w:r w:rsidRPr="00227E11">
              <w:t xml:space="preserve">Develop and document a design </w:t>
            </w:r>
            <w:r w:rsidR="00AE3C57">
              <w:t>for their instrument, i</w:t>
            </w:r>
            <w:r w:rsidRPr="00227E11">
              <w:t>nclud</w:t>
            </w:r>
            <w:r w:rsidR="00AE3C57">
              <w:t>ing</w:t>
            </w:r>
            <w:r w:rsidRPr="00227E11">
              <w:t xml:space="preserve"> </w:t>
            </w:r>
            <w:r w:rsidR="00AE3C57" w:rsidRPr="00227E11">
              <w:t xml:space="preserve">a list of materials </w:t>
            </w:r>
            <w:r w:rsidR="00AE3C57">
              <w:t xml:space="preserve">and </w:t>
            </w:r>
            <w:r w:rsidRPr="00227E11">
              <w:t>details of important solutions.</w:t>
            </w:r>
          </w:p>
        </w:tc>
        <w:tc>
          <w:tcPr>
            <w:tcW w:w="3511" w:type="dxa"/>
            <w:tcBorders>
              <w:bottom w:val="single" w:sz="4" w:space="0" w:color="auto"/>
            </w:tcBorders>
          </w:tcPr>
          <w:p w:rsidR="001343E6" w:rsidRPr="00227E11" w:rsidRDefault="001343E6" w:rsidP="00BD27C1">
            <w:pPr>
              <w:spacing w:after="80" w:line="240" w:lineRule="auto"/>
            </w:pPr>
            <w:r w:rsidRPr="00227E11">
              <w:t xml:space="preserve">Model production of labelled design drawings. </w:t>
            </w:r>
          </w:p>
        </w:tc>
      </w:tr>
      <w:tr w:rsidR="0047235E" w:rsidRPr="00227E11">
        <w:trPr>
          <w:jc w:val="center"/>
        </w:trPr>
        <w:tc>
          <w:tcPr>
            <w:tcW w:w="9639" w:type="dxa"/>
            <w:gridSpan w:val="4"/>
            <w:shd w:val="clear" w:color="auto" w:fill="E6E6E6"/>
          </w:tcPr>
          <w:p w:rsidR="0047235E" w:rsidRPr="0047235E" w:rsidRDefault="0047235E" w:rsidP="00BD27C1">
            <w:pPr>
              <w:spacing w:after="80" w:line="240" w:lineRule="auto"/>
              <w:rPr>
                <w:b/>
              </w:rPr>
            </w:pPr>
            <w:r w:rsidRPr="0047235E">
              <w:rPr>
                <w:b/>
              </w:rPr>
              <w:t>Section 3: Production</w:t>
            </w:r>
          </w:p>
        </w:tc>
      </w:tr>
      <w:tr w:rsidR="001343E6" w:rsidRPr="00227E11">
        <w:trPr>
          <w:gridAfter w:val="1"/>
          <w:wAfter w:w="7" w:type="dxa"/>
          <w:jc w:val="center"/>
        </w:trPr>
        <w:tc>
          <w:tcPr>
            <w:tcW w:w="1874" w:type="dxa"/>
            <w:tcBorders>
              <w:bottom w:val="single" w:sz="4" w:space="0" w:color="auto"/>
            </w:tcBorders>
          </w:tcPr>
          <w:p w:rsidR="001343E6" w:rsidRPr="00227E11" w:rsidRDefault="001343E6" w:rsidP="00BD27C1">
            <w:pPr>
              <w:spacing w:after="80" w:line="240" w:lineRule="auto"/>
            </w:pPr>
            <w:r w:rsidRPr="00227E11">
              <w:t>4 hours</w:t>
            </w:r>
          </w:p>
        </w:tc>
        <w:tc>
          <w:tcPr>
            <w:tcW w:w="4247" w:type="dxa"/>
            <w:tcBorders>
              <w:bottom w:val="single" w:sz="4" w:space="0" w:color="auto"/>
            </w:tcBorders>
          </w:tcPr>
          <w:p w:rsidR="001343E6" w:rsidRPr="00227E11" w:rsidRDefault="001343E6" w:rsidP="00BD27C1">
            <w:pPr>
              <w:spacing w:after="80" w:line="240" w:lineRule="auto"/>
            </w:pPr>
            <w:r w:rsidRPr="00227E11">
              <w:t>Construct and test instrument</w:t>
            </w:r>
            <w:r w:rsidR="00AE3C57">
              <w:t>.</w:t>
            </w:r>
          </w:p>
        </w:tc>
        <w:tc>
          <w:tcPr>
            <w:tcW w:w="3511" w:type="dxa"/>
            <w:tcBorders>
              <w:bottom w:val="single" w:sz="4" w:space="0" w:color="auto"/>
            </w:tcBorders>
          </w:tcPr>
          <w:p w:rsidR="001343E6" w:rsidRDefault="00AE3C57" w:rsidP="001343E6">
            <w:pPr>
              <w:spacing w:after="80" w:line="240" w:lineRule="auto"/>
            </w:pPr>
            <w:r>
              <w:t>Revise and m</w:t>
            </w:r>
            <w:r w:rsidR="001343E6" w:rsidRPr="00227E11">
              <w:t>odel safe work practices</w:t>
            </w:r>
            <w:r>
              <w:t>.</w:t>
            </w:r>
          </w:p>
          <w:p w:rsidR="001343E6" w:rsidRPr="00227E11" w:rsidRDefault="00AE3C57" w:rsidP="00BD27C1">
            <w:pPr>
              <w:spacing w:after="80" w:line="240" w:lineRule="auto"/>
            </w:pPr>
            <w:r>
              <w:t>Organise t</w:t>
            </w:r>
            <w:r w:rsidR="001343E6">
              <w:t>ools and construction materials (see Resources for the assessment for suggestions)</w:t>
            </w:r>
            <w:r>
              <w:t>.</w:t>
            </w:r>
          </w:p>
        </w:tc>
      </w:tr>
      <w:tr w:rsidR="0047235E" w:rsidRPr="00227E11">
        <w:trPr>
          <w:jc w:val="center"/>
        </w:trPr>
        <w:tc>
          <w:tcPr>
            <w:tcW w:w="9639" w:type="dxa"/>
            <w:gridSpan w:val="4"/>
            <w:shd w:val="clear" w:color="auto" w:fill="E6E6E6"/>
          </w:tcPr>
          <w:p w:rsidR="0047235E" w:rsidRPr="0047235E" w:rsidRDefault="0047235E" w:rsidP="00BD27C1">
            <w:pPr>
              <w:spacing w:after="80" w:line="240" w:lineRule="auto"/>
              <w:rPr>
                <w:b/>
              </w:rPr>
            </w:pPr>
            <w:r w:rsidRPr="0047235E">
              <w:rPr>
                <w:b/>
              </w:rPr>
              <w:t>Section 4: Evaluation</w:t>
            </w:r>
          </w:p>
        </w:tc>
      </w:tr>
      <w:tr w:rsidR="001343E6" w:rsidRPr="00227E11">
        <w:trPr>
          <w:gridAfter w:val="1"/>
          <w:wAfter w:w="7" w:type="dxa"/>
          <w:jc w:val="center"/>
        </w:trPr>
        <w:tc>
          <w:tcPr>
            <w:tcW w:w="1874" w:type="dxa"/>
            <w:tcBorders>
              <w:bottom w:val="single" w:sz="4" w:space="0" w:color="auto"/>
            </w:tcBorders>
          </w:tcPr>
          <w:p w:rsidR="001343E6" w:rsidRPr="00227E11" w:rsidRDefault="001343E6" w:rsidP="00BD27C1">
            <w:pPr>
              <w:spacing w:after="80" w:line="240" w:lineRule="auto"/>
            </w:pPr>
            <w:r w:rsidRPr="00227E11">
              <w:t>1 hour</w:t>
            </w:r>
          </w:p>
        </w:tc>
        <w:tc>
          <w:tcPr>
            <w:tcW w:w="4247" w:type="dxa"/>
            <w:tcBorders>
              <w:bottom w:val="single" w:sz="4" w:space="0" w:color="auto"/>
            </w:tcBorders>
          </w:tcPr>
          <w:p w:rsidR="001343E6" w:rsidRPr="00227E11" w:rsidRDefault="001343E6" w:rsidP="00BD27C1">
            <w:pPr>
              <w:spacing w:after="80" w:line="240" w:lineRule="auto"/>
            </w:pPr>
            <w:r w:rsidRPr="00227E11">
              <w:t xml:space="preserve">Complete the </w:t>
            </w:r>
            <w:r w:rsidR="001A27D4">
              <w:t>E</w:t>
            </w:r>
            <w:r w:rsidRPr="00227E11">
              <w:t xml:space="preserve">valuation page in </w:t>
            </w:r>
            <w:r>
              <w:t xml:space="preserve">the </w:t>
            </w:r>
            <w:r w:rsidRPr="00D05511">
              <w:rPr>
                <w:i/>
              </w:rPr>
              <w:t>Student booklet</w:t>
            </w:r>
          </w:p>
          <w:p w:rsidR="001343E6" w:rsidRPr="00227E11" w:rsidRDefault="001343E6" w:rsidP="00BD27C1">
            <w:pPr>
              <w:spacing w:after="80" w:line="240" w:lineRule="auto"/>
            </w:pPr>
            <w:r w:rsidRPr="00227E11">
              <w:t>Present instrument to group for discussion and critique</w:t>
            </w:r>
            <w:r w:rsidR="00AE3C57">
              <w:t>.</w:t>
            </w:r>
          </w:p>
        </w:tc>
        <w:tc>
          <w:tcPr>
            <w:tcW w:w="3511" w:type="dxa"/>
            <w:tcBorders>
              <w:bottom w:val="single" w:sz="4" w:space="0" w:color="auto"/>
            </w:tcBorders>
          </w:tcPr>
          <w:p w:rsidR="001343E6" w:rsidRPr="00227E11" w:rsidRDefault="001343E6" w:rsidP="00BD27C1">
            <w:pPr>
              <w:spacing w:after="80" w:line="240" w:lineRule="auto"/>
            </w:pPr>
            <w:r w:rsidRPr="00227E11">
              <w:t>Reflect on initial criteria as basis for evaluation.</w:t>
            </w:r>
          </w:p>
          <w:p w:rsidR="001343E6" w:rsidRPr="00227E11" w:rsidRDefault="001343E6" w:rsidP="00BD27C1">
            <w:pPr>
              <w:spacing w:after="80" w:line="240" w:lineRule="auto"/>
            </w:pPr>
            <w:r w:rsidRPr="00227E11">
              <w:t>Model and facilitate peer assessment</w:t>
            </w:r>
            <w:r w:rsidR="00AE3C57">
              <w:t>.</w:t>
            </w:r>
          </w:p>
        </w:tc>
      </w:tr>
      <w:tr w:rsidR="0047235E" w:rsidRPr="00227E11">
        <w:trPr>
          <w:jc w:val="center"/>
        </w:trPr>
        <w:tc>
          <w:tcPr>
            <w:tcW w:w="9639" w:type="dxa"/>
            <w:gridSpan w:val="4"/>
            <w:shd w:val="clear" w:color="auto" w:fill="E6E6E6"/>
          </w:tcPr>
          <w:p w:rsidR="0047235E" w:rsidRPr="0047235E" w:rsidRDefault="0047235E" w:rsidP="00BD27C1">
            <w:pPr>
              <w:spacing w:after="80" w:line="240" w:lineRule="auto"/>
              <w:rPr>
                <w:b/>
              </w:rPr>
            </w:pPr>
            <w:r w:rsidRPr="0047235E">
              <w:rPr>
                <w:b/>
              </w:rPr>
              <w:t>Section 5: Reflection</w:t>
            </w:r>
          </w:p>
        </w:tc>
      </w:tr>
      <w:tr w:rsidR="001343E6" w:rsidRPr="00227E11">
        <w:trPr>
          <w:gridAfter w:val="1"/>
          <w:wAfter w:w="7" w:type="dxa"/>
          <w:jc w:val="center"/>
        </w:trPr>
        <w:tc>
          <w:tcPr>
            <w:tcW w:w="1874" w:type="dxa"/>
          </w:tcPr>
          <w:p w:rsidR="001343E6" w:rsidRPr="00227E11" w:rsidRDefault="001343E6" w:rsidP="00BD27C1">
            <w:pPr>
              <w:spacing w:after="80" w:line="240" w:lineRule="auto"/>
            </w:pPr>
            <w:r w:rsidRPr="00227E11">
              <w:t>30 min</w:t>
            </w:r>
            <w:r w:rsidR="00AE3C57">
              <w:t>utes</w:t>
            </w:r>
          </w:p>
        </w:tc>
        <w:tc>
          <w:tcPr>
            <w:tcW w:w="4247" w:type="dxa"/>
          </w:tcPr>
          <w:p w:rsidR="001343E6" w:rsidRPr="00227E11" w:rsidRDefault="001343E6" w:rsidP="00BD27C1">
            <w:pPr>
              <w:spacing w:after="80" w:line="240" w:lineRule="auto"/>
            </w:pPr>
            <w:r>
              <w:t xml:space="preserve">Complete the </w:t>
            </w:r>
            <w:r w:rsidR="001A27D4">
              <w:t>R</w:t>
            </w:r>
            <w:r>
              <w:t xml:space="preserve">eflection section of the </w:t>
            </w:r>
            <w:r w:rsidRPr="00D05511">
              <w:rPr>
                <w:i/>
              </w:rPr>
              <w:t>Student booklet</w:t>
            </w:r>
            <w:r>
              <w:t>.</w:t>
            </w:r>
          </w:p>
        </w:tc>
        <w:tc>
          <w:tcPr>
            <w:tcW w:w="3511" w:type="dxa"/>
          </w:tcPr>
          <w:p w:rsidR="001343E6" w:rsidRPr="00227E11" w:rsidRDefault="001343E6" w:rsidP="00BD27C1">
            <w:pPr>
              <w:spacing w:after="80" w:line="240" w:lineRule="auto"/>
            </w:pPr>
          </w:p>
        </w:tc>
      </w:tr>
    </w:tbl>
    <w:p w:rsidR="0047235E" w:rsidRDefault="0047235E" w:rsidP="00054D9B">
      <w:pPr>
        <w:pStyle w:val="tablesml"/>
        <w:spacing w:before="0" w:after="0" w:line="240" w:lineRule="auto"/>
      </w:pP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D05511">
            <w:pPr>
              <w:pageBreakBefore/>
              <w:spacing w:before="0" w:after="0" w:line="240" w:lineRule="auto"/>
            </w:pPr>
            <w:r>
              <w:br w:type="page"/>
            </w:r>
            <w:r w:rsidR="007C566B">
              <w:rPr>
                <w:noProof/>
              </w:rPr>
              <w:drawing>
                <wp:inline distT="0" distB="0" distL="0" distR="0">
                  <wp:extent cx="544195" cy="544195"/>
                  <wp:effectExtent l="0" t="0" r="825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D43BC1" w:rsidRPr="00D43BC1" w:rsidRDefault="000B7AA0" w:rsidP="00D43BC1">
      <w:r>
        <w:t>Appendix A</w:t>
      </w:r>
      <w:r>
        <w:tab/>
      </w:r>
      <w:r>
        <w:tab/>
      </w:r>
      <w:r w:rsidR="0047235E" w:rsidRPr="00227E11">
        <w:t>Stringed instrument analysis</w:t>
      </w:r>
    </w:p>
    <w:p w:rsidR="00E474ED" w:rsidRDefault="00E474ED" w:rsidP="00E474ED">
      <w:pPr>
        <w:spacing w:after="120" w:line="240" w:lineRule="auto"/>
      </w:pPr>
    </w:p>
    <w:p w:rsidR="00E474ED" w:rsidRPr="00227E11" w:rsidRDefault="00E474ED" w:rsidP="00E474ED">
      <w:pPr>
        <w:spacing w:after="120" w:line="240" w:lineRule="auto"/>
      </w:pPr>
      <w:r w:rsidRPr="00227E11">
        <w:t>The</w:t>
      </w:r>
      <w:r>
        <w:t xml:space="preserve"> following resources </w:t>
      </w:r>
      <w:r w:rsidRPr="00227E11">
        <w:t>provide a starting point for exploring a diverse range of instruments</w:t>
      </w:r>
      <w:r>
        <w:t>;</w:t>
      </w:r>
      <w:r w:rsidRPr="00227E11">
        <w:t xml:space="preserve"> however examination of real instruments will be much more helpful.</w:t>
      </w:r>
    </w:p>
    <w:p w:rsidR="00E474ED" w:rsidRDefault="00E474ED" w:rsidP="00E474ED">
      <w:pPr>
        <w:spacing w:after="120" w:line="240" w:lineRule="auto"/>
        <w:rPr>
          <w:b/>
        </w:rPr>
      </w:pPr>
      <w:r w:rsidRPr="0047235E">
        <w:rPr>
          <w:b/>
        </w:rPr>
        <w:t>Websites:</w:t>
      </w:r>
    </w:p>
    <w:p w:rsidR="00E474ED" w:rsidRPr="0083412C" w:rsidRDefault="00E474ED" w:rsidP="00E474ED">
      <w:pPr>
        <w:pStyle w:val="Bulletslevel1"/>
      </w:pPr>
      <w:smartTag w:uri="urn:schemas-microsoft-com:office:smarttags" w:element="place">
        <w:smartTag w:uri="urn:schemas-microsoft-com:office:smarttags" w:element="PlaceName">
          <w:r w:rsidRPr="00227E11">
            <w:t>Queensland</w:t>
          </w:r>
        </w:smartTag>
        <w:r w:rsidRPr="00227E11">
          <w:t xml:space="preserve"> </w:t>
        </w:r>
        <w:smartTag w:uri="urn:schemas-microsoft-com:office:smarttags" w:element="PlaceType">
          <w:r w:rsidRPr="00227E11">
            <w:t>Museum</w:t>
          </w:r>
        </w:smartTag>
      </w:smartTag>
      <w:r w:rsidRPr="00227E11">
        <w:t xml:space="preserve">: </w:t>
      </w:r>
      <w:r>
        <w:t>&lt;</w:t>
      </w:r>
      <w:r w:rsidRPr="00AF02C3">
        <w:t>www.mms.qld.edu.au/musical-</w:t>
      </w:r>
      <w:r>
        <w:t>instruments/index.htm&gt;.</w:t>
      </w:r>
    </w:p>
    <w:p w:rsidR="00E474ED" w:rsidRPr="0047235E" w:rsidRDefault="00E474ED" w:rsidP="00E474ED">
      <w:pPr>
        <w:pStyle w:val="Bulletslevel1"/>
      </w:pPr>
      <w:r>
        <w:t>Oddmusic: &lt;www.oddmusic.com&gt;.</w:t>
      </w:r>
    </w:p>
    <w:p w:rsidR="00E474ED" w:rsidRDefault="00E474ED" w:rsidP="00E474ED">
      <w:pPr>
        <w:pStyle w:val="Bulletslevel1"/>
      </w:pPr>
      <w:r>
        <w:t>Science of sound: Hands on</w:t>
      </w:r>
      <w:r w:rsidRPr="0047235E">
        <w:t xml:space="preserve"> activities: &lt;www.smm.org/sound/activity/handson.htm&gt;</w:t>
      </w:r>
      <w:r>
        <w:t>.</w:t>
      </w:r>
    </w:p>
    <w:p w:rsidR="00E474ED" w:rsidRPr="0047235E" w:rsidRDefault="00E474ED" w:rsidP="00E474ED">
      <w:pPr>
        <w:pStyle w:val="Bulletslevel1"/>
      </w:pPr>
      <w:smartTag w:uri="urn:schemas-microsoft-com:office:smarttags" w:element="place">
        <w:smartTag w:uri="urn:schemas-microsoft-com:office:smarttags" w:element="PlaceName">
          <w:r w:rsidRPr="000F5CAD">
            <w:rPr>
              <w:bCs/>
            </w:rPr>
            <w:t>Indiana</w:t>
          </w:r>
        </w:smartTag>
        <w:r w:rsidRPr="000F5CAD">
          <w:rPr>
            <w:bCs/>
          </w:rPr>
          <w:t xml:space="preserve"> </w:t>
        </w:r>
        <w:smartTag w:uri="urn:schemas-microsoft-com:office:smarttags" w:element="PlaceType">
          <w:r w:rsidRPr="000F5CAD">
            <w:rPr>
              <w:bCs/>
            </w:rPr>
            <w:t>University</w:t>
          </w:r>
        </w:smartTag>
        <w:r w:rsidRPr="000F5CAD">
          <w:rPr>
            <w:bCs/>
          </w:rPr>
          <w:t xml:space="preserve"> </w:t>
        </w:r>
        <w:smartTag w:uri="urn:schemas-microsoft-com:office:smarttags" w:element="PlaceType">
          <w:r w:rsidRPr="000F5CAD">
            <w:rPr>
              <w:bCs/>
            </w:rPr>
            <w:t>School</w:t>
          </w:r>
        </w:smartTag>
      </w:smartTag>
      <w:r w:rsidRPr="000F5CAD">
        <w:rPr>
          <w:bCs/>
        </w:rPr>
        <w:t xml:space="preserve"> of Music:</w:t>
      </w:r>
      <w:r>
        <w:rPr>
          <w:b/>
          <w:bCs/>
        </w:rPr>
        <w:t xml:space="preserve"> </w:t>
      </w:r>
      <w:r w:rsidRPr="0047235E">
        <w:t>&lt;http://library.music.indiana.edu/music_resources/instr.html&gt;</w:t>
      </w:r>
      <w:r>
        <w:t>.</w:t>
      </w:r>
    </w:p>
    <w:p w:rsidR="00E474ED" w:rsidRPr="0047235E" w:rsidRDefault="00E474ED" w:rsidP="00E474ED">
      <w:pPr>
        <w:spacing w:after="120" w:line="240" w:lineRule="auto"/>
        <w:rPr>
          <w:b/>
        </w:rPr>
      </w:pPr>
      <w:r w:rsidRPr="0047235E">
        <w:rPr>
          <w:b/>
        </w:rPr>
        <w:t>Books:</w:t>
      </w:r>
    </w:p>
    <w:p w:rsidR="00E474ED" w:rsidRDefault="00E474ED" w:rsidP="00E474ED">
      <w:pPr>
        <w:pStyle w:val="Bulletslevel1"/>
      </w:pPr>
      <w:r w:rsidRPr="00A56EBD">
        <w:rPr>
          <w:i/>
        </w:rPr>
        <w:t>Making musical instruments from junk</w:t>
      </w:r>
      <w:r>
        <w:t xml:space="preserve">, Penny, N 2005, A &amp; C Black Publishers Ltd, </w:t>
      </w:r>
      <w:smartTag w:uri="urn:schemas-microsoft-com:office:smarttags" w:element="City">
        <w:smartTag w:uri="urn:schemas-microsoft-com:office:smarttags" w:element="place">
          <w:r>
            <w:t>London</w:t>
          </w:r>
        </w:smartTag>
      </w:smartTag>
      <w:r>
        <w:t>.</w:t>
      </w:r>
    </w:p>
    <w:p w:rsidR="00E474ED" w:rsidRDefault="00E474ED" w:rsidP="00E474ED">
      <w:pPr>
        <w:pStyle w:val="Bulletslevel1"/>
      </w:pPr>
      <w:r w:rsidRPr="00A56EBD">
        <w:rPr>
          <w:i/>
        </w:rPr>
        <w:t>Musical instruments</w:t>
      </w:r>
      <w:r>
        <w:t xml:space="preserve">, Gogerly, L 2004, Hodder Children’s Books, </w:t>
      </w:r>
      <w:smartTag w:uri="urn:schemas-microsoft-com:office:smarttags" w:element="City">
        <w:smartTag w:uri="urn:schemas-microsoft-com:office:smarttags" w:element="place">
          <w:r>
            <w:t>London</w:t>
          </w:r>
        </w:smartTag>
      </w:smartTag>
      <w:r>
        <w:t>.</w:t>
      </w:r>
    </w:p>
    <w:p w:rsidR="00E474ED" w:rsidRDefault="007C566B" w:rsidP="00E474ED">
      <w:pPr>
        <w:pStyle w:val="Bulletslevel1"/>
      </w:pPr>
      <w:r>
        <w:rPr>
          <w:noProof/>
        </w:rPr>
        <w:drawing>
          <wp:inline distT="0" distB="0" distL="0" distR="0">
            <wp:extent cx="11430" cy="11430"/>
            <wp:effectExtent l="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E474ED" w:rsidRPr="00A56EBD">
        <w:rPr>
          <w:i/>
        </w:rPr>
        <w:t>Making gourd musical instruments: Over 60 string, wind &amp; percussion instruments &amp; how to play them</w:t>
      </w:r>
      <w:r w:rsidR="00E474ED">
        <w:t xml:space="preserve">, </w:t>
      </w:r>
      <w:smartTag w:uri="urn:schemas-microsoft-com:office:smarttags" w:element="City">
        <w:r w:rsidR="00E474ED">
          <w:t>Summit</w:t>
        </w:r>
      </w:smartTag>
      <w:r w:rsidR="00E474ED">
        <w:t xml:space="preserve">, G &amp; Widess, J 2007, </w:t>
      </w:r>
      <w:smartTag w:uri="urn:schemas-microsoft-com:office:smarttags" w:element="place">
        <w:smartTag w:uri="urn:schemas-microsoft-com:office:smarttags" w:element="City">
          <w:r w:rsidR="00E474ED">
            <w:t>Sterling</w:t>
          </w:r>
        </w:smartTag>
        <w:r w:rsidR="00E474ED">
          <w:t xml:space="preserve">, </w:t>
        </w:r>
        <w:smartTag w:uri="urn:schemas-microsoft-com:office:smarttags" w:element="State">
          <w:r w:rsidR="00E474ED">
            <w:t>New York</w:t>
          </w:r>
        </w:smartTag>
      </w:smartTag>
      <w:r w:rsidR="00E474ED">
        <w:t>.</w:t>
      </w:r>
    </w:p>
    <w:p w:rsidR="00E474ED" w:rsidRPr="00227E11" w:rsidRDefault="007C566B" w:rsidP="00E474ED">
      <w:pPr>
        <w:pStyle w:val="Bulletslevel1"/>
      </w:pPr>
      <w:r>
        <w:rPr>
          <w:noProof/>
        </w:rPr>
        <w:drawing>
          <wp:inline distT="0" distB="0" distL="0" distR="0">
            <wp:extent cx="11430" cy="11430"/>
            <wp:effectExtent l="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E474ED" w:rsidRPr="00A56EBD">
        <w:rPr>
          <w:i/>
        </w:rPr>
        <w:t>Making music</w:t>
      </w:r>
      <w:r w:rsidR="00E474ED">
        <w:t xml:space="preserve">, </w:t>
      </w:r>
      <w:smartTag w:uri="urn:schemas-microsoft-com:office:smarttags" w:element="City">
        <w:r w:rsidR="00E474ED">
          <w:t>Wiseman</w:t>
        </w:r>
      </w:smartTag>
      <w:r w:rsidR="00E474ED">
        <w:t xml:space="preserve">, </w:t>
      </w:r>
      <w:smartTag w:uri="urn:schemas-microsoft-com:office:smarttags" w:element="State">
        <w:r w:rsidR="00E474ED">
          <w:t>AS</w:t>
        </w:r>
      </w:smartTag>
      <w:r w:rsidR="00E474ED">
        <w:t xml:space="preserve"> and Langstaff, J 2003 Storey Kids, </w:t>
      </w:r>
      <w:smartTag w:uri="urn:schemas-microsoft-com:office:smarttags" w:element="City">
        <w:smartTag w:uri="urn:schemas-microsoft-com:office:smarttags" w:element="place">
          <w:r w:rsidR="00E474ED">
            <w:t>North Adams</w:t>
          </w:r>
        </w:smartTag>
      </w:smartTag>
      <w:r w:rsidR="00E474ED">
        <w:t>.</w:t>
      </w:r>
    </w:p>
    <w:p w:rsidR="00E474ED" w:rsidRDefault="00E474ED" w:rsidP="0083412C">
      <w:pPr>
        <w:spacing w:after="120" w:line="240" w:lineRule="auto"/>
        <w:rPr>
          <w:b/>
        </w:rPr>
      </w:pPr>
    </w:p>
    <w:p w:rsidR="0083412C" w:rsidRPr="0047235E" w:rsidRDefault="0083412C" w:rsidP="0083412C">
      <w:pPr>
        <w:spacing w:after="120" w:line="240" w:lineRule="auto"/>
        <w:rPr>
          <w:b/>
        </w:rPr>
      </w:pPr>
      <w:r w:rsidRPr="0047235E">
        <w:rPr>
          <w:b/>
        </w:rPr>
        <w:t xml:space="preserve">Suggested </w:t>
      </w:r>
      <w:r>
        <w:rPr>
          <w:b/>
        </w:rPr>
        <w:t>tools</w:t>
      </w:r>
      <w:r w:rsidRPr="0047235E">
        <w:rPr>
          <w:b/>
        </w:rPr>
        <w:t xml:space="preserve"> </w:t>
      </w:r>
    </w:p>
    <w:p w:rsidR="0083412C" w:rsidRPr="00227E11" w:rsidRDefault="0083412C" w:rsidP="0083412C">
      <w:pPr>
        <w:pStyle w:val="Bulletslevel1"/>
      </w:pPr>
      <w:r w:rsidRPr="00227E11">
        <w:t>Handsaws</w:t>
      </w:r>
      <w:r>
        <w:t xml:space="preserve">, </w:t>
      </w:r>
      <w:r w:rsidRPr="00227E11">
        <w:t>hacksaws</w:t>
      </w:r>
      <w:r>
        <w:t xml:space="preserve">, </w:t>
      </w:r>
      <w:r w:rsidRPr="00227E11">
        <w:t>scissors</w:t>
      </w:r>
      <w:r>
        <w:t>,</w:t>
      </w:r>
      <w:r w:rsidRPr="00227E11">
        <w:t xml:space="preserve"> trimming knives</w:t>
      </w:r>
      <w:r>
        <w:t xml:space="preserve"> </w:t>
      </w:r>
    </w:p>
    <w:p w:rsidR="0083412C" w:rsidRPr="00227E11" w:rsidRDefault="0083412C" w:rsidP="0083412C">
      <w:pPr>
        <w:pStyle w:val="Bulletslevel1"/>
      </w:pPr>
      <w:r w:rsidRPr="00227E11">
        <w:t>Hand and/or electric drills</w:t>
      </w:r>
    </w:p>
    <w:p w:rsidR="0083412C" w:rsidRPr="00227E11" w:rsidRDefault="0083412C" w:rsidP="0083412C">
      <w:pPr>
        <w:pStyle w:val="Bulletslevel1"/>
      </w:pPr>
      <w:r w:rsidRPr="00227E11">
        <w:t>Files</w:t>
      </w:r>
      <w:r>
        <w:t xml:space="preserve">, </w:t>
      </w:r>
      <w:r w:rsidRPr="00227E11">
        <w:t>rasps</w:t>
      </w:r>
      <w:r>
        <w:t>, s</w:t>
      </w:r>
      <w:r w:rsidRPr="00227E11">
        <w:t>andpaper and sanding blocks</w:t>
      </w:r>
    </w:p>
    <w:p w:rsidR="0083412C" w:rsidRPr="00227E11" w:rsidRDefault="0083412C" w:rsidP="0083412C">
      <w:pPr>
        <w:pStyle w:val="Bulletslevel1"/>
      </w:pPr>
      <w:r w:rsidRPr="00227E11">
        <w:t>Bench vices and clamps</w:t>
      </w:r>
    </w:p>
    <w:p w:rsidR="0083412C" w:rsidRPr="00227E11" w:rsidRDefault="0083412C" w:rsidP="0083412C">
      <w:pPr>
        <w:pStyle w:val="Bulletslevel1"/>
      </w:pPr>
      <w:r w:rsidRPr="00227E11">
        <w:t>Screwdrivers</w:t>
      </w:r>
    </w:p>
    <w:p w:rsidR="0083412C" w:rsidRPr="00227E11" w:rsidRDefault="0083412C" w:rsidP="0083412C">
      <w:pPr>
        <w:pStyle w:val="Bulletslevel1"/>
      </w:pPr>
      <w:r w:rsidRPr="00227E11">
        <w:t>Hammers</w:t>
      </w:r>
    </w:p>
    <w:p w:rsidR="0083412C" w:rsidRPr="0047235E" w:rsidRDefault="0083412C" w:rsidP="0083412C">
      <w:pPr>
        <w:spacing w:after="120" w:line="240" w:lineRule="auto"/>
        <w:rPr>
          <w:b/>
        </w:rPr>
      </w:pPr>
      <w:r w:rsidRPr="0047235E">
        <w:rPr>
          <w:b/>
        </w:rPr>
        <w:t>Suggested</w:t>
      </w:r>
      <w:r>
        <w:rPr>
          <w:b/>
        </w:rPr>
        <w:t xml:space="preserve"> construction</w:t>
      </w:r>
      <w:r w:rsidRPr="0047235E">
        <w:rPr>
          <w:b/>
        </w:rPr>
        <w:t xml:space="preserve"> </w:t>
      </w:r>
      <w:r>
        <w:rPr>
          <w:b/>
        </w:rPr>
        <w:t>materials</w:t>
      </w:r>
    </w:p>
    <w:p w:rsidR="0083412C" w:rsidRPr="00227E11" w:rsidRDefault="0083412C" w:rsidP="0083412C">
      <w:pPr>
        <w:pStyle w:val="Bulletslevel1"/>
      </w:pPr>
      <w:r>
        <w:t>Wood — v</w:t>
      </w:r>
      <w:r w:rsidRPr="00227E11">
        <w:t xml:space="preserve">arious shapes and sizes including ply </w:t>
      </w:r>
      <w:r>
        <w:t>and</w:t>
      </w:r>
      <w:r w:rsidRPr="00227E11">
        <w:t xml:space="preserve"> dowel</w:t>
      </w:r>
    </w:p>
    <w:p w:rsidR="0083412C" w:rsidRPr="00227E11" w:rsidRDefault="0083412C" w:rsidP="0083412C">
      <w:pPr>
        <w:pStyle w:val="Bulletslevel1"/>
      </w:pPr>
      <w:r w:rsidRPr="00227E11">
        <w:t>Plastics</w:t>
      </w:r>
      <w:r>
        <w:t xml:space="preserve"> —</w:t>
      </w:r>
      <w:r w:rsidRPr="00227E11">
        <w:t xml:space="preserve"> acrylic sheet, various diameter PVC pipes, recycled containers </w:t>
      </w:r>
    </w:p>
    <w:p w:rsidR="0083412C" w:rsidRPr="00227E11" w:rsidRDefault="0083412C" w:rsidP="0083412C">
      <w:pPr>
        <w:pStyle w:val="Bulletslevel1"/>
      </w:pPr>
      <w:r>
        <w:t>S</w:t>
      </w:r>
      <w:r w:rsidRPr="00227E11">
        <w:t>tring</w:t>
      </w:r>
      <w:r>
        <w:t xml:space="preserve"> materials —</w:t>
      </w:r>
      <w:r w:rsidRPr="00227E11">
        <w:t xml:space="preserve"> wire, twine, cord, solid nylon (</w:t>
      </w:r>
      <w:r>
        <w:t xml:space="preserve">e.g. </w:t>
      </w:r>
      <w:r w:rsidRPr="00227E11">
        <w:t>heavy fishing line</w:t>
      </w:r>
      <w:r w:rsidR="00E474ED">
        <w:t>, “</w:t>
      </w:r>
      <w:r w:rsidR="00841E68">
        <w:t>weed-eate</w:t>
      </w:r>
      <w:r w:rsidR="00E474ED">
        <w:t>r”</w:t>
      </w:r>
      <w:r w:rsidR="00841E68">
        <w:t xml:space="preserve"> </w:t>
      </w:r>
      <w:r w:rsidR="00E474ED">
        <w:t>line</w:t>
      </w:r>
      <w:r w:rsidRPr="00227E11">
        <w:t>)</w:t>
      </w:r>
    </w:p>
    <w:p w:rsidR="0083412C" w:rsidRDefault="0083412C" w:rsidP="0083412C">
      <w:pPr>
        <w:pStyle w:val="Bulletslevel1"/>
      </w:pPr>
      <w:r w:rsidRPr="00227E11">
        <w:t xml:space="preserve">Fasteners </w:t>
      </w:r>
      <w:r>
        <w:t>—</w:t>
      </w:r>
      <w:r w:rsidRPr="00227E11">
        <w:t xml:space="preserve"> screws, nail</w:t>
      </w:r>
      <w:r>
        <w:t>s, bolts, glues, staples</w:t>
      </w:r>
    </w:p>
    <w:p w:rsidR="0083412C" w:rsidRDefault="0083412C" w:rsidP="0083412C">
      <w:pPr>
        <w:pStyle w:val="Bulletslevel1"/>
      </w:pPr>
      <w:r w:rsidRPr="00227E11">
        <w:t xml:space="preserve">Any other recycled materials that may be useful </w:t>
      </w:r>
      <w:r>
        <w:t>(</w:t>
      </w:r>
      <w:r w:rsidRPr="00227E11">
        <w:t>e.g. tins, leather off-cuts, miscellaneous hardware including hinges, catches, knobs etc</w:t>
      </w:r>
      <w:r>
        <w:t>.)</w:t>
      </w:r>
    </w:p>
    <w:p w:rsidR="000F5CAD" w:rsidRDefault="000F5CAD" w:rsidP="000F5CAD">
      <w:pPr>
        <w:pStyle w:val="Bulletslevel1"/>
        <w:numPr>
          <w:ilvl w:val="0"/>
          <w:numId w:val="0"/>
        </w:numPr>
        <w:spacing w:before="0" w:after="0" w:line="200" w:lineRule="atLeast"/>
      </w:pPr>
    </w:p>
    <w:p w:rsidR="00FA5455" w:rsidRDefault="00943DC9" w:rsidP="00277FB3">
      <w:r>
        <w:br w:type="page"/>
      </w:r>
      <w:r w:rsidR="007C566B">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32395F">
      <w:pPr>
        <w:spacing w:line="240" w:lineRule="auto"/>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32395F">
      <w:pPr>
        <w:pStyle w:val="Bulletslevel1"/>
        <w:spacing w:line="240" w:lineRule="auto"/>
        <w:rPr>
          <w:i/>
        </w:rPr>
      </w:pPr>
      <w:r w:rsidRPr="005571B4">
        <w:rPr>
          <w:i/>
        </w:rPr>
        <w:t>Guide to making judgments</w:t>
      </w:r>
    </w:p>
    <w:p w:rsidR="00FA5455" w:rsidRPr="005571B4" w:rsidRDefault="00FA5455" w:rsidP="0032395F">
      <w:pPr>
        <w:pStyle w:val="Bulletslevel1"/>
        <w:spacing w:line="240" w:lineRule="auto"/>
        <w:rPr>
          <w:i/>
        </w:rPr>
      </w:pPr>
      <w:r w:rsidRPr="005571B4">
        <w:rPr>
          <w:i/>
        </w:rPr>
        <w:t>Indicative A response</w:t>
      </w:r>
    </w:p>
    <w:p w:rsidR="00FA5455" w:rsidRPr="005571B4" w:rsidRDefault="00FA5455" w:rsidP="0032395F">
      <w:pPr>
        <w:pStyle w:val="Bulletslevel1"/>
        <w:spacing w:line="240" w:lineRule="auto"/>
        <w:rPr>
          <w:i/>
        </w:rPr>
      </w:pPr>
      <w:r w:rsidRPr="005571B4">
        <w:rPr>
          <w:i/>
        </w:rPr>
        <w:t xml:space="preserve">Sample responses </w:t>
      </w:r>
      <w:r w:rsidRPr="009F1EAE">
        <w:t>(where available).</w:t>
      </w:r>
    </w:p>
    <w:p w:rsidR="005110F5" w:rsidRPr="005110F5" w:rsidRDefault="005110F5" w:rsidP="0032395F">
      <w:pPr>
        <w:pStyle w:val="Heading3"/>
      </w:pPr>
      <w:r w:rsidRPr="005110F5">
        <w:t>Making judgments about this assessment</w:t>
      </w:r>
    </w:p>
    <w:p w:rsidR="0032395F" w:rsidRPr="00227E11" w:rsidRDefault="0032395F" w:rsidP="0032395F">
      <w:pPr>
        <w:spacing w:line="240" w:lineRule="auto"/>
      </w:pPr>
      <w:r w:rsidRPr="00227E11">
        <w:t>Note that the assessment should focus on the process the student negotiates rather than the finished product</w:t>
      </w:r>
      <w:r w:rsidR="00F37447">
        <w:t xml:space="preserve">. For this reason, </w:t>
      </w:r>
      <w:r w:rsidRPr="00227E11">
        <w:t xml:space="preserve">the journal is the key source of evidence rather than the student’s instrument. It is possible for a student to demonstrate high levels of knowledge, understanding and working without actually completing a successful instrument. Conversely, it is possible to produce a successful instrument without demonstrating </w:t>
      </w:r>
      <w:r w:rsidR="00F37447">
        <w:t xml:space="preserve">the </w:t>
      </w:r>
      <w:r w:rsidRPr="00227E11">
        <w:t>significant elements of the process.</w:t>
      </w:r>
    </w:p>
    <w:tbl>
      <w:tblPr>
        <w:tblW w:w="9639" w:type="dxa"/>
        <w:tblLook w:val="01E0" w:firstRow="1" w:lastRow="1" w:firstColumn="1" w:lastColumn="1" w:noHBand="0" w:noVBand="0"/>
      </w:tblPr>
      <w:tblGrid>
        <w:gridCol w:w="1073"/>
        <w:gridCol w:w="8566"/>
      </w:tblGrid>
      <w:tr w:rsidR="00FA5455" w:rsidRPr="008814B0">
        <w:trPr>
          <w:trHeight w:val="870"/>
        </w:trPr>
        <w:tc>
          <w:tcPr>
            <w:tcW w:w="556" w:type="pct"/>
            <w:vAlign w:val="bottom"/>
          </w:tcPr>
          <w:p w:rsidR="00FA5455" w:rsidRPr="000B2F55" w:rsidRDefault="007C566B" w:rsidP="0032395F">
            <w:pPr>
              <w:spacing w:before="0" w:after="0" w:line="240" w:lineRule="auto"/>
            </w:pPr>
            <w:r>
              <w:rPr>
                <w:noProof/>
              </w:rPr>
              <w:drawing>
                <wp:inline distT="0" distB="0" distL="0" distR="0">
                  <wp:extent cx="544195" cy="544195"/>
                  <wp:effectExtent l="0" t="0" r="0" b="825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4" w:type="pct"/>
            <w:vAlign w:val="center"/>
          </w:tcPr>
          <w:p w:rsidR="00FA5455" w:rsidRPr="008814B0" w:rsidRDefault="00FA5455" w:rsidP="0032395F">
            <w:pPr>
              <w:spacing w:line="240" w:lineRule="auto"/>
            </w:pPr>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7C566B" w:rsidP="0032395F">
      <w:pPr>
        <w:spacing w:line="240" w:lineRule="auto"/>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32395F">
      <w:pPr>
        <w:spacing w:line="240" w:lineRule="auto"/>
      </w:pPr>
      <w:r>
        <w:t>Involve students in the feedback process. Give students opportunities to ask follow-up questions and share their learning observations or experiences</w:t>
      </w:r>
      <w:r w:rsidR="00B25C0D">
        <w:t>.</w:t>
      </w:r>
    </w:p>
    <w:p w:rsidR="006774B8" w:rsidRPr="0032395F" w:rsidRDefault="00FA5455" w:rsidP="0032395F">
      <w:pPr>
        <w:spacing w:line="240" w:lineRule="auto"/>
      </w:pPr>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3"/>
        <w:gridCol w:w="8566"/>
      </w:tblGrid>
      <w:tr w:rsidR="006774B8" w:rsidRPr="008814B0">
        <w:tc>
          <w:tcPr>
            <w:tcW w:w="500" w:type="pct"/>
            <w:shd w:val="clear" w:color="auto" w:fill="auto"/>
          </w:tcPr>
          <w:p w:rsidR="006774B8" w:rsidRPr="000B2F55" w:rsidRDefault="007C566B" w:rsidP="002C1E49">
            <w:pPr>
              <w:spacing w:before="0" w:after="0" w:line="240" w:lineRule="auto"/>
            </w:pPr>
            <w:r>
              <w:rPr>
                <w:noProof/>
              </w:rPr>
              <w:drawing>
                <wp:inline distT="0" distB="0" distL="0" distR="0">
                  <wp:extent cx="544195" cy="544195"/>
                  <wp:effectExtent l="0" t="0" r="0" b="8255"/>
                  <wp:docPr id="6" name="Picture 6"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510" w:gutter="0"/>
          <w:cols w:space="708"/>
          <w:titlePg/>
          <w:docGrid w:linePitch="360"/>
        </w:sectPr>
      </w:pPr>
    </w:p>
    <w:p w:rsidR="0032395F" w:rsidRPr="00227E11" w:rsidRDefault="0032395F" w:rsidP="00373428">
      <w:pPr>
        <w:pStyle w:val="Heading2TOP"/>
      </w:pPr>
      <w:r w:rsidRPr="00227E11">
        <w:t>Stringed instrument analysis</w:t>
      </w:r>
    </w:p>
    <w:p w:rsidR="0032395F" w:rsidRPr="00227E11" w:rsidRDefault="0032395F" w:rsidP="00373428">
      <w:pPr>
        <w:spacing w:after="80" w:line="240" w:lineRule="auto"/>
      </w:pPr>
      <w:r w:rsidRPr="00227E11">
        <w:t>This sheet will help you look closely at the design of instruments. If you can’t find real ones to analyse, use books or websites</w:t>
      </w:r>
      <w:r w:rsidR="006A0EDB">
        <w:t>.</w:t>
      </w:r>
    </w:p>
    <w:p w:rsidR="00373428" w:rsidRDefault="00373428" w:rsidP="0032395F"/>
    <w:p w:rsidR="0032395F" w:rsidRPr="00227E11" w:rsidRDefault="0032395F" w:rsidP="00373428">
      <w:pPr>
        <w:tabs>
          <w:tab w:val="left" w:leader="dot" w:pos="9638"/>
        </w:tabs>
      </w:pPr>
      <w:r w:rsidRPr="00227E11">
        <w:t>Instrument:</w:t>
      </w:r>
      <w:r w:rsidR="00373428">
        <w:tab/>
      </w:r>
    </w:p>
    <w:p w:rsidR="0032395F" w:rsidRPr="00227E11" w:rsidRDefault="0032395F" w:rsidP="0032395F">
      <w:r w:rsidRPr="00227E11">
        <w:t>(If you don’t know what it’s called, make up a suitable name)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32395F" w:rsidRPr="00227E11" w:rsidTr="0079749E">
        <w:trPr>
          <w:jc w:val="center"/>
        </w:trPr>
        <w:tc>
          <w:tcPr>
            <w:tcW w:w="0" w:type="auto"/>
            <w:shd w:val="clear" w:color="auto" w:fill="E0E0E0"/>
          </w:tcPr>
          <w:p w:rsidR="0032395F" w:rsidRPr="0079749E" w:rsidRDefault="0032395F" w:rsidP="0079749E">
            <w:pPr>
              <w:widowControl w:val="0"/>
              <w:spacing w:after="80" w:line="240" w:lineRule="auto"/>
              <w:rPr>
                <w:b/>
                <w:szCs w:val="22"/>
              </w:rPr>
            </w:pPr>
            <w:r w:rsidRPr="0079749E">
              <w:rPr>
                <w:b/>
                <w:szCs w:val="22"/>
              </w:rPr>
              <w:t>Design:</w:t>
            </w:r>
          </w:p>
        </w:tc>
      </w:tr>
      <w:tr w:rsidR="0032395F" w:rsidRPr="00227E11" w:rsidTr="0079749E">
        <w:trPr>
          <w:jc w:val="center"/>
        </w:trPr>
        <w:tc>
          <w:tcPr>
            <w:tcW w:w="0" w:type="auto"/>
            <w:shd w:val="clear" w:color="auto" w:fill="auto"/>
          </w:tcPr>
          <w:p w:rsidR="0032395F" w:rsidRPr="0079749E" w:rsidRDefault="0032395F" w:rsidP="0079749E">
            <w:pPr>
              <w:widowControl w:val="0"/>
              <w:rPr>
                <w:szCs w:val="22"/>
              </w:rPr>
            </w:pPr>
            <w:r w:rsidRPr="0079749E">
              <w:rPr>
                <w:szCs w:val="22"/>
              </w:rPr>
              <w:t>How do you make a sound (e.g. pluck, bow, hit)?</w:t>
            </w:r>
          </w:p>
          <w:p w:rsidR="0032395F" w:rsidRPr="0079749E" w:rsidRDefault="0032395F" w:rsidP="0079749E">
            <w:pPr>
              <w:widowControl w:val="0"/>
              <w:rPr>
                <w:szCs w:val="22"/>
              </w:rPr>
            </w:pPr>
          </w:p>
        </w:tc>
      </w:tr>
      <w:tr w:rsidR="0032395F" w:rsidRPr="00227E11" w:rsidTr="0079749E">
        <w:trPr>
          <w:jc w:val="center"/>
        </w:trPr>
        <w:tc>
          <w:tcPr>
            <w:tcW w:w="0" w:type="auto"/>
            <w:tcBorders>
              <w:bottom w:val="single" w:sz="4" w:space="0" w:color="auto"/>
            </w:tcBorders>
            <w:shd w:val="clear" w:color="auto" w:fill="auto"/>
          </w:tcPr>
          <w:p w:rsidR="0032395F" w:rsidRPr="0079749E" w:rsidRDefault="0032395F" w:rsidP="0079749E">
            <w:pPr>
              <w:widowControl w:val="0"/>
              <w:rPr>
                <w:szCs w:val="22"/>
              </w:rPr>
            </w:pPr>
            <w:r w:rsidRPr="0079749E">
              <w:rPr>
                <w:szCs w:val="22"/>
              </w:rPr>
              <w:t>How do you play different notes?</w:t>
            </w:r>
          </w:p>
          <w:p w:rsidR="0032395F" w:rsidRPr="0079749E" w:rsidRDefault="0032395F" w:rsidP="0079749E">
            <w:pPr>
              <w:widowControl w:val="0"/>
              <w:rPr>
                <w:szCs w:val="22"/>
              </w:rPr>
            </w:pPr>
          </w:p>
        </w:tc>
      </w:tr>
      <w:tr w:rsidR="0032395F" w:rsidRPr="00227E11" w:rsidTr="0079749E">
        <w:trPr>
          <w:jc w:val="center"/>
        </w:trPr>
        <w:tc>
          <w:tcPr>
            <w:tcW w:w="0" w:type="auto"/>
            <w:shd w:val="clear" w:color="auto" w:fill="E0E0E0"/>
          </w:tcPr>
          <w:p w:rsidR="0032395F" w:rsidRPr="0079749E" w:rsidRDefault="0032395F" w:rsidP="0079749E">
            <w:pPr>
              <w:widowControl w:val="0"/>
              <w:spacing w:after="80" w:line="240" w:lineRule="auto"/>
              <w:rPr>
                <w:b/>
                <w:szCs w:val="22"/>
              </w:rPr>
            </w:pPr>
            <w:r w:rsidRPr="0079749E">
              <w:rPr>
                <w:b/>
                <w:szCs w:val="22"/>
              </w:rPr>
              <w:t>Strings:</w:t>
            </w:r>
          </w:p>
        </w:tc>
      </w:tr>
      <w:tr w:rsidR="0032395F" w:rsidRPr="00227E11" w:rsidTr="0079749E">
        <w:trPr>
          <w:jc w:val="center"/>
        </w:trPr>
        <w:tc>
          <w:tcPr>
            <w:tcW w:w="0" w:type="auto"/>
            <w:shd w:val="clear" w:color="auto" w:fill="auto"/>
          </w:tcPr>
          <w:p w:rsidR="0032395F" w:rsidRPr="0079749E" w:rsidRDefault="0032395F" w:rsidP="0079749E">
            <w:pPr>
              <w:widowControl w:val="0"/>
              <w:rPr>
                <w:szCs w:val="22"/>
              </w:rPr>
            </w:pPr>
            <w:r w:rsidRPr="0079749E">
              <w:rPr>
                <w:szCs w:val="22"/>
              </w:rPr>
              <w:t>What are the strings made of?</w:t>
            </w:r>
          </w:p>
          <w:p w:rsidR="0032395F" w:rsidRPr="0079749E" w:rsidRDefault="0032395F" w:rsidP="0079749E">
            <w:pPr>
              <w:widowControl w:val="0"/>
              <w:rPr>
                <w:szCs w:val="22"/>
              </w:rPr>
            </w:pPr>
          </w:p>
        </w:tc>
      </w:tr>
      <w:tr w:rsidR="0032395F" w:rsidRPr="00227E11" w:rsidTr="0079749E">
        <w:trPr>
          <w:jc w:val="center"/>
        </w:trPr>
        <w:tc>
          <w:tcPr>
            <w:tcW w:w="0" w:type="auto"/>
            <w:shd w:val="clear" w:color="auto" w:fill="auto"/>
          </w:tcPr>
          <w:p w:rsidR="0032395F" w:rsidRPr="0079749E" w:rsidRDefault="0032395F" w:rsidP="0079749E">
            <w:pPr>
              <w:widowControl w:val="0"/>
              <w:rPr>
                <w:szCs w:val="22"/>
              </w:rPr>
            </w:pPr>
            <w:r w:rsidRPr="0079749E">
              <w:rPr>
                <w:szCs w:val="22"/>
              </w:rPr>
              <w:t>How are they attached?</w:t>
            </w:r>
          </w:p>
          <w:p w:rsidR="0032395F" w:rsidRPr="0079749E" w:rsidRDefault="0032395F" w:rsidP="0079749E">
            <w:pPr>
              <w:widowControl w:val="0"/>
              <w:rPr>
                <w:szCs w:val="22"/>
              </w:rPr>
            </w:pPr>
          </w:p>
        </w:tc>
      </w:tr>
      <w:tr w:rsidR="0032395F" w:rsidRPr="00227E11" w:rsidTr="0079749E">
        <w:trPr>
          <w:jc w:val="center"/>
        </w:trPr>
        <w:tc>
          <w:tcPr>
            <w:tcW w:w="0" w:type="auto"/>
            <w:tcBorders>
              <w:bottom w:val="single" w:sz="4" w:space="0" w:color="auto"/>
            </w:tcBorders>
            <w:shd w:val="clear" w:color="auto" w:fill="auto"/>
          </w:tcPr>
          <w:p w:rsidR="0032395F" w:rsidRPr="0079749E" w:rsidRDefault="0032395F" w:rsidP="0079749E">
            <w:pPr>
              <w:widowControl w:val="0"/>
              <w:rPr>
                <w:szCs w:val="22"/>
              </w:rPr>
            </w:pPr>
            <w:r w:rsidRPr="0079749E">
              <w:rPr>
                <w:szCs w:val="22"/>
              </w:rPr>
              <w:t>How are they tuned?</w:t>
            </w:r>
          </w:p>
          <w:p w:rsidR="0032395F" w:rsidRPr="0079749E" w:rsidRDefault="0032395F" w:rsidP="0079749E">
            <w:pPr>
              <w:widowControl w:val="0"/>
              <w:rPr>
                <w:szCs w:val="22"/>
              </w:rPr>
            </w:pPr>
          </w:p>
        </w:tc>
      </w:tr>
      <w:tr w:rsidR="0032395F" w:rsidRPr="00227E11" w:rsidTr="0079749E">
        <w:trPr>
          <w:jc w:val="center"/>
        </w:trPr>
        <w:tc>
          <w:tcPr>
            <w:tcW w:w="0" w:type="auto"/>
            <w:shd w:val="clear" w:color="auto" w:fill="E0E0E0"/>
          </w:tcPr>
          <w:p w:rsidR="0032395F" w:rsidRPr="0079749E" w:rsidRDefault="0032395F" w:rsidP="0079749E">
            <w:pPr>
              <w:widowControl w:val="0"/>
              <w:spacing w:after="80" w:line="240" w:lineRule="auto"/>
              <w:rPr>
                <w:b/>
                <w:szCs w:val="22"/>
              </w:rPr>
            </w:pPr>
            <w:r w:rsidRPr="0079749E">
              <w:rPr>
                <w:b/>
                <w:szCs w:val="22"/>
              </w:rPr>
              <w:t>Sound:</w:t>
            </w:r>
          </w:p>
        </w:tc>
      </w:tr>
      <w:tr w:rsidR="0032395F" w:rsidRPr="00227E11" w:rsidTr="0079749E">
        <w:trPr>
          <w:jc w:val="center"/>
        </w:trPr>
        <w:tc>
          <w:tcPr>
            <w:tcW w:w="0" w:type="auto"/>
            <w:tcBorders>
              <w:bottom w:val="single" w:sz="4" w:space="0" w:color="auto"/>
            </w:tcBorders>
            <w:shd w:val="clear" w:color="auto" w:fill="auto"/>
          </w:tcPr>
          <w:p w:rsidR="0032395F" w:rsidRPr="0079749E" w:rsidRDefault="0032395F" w:rsidP="0079749E">
            <w:pPr>
              <w:widowControl w:val="0"/>
              <w:rPr>
                <w:szCs w:val="22"/>
              </w:rPr>
            </w:pPr>
            <w:r w:rsidRPr="0079749E">
              <w:rPr>
                <w:szCs w:val="22"/>
              </w:rPr>
              <w:t>Does this instrument have some way to amplify the sound?</w:t>
            </w:r>
          </w:p>
          <w:p w:rsidR="0032395F" w:rsidRPr="0079749E" w:rsidRDefault="0032395F" w:rsidP="0079749E">
            <w:pPr>
              <w:widowControl w:val="0"/>
              <w:rPr>
                <w:szCs w:val="22"/>
              </w:rPr>
            </w:pPr>
            <w:r w:rsidRPr="0079749E">
              <w:rPr>
                <w:szCs w:val="22"/>
              </w:rPr>
              <w:t xml:space="preserve">Not all instruments have this </w:t>
            </w:r>
            <w:r w:rsidR="00F8742B" w:rsidRPr="0079749E">
              <w:rPr>
                <w:szCs w:val="22"/>
              </w:rPr>
              <w:t>—</w:t>
            </w:r>
            <w:r w:rsidRPr="0079749E">
              <w:rPr>
                <w:szCs w:val="22"/>
              </w:rPr>
              <w:t xml:space="preserve"> circle and describe if you can find one:  </w:t>
            </w:r>
          </w:p>
          <w:p w:rsidR="0032395F" w:rsidRPr="0079749E" w:rsidRDefault="0032395F" w:rsidP="0079749E">
            <w:pPr>
              <w:widowControl w:val="0"/>
              <w:rPr>
                <w:szCs w:val="22"/>
              </w:rPr>
            </w:pPr>
            <w:r w:rsidRPr="0079749E">
              <w:rPr>
                <w:szCs w:val="22"/>
              </w:rPr>
              <w:t xml:space="preserve">Soundboard (like a piano) </w:t>
            </w:r>
          </w:p>
          <w:p w:rsidR="0032395F" w:rsidRPr="0079749E" w:rsidRDefault="0032395F" w:rsidP="0079749E">
            <w:pPr>
              <w:widowControl w:val="0"/>
              <w:rPr>
                <w:szCs w:val="22"/>
              </w:rPr>
            </w:pPr>
            <w:r w:rsidRPr="0079749E">
              <w:rPr>
                <w:szCs w:val="22"/>
              </w:rPr>
              <w:t xml:space="preserve">Hollow chamber (like a guitar or drum) </w:t>
            </w:r>
          </w:p>
          <w:p w:rsidR="0032395F" w:rsidRPr="0079749E" w:rsidRDefault="0032395F" w:rsidP="0079749E">
            <w:pPr>
              <w:widowControl w:val="0"/>
              <w:rPr>
                <w:szCs w:val="22"/>
              </w:rPr>
            </w:pPr>
            <w:r w:rsidRPr="0079749E">
              <w:rPr>
                <w:szCs w:val="22"/>
              </w:rPr>
              <w:t>Stretched skin (like a drum or banjo)</w:t>
            </w:r>
          </w:p>
          <w:p w:rsidR="0032395F" w:rsidRPr="0079749E" w:rsidRDefault="0032395F" w:rsidP="0079749E">
            <w:pPr>
              <w:widowControl w:val="0"/>
              <w:rPr>
                <w:szCs w:val="22"/>
              </w:rPr>
            </w:pPr>
            <w:r w:rsidRPr="0079749E">
              <w:rPr>
                <w:szCs w:val="22"/>
              </w:rPr>
              <w:t xml:space="preserve">Electronic amplification </w:t>
            </w:r>
          </w:p>
          <w:p w:rsidR="0032395F" w:rsidRPr="0079749E" w:rsidRDefault="0032395F" w:rsidP="0079749E">
            <w:pPr>
              <w:widowControl w:val="0"/>
              <w:rPr>
                <w:szCs w:val="22"/>
              </w:rPr>
            </w:pPr>
            <w:r w:rsidRPr="0079749E">
              <w:rPr>
                <w:szCs w:val="22"/>
              </w:rPr>
              <w:t>Other:</w:t>
            </w:r>
          </w:p>
        </w:tc>
      </w:tr>
    </w:tbl>
    <w:p w:rsidR="00277FB3" w:rsidRDefault="00277FB3" w:rsidP="00277FB3">
      <w:pPr>
        <w:pStyle w:val="smallspace"/>
      </w:pPr>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32395F" w:rsidRPr="00227E11" w:rsidTr="0079749E">
        <w:trPr>
          <w:jc w:val="center"/>
        </w:trPr>
        <w:tc>
          <w:tcPr>
            <w:tcW w:w="0" w:type="auto"/>
            <w:shd w:val="clear" w:color="auto" w:fill="E0E0E0"/>
          </w:tcPr>
          <w:p w:rsidR="0032395F" w:rsidRPr="0079749E" w:rsidRDefault="0032395F" w:rsidP="0079749E">
            <w:pPr>
              <w:widowControl w:val="0"/>
              <w:spacing w:after="80" w:line="240" w:lineRule="auto"/>
              <w:rPr>
                <w:b/>
                <w:szCs w:val="22"/>
              </w:rPr>
            </w:pPr>
            <w:r w:rsidRPr="0079749E">
              <w:rPr>
                <w:b/>
                <w:szCs w:val="22"/>
              </w:rPr>
              <w:t>Construction:</w:t>
            </w:r>
          </w:p>
        </w:tc>
      </w:tr>
      <w:tr w:rsidR="0032395F" w:rsidRPr="00227E11" w:rsidTr="0079749E">
        <w:trPr>
          <w:jc w:val="center"/>
        </w:trPr>
        <w:tc>
          <w:tcPr>
            <w:tcW w:w="0" w:type="auto"/>
            <w:shd w:val="clear" w:color="auto" w:fill="auto"/>
          </w:tcPr>
          <w:p w:rsidR="0032395F" w:rsidRPr="0079749E" w:rsidRDefault="0032395F" w:rsidP="0079749E">
            <w:pPr>
              <w:widowControl w:val="0"/>
              <w:rPr>
                <w:szCs w:val="22"/>
              </w:rPr>
            </w:pPr>
            <w:r w:rsidRPr="0079749E">
              <w:rPr>
                <w:szCs w:val="22"/>
              </w:rPr>
              <w:t>What materials are used?</w:t>
            </w:r>
          </w:p>
          <w:p w:rsidR="0032395F" w:rsidRPr="0079749E" w:rsidRDefault="0032395F" w:rsidP="0079749E">
            <w:pPr>
              <w:widowControl w:val="0"/>
              <w:rPr>
                <w:szCs w:val="22"/>
              </w:rPr>
            </w:pPr>
          </w:p>
          <w:p w:rsidR="0032395F" w:rsidRPr="0079749E" w:rsidRDefault="0032395F" w:rsidP="0079749E">
            <w:pPr>
              <w:widowControl w:val="0"/>
              <w:rPr>
                <w:szCs w:val="22"/>
              </w:rPr>
            </w:pPr>
          </w:p>
        </w:tc>
      </w:tr>
      <w:tr w:rsidR="0032395F" w:rsidRPr="00227E11" w:rsidTr="0079749E">
        <w:trPr>
          <w:jc w:val="center"/>
        </w:trPr>
        <w:tc>
          <w:tcPr>
            <w:tcW w:w="0" w:type="auto"/>
            <w:shd w:val="clear" w:color="auto" w:fill="auto"/>
          </w:tcPr>
          <w:p w:rsidR="0032395F" w:rsidRPr="0079749E" w:rsidRDefault="0032395F" w:rsidP="0079749E">
            <w:pPr>
              <w:widowControl w:val="0"/>
              <w:rPr>
                <w:szCs w:val="22"/>
              </w:rPr>
            </w:pPr>
            <w:r w:rsidRPr="0079749E">
              <w:rPr>
                <w:szCs w:val="22"/>
              </w:rPr>
              <w:t>What can you tell about how it was put together (e.g. screws, glued joints, bolts, pegs)</w:t>
            </w:r>
            <w:r w:rsidR="00277FB3" w:rsidRPr="0079749E">
              <w:rPr>
                <w:szCs w:val="22"/>
              </w:rPr>
              <w:t>?</w:t>
            </w:r>
          </w:p>
          <w:p w:rsidR="0032395F" w:rsidRPr="0079749E" w:rsidRDefault="0032395F" w:rsidP="0079749E">
            <w:pPr>
              <w:widowControl w:val="0"/>
              <w:rPr>
                <w:szCs w:val="22"/>
              </w:rPr>
            </w:pPr>
          </w:p>
          <w:p w:rsidR="0032395F" w:rsidRPr="0079749E" w:rsidRDefault="0032395F" w:rsidP="0079749E">
            <w:pPr>
              <w:widowControl w:val="0"/>
              <w:rPr>
                <w:szCs w:val="22"/>
              </w:rPr>
            </w:pPr>
          </w:p>
        </w:tc>
      </w:tr>
      <w:tr w:rsidR="0032395F" w:rsidRPr="00227E11" w:rsidTr="0079749E">
        <w:trPr>
          <w:jc w:val="center"/>
        </w:trPr>
        <w:tc>
          <w:tcPr>
            <w:tcW w:w="0" w:type="auto"/>
            <w:shd w:val="clear" w:color="auto" w:fill="auto"/>
          </w:tcPr>
          <w:p w:rsidR="0032395F" w:rsidRPr="0079749E" w:rsidRDefault="0032395F" w:rsidP="0079749E">
            <w:pPr>
              <w:widowControl w:val="0"/>
              <w:rPr>
                <w:szCs w:val="22"/>
              </w:rPr>
            </w:pPr>
            <w:r w:rsidRPr="0079749E">
              <w:rPr>
                <w:szCs w:val="22"/>
              </w:rPr>
              <w:t>Sketch some close-ups that show design solutions</w:t>
            </w:r>
            <w:r w:rsidR="00277FB3" w:rsidRPr="0079749E">
              <w:rPr>
                <w:szCs w:val="22"/>
              </w:rPr>
              <w:t>.</w:t>
            </w: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BD27C1" w:rsidRPr="0079749E" w:rsidRDefault="00BD27C1"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559B7" w:rsidRPr="0079749E" w:rsidRDefault="003559B7"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p w:rsidR="0032395F" w:rsidRPr="0079749E" w:rsidRDefault="0032395F" w:rsidP="0079749E">
            <w:pPr>
              <w:widowControl w:val="0"/>
              <w:rPr>
                <w:szCs w:val="22"/>
              </w:rPr>
            </w:pPr>
          </w:p>
        </w:tc>
      </w:tr>
    </w:tbl>
    <w:p w:rsidR="00D61E66" w:rsidRPr="002F45D0" w:rsidRDefault="00D61E66" w:rsidP="003559B7">
      <w:pPr>
        <w:pStyle w:val="smallspace"/>
      </w:pPr>
    </w:p>
    <w:sectPr w:rsidR="00D61E66" w:rsidRPr="002F45D0" w:rsidSect="002E62C0">
      <w:headerReference w:type="even" r:id="rId25"/>
      <w:headerReference w:type="default" r:id="rId26"/>
      <w:footerReference w:type="even" r:id="rId27"/>
      <w:footerReference w:type="default" r:id="rId28"/>
      <w:headerReference w:type="firs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40" w:rsidRDefault="00E87E40">
      <w:r>
        <w:separator/>
      </w:r>
    </w:p>
    <w:p w:rsidR="00E87E40" w:rsidRDefault="00E87E40"/>
    <w:p w:rsidR="00E87E40" w:rsidRDefault="00E87E40"/>
    <w:p w:rsidR="00E87E40" w:rsidRDefault="00E87E40"/>
    <w:p w:rsidR="00E87E40" w:rsidRDefault="00E87E40"/>
    <w:p w:rsidR="00E87E40" w:rsidRDefault="00E87E40"/>
  </w:endnote>
  <w:endnote w:type="continuationSeparator" w:id="0">
    <w:p w:rsidR="00E87E40" w:rsidRDefault="00E87E40">
      <w:r>
        <w:continuationSeparator/>
      </w:r>
    </w:p>
    <w:p w:rsidR="00E87E40" w:rsidRDefault="00E87E40"/>
    <w:p w:rsidR="00E87E40" w:rsidRDefault="00E87E40"/>
    <w:p w:rsidR="00E87E40" w:rsidRDefault="00E87E40"/>
    <w:p w:rsidR="00E87E40" w:rsidRDefault="00E87E40"/>
    <w:p w:rsidR="00E87E40" w:rsidRDefault="00E87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6A0EDB" w:rsidP="00C20914">
    <w:pPr>
      <w:pStyle w:val="Footereven"/>
    </w:pPr>
    <w:r w:rsidRPr="00EA7134">
      <w:fldChar w:fldCharType="begin"/>
    </w:r>
    <w:r w:rsidRPr="00EA7134">
      <w:instrText xml:space="preserve">PAGE  </w:instrText>
    </w:r>
    <w:r w:rsidRPr="00EA7134">
      <w:fldChar w:fldCharType="separate"/>
    </w:r>
    <w:r w:rsidR="009E0EBC">
      <w:t>8</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6A0EDB" w:rsidP="00C20914">
    <w:pPr>
      <w:pStyle w:val="Footerodd"/>
    </w:pPr>
    <w:r>
      <w:fldChar w:fldCharType="begin"/>
    </w:r>
    <w:r>
      <w:instrText xml:space="preserve">PAGE  </w:instrText>
    </w:r>
    <w:r>
      <w:fldChar w:fldCharType="separate"/>
    </w:r>
    <w:r w:rsidR="009E0EBC">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6A0EDB" w:rsidRPr="0090603A">
      <w:trPr>
        <w:trHeight w:hRule="exact" w:val="1043"/>
        <w:jc w:val="right"/>
      </w:trPr>
      <w:tc>
        <w:tcPr>
          <w:tcW w:w="1800" w:type="dxa"/>
          <w:tcBorders>
            <w:top w:val="nil"/>
            <w:left w:val="nil"/>
            <w:bottom w:val="nil"/>
            <w:right w:val="nil"/>
          </w:tcBorders>
          <w:vAlign w:val="bottom"/>
        </w:tcPr>
        <w:p w:rsidR="006A0EDB" w:rsidRPr="00FA3FE7" w:rsidRDefault="006A0EDB" w:rsidP="00C85825">
          <w:pPr>
            <w:spacing w:after="0"/>
          </w:pPr>
        </w:p>
      </w:tc>
      <w:tc>
        <w:tcPr>
          <w:tcW w:w="5040" w:type="dxa"/>
          <w:tcBorders>
            <w:top w:val="nil"/>
            <w:left w:val="nil"/>
            <w:bottom w:val="nil"/>
            <w:right w:val="nil"/>
          </w:tcBorders>
          <w:shd w:val="clear" w:color="auto" w:fill="auto"/>
          <w:vAlign w:val="bottom"/>
        </w:tcPr>
        <w:p w:rsidR="006A0EDB" w:rsidRPr="000875B8" w:rsidRDefault="006A0EDB"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6A0EDB" w:rsidRPr="0090603A" w:rsidRDefault="007C566B" w:rsidP="00C85825">
          <w:pPr>
            <w:pStyle w:val="Footer"/>
            <w:rPr>
              <w:rFonts w:ascii="Arial Narrow" w:hAnsi="Arial Narrow"/>
            </w:rPr>
          </w:pPr>
          <w:r>
            <w:drawing>
              <wp:inline distT="0" distB="0" distL="0" distR="0">
                <wp:extent cx="1533525" cy="659765"/>
                <wp:effectExtent l="0" t="0" r="952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9765"/>
                        </a:xfrm>
                        <a:prstGeom prst="rect">
                          <a:avLst/>
                        </a:prstGeom>
                        <a:noFill/>
                        <a:ln>
                          <a:noFill/>
                        </a:ln>
                      </pic:spPr>
                    </pic:pic>
                  </a:graphicData>
                </a:graphic>
              </wp:inline>
            </w:drawing>
          </w:r>
        </w:p>
      </w:tc>
    </w:tr>
  </w:tbl>
  <w:p w:rsidR="006A0EDB" w:rsidRPr="0054418E" w:rsidRDefault="006A0EDB"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6A0EDB" w:rsidP="00C20914">
    <w:pPr>
      <w:pStyle w:val="Footereven"/>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6A0EDB" w:rsidP="00C20914">
    <w:pPr>
      <w:pStyle w:val="Footerod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40" w:rsidRDefault="00E87E40">
      <w:r>
        <w:separator/>
      </w:r>
    </w:p>
    <w:p w:rsidR="00E87E40" w:rsidRDefault="00E87E40"/>
    <w:p w:rsidR="00E87E40" w:rsidRDefault="00E87E40"/>
    <w:p w:rsidR="00E87E40" w:rsidRDefault="00E87E40"/>
    <w:p w:rsidR="00E87E40" w:rsidRDefault="00E87E40"/>
    <w:p w:rsidR="00E87E40" w:rsidRDefault="00E87E40"/>
  </w:footnote>
  <w:footnote w:type="continuationSeparator" w:id="0">
    <w:p w:rsidR="00E87E40" w:rsidRDefault="00E87E40">
      <w:r>
        <w:continuationSeparator/>
      </w:r>
    </w:p>
    <w:p w:rsidR="00E87E40" w:rsidRDefault="00E87E40"/>
    <w:p w:rsidR="00E87E40" w:rsidRDefault="00E87E40"/>
    <w:p w:rsidR="00E87E40" w:rsidRDefault="00E87E40"/>
    <w:p w:rsidR="00E87E40" w:rsidRDefault="00E87E40"/>
    <w:p w:rsidR="00E87E40" w:rsidRDefault="00E87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6A0EDB"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Pr="00373428" w:rsidRDefault="006A0EDB" w:rsidP="0027560D">
    <w:pPr>
      <w:pStyle w:val="Header"/>
      <w:spacing w:before="0" w:after="240" w:line="240" w:lineRule="auto"/>
      <w:jc w:val="right"/>
      <w:rPr>
        <w:b/>
        <w:i/>
        <w:sz w:val="18"/>
        <w:szCs w:val="18"/>
      </w:rPr>
    </w:pPr>
    <w:r>
      <w:rPr>
        <w:b/>
        <w:i/>
        <w:sz w:val="18"/>
        <w:szCs w:val="18"/>
      </w:rPr>
      <w:t>Year 8 Technology: Make a stringed instrument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7C566B">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Pr="00373428" w:rsidRDefault="006A0EDB" w:rsidP="00373428">
    <w:pPr>
      <w:pStyle w:val="Header"/>
      <w:spacing w:before="0" w:after="240" w:line="240" w:lineRule="auto"/>
      <w:rPr>
        <w:b/>
        <w:i/>
        <w:sz w:val="18"/>
        <w:szCs w:val="18"/>
      </w:rPr>
    </w:pPr>
    <w:r w:rsidRPr="00373428">
      <w:rPr>
        <w:b/>
        <w:i/>
        <w:sz w:val="18"/>
        <w:szCs w:val="18"/>
      </w:rP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Pr="00373428" w:rsidRDefault="006A0EDB" w:rsidP="00373428">
    <w:pPr>
      <w:pStyle w:val="Header"/>
      <w:spacing w:before="0" w:after="240" w:line="240" w:lineRule="auto"/>
      <w:rPr>
        <w:b/>
        <w:i/>
        <w:sz w:val="18"/>
        <w:szCs w:val="18"/>
      </w:rPr>
    </w:pPr>
    <w:r w:rsidRPr="00373428">
      <w:rPr>
        <w:b/>
        <w:i/>
        <w:sz w:val="18"/>
        <w:szCs w:val="18"/>
      </w:rPr>
      <w:t xml:space="preserve">Appendix </w:t>
    </w:r>
    <w:r>
      <w:rPr>
        <w:b/>
        <w:i/>
        <w:sz w:val="18"/>
        <w:szCs w:val="18"/>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DB" w:rsidRDefault="006A0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 w:numId="44">
    <w:abstractNumId w:val="15"/>
  </w:num>
  <w:num w:numId="45">
    <w:abstractNumId w:val="15"/>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54D9B"/>
    <w:rsid w:val="00061D89"/>
    <w:rsid w:val="00066520"/>
    <w:rsid w:val="000736CA"/>
    <w:rsid w:val="000814A3"/>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CAD"/>
    <w:rsid w:val="000F5EF5"/>
    <w:rsid w:val="001019F0"/>
    <w:rsid w:val="00101CF6"/>
    <w:rsid w:val="001026FE"/>
    <w:rsid w:val="00102ECC"/>
    <w:rsid w:val="001103BE"/>
    <w:rsid w:val="00120E4C"/>
    <w:rsid w:val="00123E4E"/>
    <w:rsid w:val="001247D8"/>
    <w:rsid w:val="00127A14"/>
    <w:rsid w:val="00130EFC"/>
    <w:rsid w:val="00132BC2"/>
    <w:rsid w:val="001343E6"/>
    <w:rsid w:val="00137481"/>
    <w:rsid w:val="00140F5D"/>
    <w:rsid w:val="00155056"/>
    <w:rsid w:val="001574F9"/>
    <w:rsid w:val="00157C65"/>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87678"/>
    <w:rsid w:val="00190075"/>
    <w:rsid w:val="00190C5F"/>
    <w:rsid w:val="00191133"/>
    <w:rsid w:val="00193E81"/>
    <w:rsid w:val="001971C2"/>
    <w:rsid w:val="001A27D4"/>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1322"/>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560D"/>
    <w:rsid w:val="00276D36"/>
    <w:rsid w:val="00277FB3"/>
    <w:rsid w:val="00284B38"/>
    <w:rsid w:val="002859A3"/>
    <w:rsid w:val="002865DA"/>
    <w:rsid w:val="002A79B9"/>
    <w:rsid w:val="002B30EB"/>
    <w:rsid w:val="002B5BFC"/>
    <w:rsid w:val="002C0261"/>
    <w:rsid w:val="002C1299"/>
    <w:rsid w:val="002C1C04"/>
    <w:rsid w:val="002C1E49"/>
    <w:rsid w:val="002C4CB3"/>
    <w:rsid w:val="002C79CE"/>
    <w:rsid w:val="002D621B"/>
    <w:rsid w:val="002D7C5D"/>
    <w:rsid w:val="002E18AD"/>
    <w:rsid w:val="002E2F03"/>
    <w:rsid w:val="002E62C0"/>
    <w:rsid w:val="002F135D"/>
    <w:rsid w:val="002F1520"/>
    <w:rsid w:val="002F30EF"/>
    <w:rsid w:val="002F3677"/>
    <w:rsid w:val="002F3A7F"/>
    <w:rsid w:val="002F45D0"/>
    <w:rsid w:val="002F4C51"/>
    <w:rsid w:val="002F69A3"/>
    <w:rsid w:val="00300F05"/>
    <w:rsid w:val="00302E5C"/>
    <w:rsid w:val="00314E3C"/>
    <w:rsid w:val="0032073F"/>
    <w:rsid w:val="00321216"/>
    <w:rsid w:val="00321DA5"/>
    <w:rsid w:val="0032395F"/>
    <w:rsid w:val="00327D43"/>
    <w:rsid w:val="00330421"/>
    <w:rsid w:val="00331E85"/>
    <w:rsid w:val="003347CE"/>
    <w:rsid w:val="0033529F"/>
    <w:rsid w:val="00343C39"/>
    <w:rsid w:val="00352347"/>
    <w:rsid w:val="00354B41"/>
    <w:rsid w:val="003559B7"/>
    <w:rsid w:val="003573C7"/>
    <w:rsid w:val="00357A2A"/>
    <w:rsid w:val="00360CDA"/>
    <w:rsid w:val="00361735"/>
    <w:rsid w:val="0036290B"/>
    <w:rsid w:val="00362A07"/>
    <w:rsid w:val="00363611"/>
    <w:rsid w:val="00364F37"/>
    <w:rsid w:val="00373428"/>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0271"/>
    <w:rsid w:val="00411E67"/>
    <w:rsid w:val="00416BAF"/>
    <w:rsid w:val="004172A0"/>
    <w:rsid w:val="00421645"/>
    <w:rsid w:val="00424A51"/>
    <w:rsid w:val="00427578"/>
    <w:rsid w:val="004316D0"/>
    <w:rsid w:val="004423A4"/>
    <w:rsid w:val="00444D1F"/>
    <w:rsid w:val="004475A2"/>
    <w:rsid w:val="00453F95"/>
    <w:rsid w:val="00457A26"/>
    <w:rsid w:val="004605DF"/>
    <w:rsid w:val="0047235E"/>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1D8"/>
    <w:rsid w:val="005C19CD"/>
    <w:rsid w:val="005C207A"/>
    <w:rsid w:val="005C365F"/>
    <w:rsid w:val="005D0C9A"/>
    <w:rsid w:val="005D5C4E"/>
    <w:rsid w:val="005E138A"/>
    <w:rsid w:val="005F00FC"/>
    <w:rsid w:val="005F1A13"/>
    <w:rsid w:val="005F253C"/>
    <w:rsid w:val="005F25C9"/>
    <w:rsid w:val="005F2FBA"/>
    <w:rsid w:val="006021A2"/>
    <w:rsid w:val="00605CB5"/>
    <w:rsid w:val="00612547"/>
    <w:rsid w:val="00612611"/>
    <w:rsid w:val="0062663E"/>
    <w:rsid w:val="00630422"/>
    <w:rsid w:val="00635253"/>
    <w:rsid w:val="00636670"/>
    <w:rsid w:val="006432CE"/>
    <w:rsid w:val="00643803"/>
    <w:rsid w:val="0064612E"/>
    <w:rsid w:val="00646423"/>
    <w:rsid w:val="00647120"/>
    <w:rsid w:val="00657BB0"/>
    <w:rsid w:val="00661055"/>
    <w:rsid w:val="00664FEE"/>
    <w:rsid w:val="006651E7"/>
    <w:rsid w:val="00666387"/>
    <w:rsid w:val="006732D0"/>
    <w:rsid w:val="0067452E"/>
    <w:rsid w:val="006760FA"/>
    <w:rsid w:val="00676DF3"/>
    <w:rsid w:val="006774B8"/>
    <w:rsid w:val="0068018A"/>
    <w:rsid w:val="00683A0F"/>
    <w:rsid w:val="00683EB7"/>
    <w:rsid w:val="00691536"/>
    <w:rsid w:val="006A0EDB"/>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05F9"/>
    <w:rsid w:val="007335F1"/>
    <w:rsid w:val="007412EC"/>
    <w:rsid w:val="00746761"/>
    <w:rsid w:val="00747A3A"/>
    <w:rsid w:val="0075083A"/>
    <w:rsid w:val="00750B88"/>
    <w:rsid w:val="00750E63"/>
    <w:rsid w:val="00753936"/>
    <w:rsid w:val="00764F67"/>
    <w:rsid w:val="00770160"/>
    <w:rsid w:val="00781794"/>
    <w:rsid w:val="007825B7"/>
    <w:rsid w:val="0078406C"/>
    <w:rsid w:val="00784611"/>
    <w:rsid w:val="007856A2"/>
    <w:rsid w:val="007924C4"/>
    <w:rsid w:val="0079630D"/>
    <w:rsid w:val="0079749E"/>
    <w:rsid w:val="007A04D1"/>
    <w:rsid w:val="007A1D95"/>
    <w:rsid w:val="007A43AE"/>
    <w:rsid w:val="007B2CAD"/>
    <w:rsid w:val="007C17CD"/>
    <w:rsid w:val="007C2383"/>
    <w:rsid w:val="007C2427"/>
    <w:rsid w:val="007C4A0C"/>
    <w:rsid w:val="007C4A1E"/>
    <w:rsid w:val="007C566B"/>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12C"/>
    <w:rsid w:val="00834B4C"/>
    <w:rsid w:val="00841E68"/>
    <w:rsid w:val="00852BF6"/>
    <w:rsid w:val="00854A12"/>
    <w:rsid w:val="0085599D"/>
    <w:rsid w:val="00855D90"/>
    <w:rsid w:val="0085648F"/>
    <w:rsid w:val="0085683B"/>
    <w:rsid w:val="00860D64"/>
    <w:rsid w:val="00861779"/>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D522C"/>
    <w:rsid w:val="009E0EBC"/>
    <w:rsid w:val="009E1352"/>
    <w:rsid w:val="009F0A5B"/>
    <w:rsid w:val="009F1EAE"/>
    <w:rsid w:val="009F4C61"/>
    <w:rsid w:val="00A004E1"/>
    <w:rsid w:val="00A05F30"/>
    <w:rsid w:val="00A1340E"/>
    <w:rsid w:val="00A138DA"/>
    <w:rsid w:val="00A14EA8"/>
    <w:rsid w:val="00A15A45"/>
    <w:rsid w:val="00A3071F"/>
    <w:rsid w:val="00A30C8E"/>
    <w:rsid w:val="00A310AB"/>
    <w:rsid w:val="00A3112D"/>
    <w:rsid w:val="00A326AC"/>
    <w:rsid w:val="00A3309D"/>
    <w:rsid w:val="00A33417"/>
    <w:rsid w:val="00A35791"/>
    <w:rsid w:val="00A425D7"/>
    <w:rsid w:val="00A44765"/>
    <w:rsid w:val="00A456F4"/>
    <w:rsid w:val="00A55BB8"/>
    <w:rsid w:val="00A56A9B"/>
    <w:rsid w:val="00A56EBD"/>
    <w:rsid w:val="00A652E4"/>
    <w:rsid w:val="00A67D85"/>
    <w:rsid w:val="00A705F2"/>
    <w:rsid w:val="00A70DDA"/>
    <w:rsid w:val="00A74B73"/>
    <w:rsid w:val="00A74C89"/>
    <w:rsid w:val="00A75BB6"/>
    <w:rsid w:val="00A84698"/>
    <w:rsid w:val="00A86041"/>
    <w:rsid w:val="00A9169C"/>
    <w:rsid w:val="00A91E04"/>
    <w:rsid w:val="00A95012"/>
    <w:rsid w:val="00A9650D"/>
    <w:rsid w:val="00A96C76"/>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3C57"/>
    <w:rsid w:val="00AE4DC8"/>
    <w:rsid w:val="00AE67F3"/>
    <w:rsid w:val="00AE766C"/>
    <w:rsid w:val="00AE79A1"/>
    <w:rsid w:val="00AF02C3"/>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18B4"/>
    <w:rsid w:val="00B74071"/>
    <w:rsid w:val="00B82E85"/>
    <w:rsid w:val="00B85FF2"/>
    <w:rsid w:val="00B910EC"/>
    <w:rsid w:val="00B935BB"/>
    <w:rsid w:val="00B96F59"/>
    <w:rsid w:val="00B9722E"/>
    <w:rsid w:val="00BA2970"/>
    <w:rsid w:val="00BA3082"/>
    <w:rsid w:val="00BA3968"/>
    <w:rsid w:val="00BA5129"/>
    <w:rsid w:val="00BC0903"/>
    <w:rsid w:val="00BC3009"/>
    <w:rsid w:val="00BC58D9"/>
    <w:rsid w:val="00BC7D49"/>
    <w:rsid w:val="00BC7DDE"/>
    <w:rsid w:val="00BD0732"/>
    <w:rsid w:val="00BD2618"/>
    <w:rsid w:val="00BD27C1"/>
    <w:rsid w:val="00BD47BB"/>
    <w:rsid w:val="00BD5E3F"/>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9E8"/>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96A28"/>
    <w:rsid w:val="00CA27BC"/>
    <w:rsid w:val="00CA2B94"/>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511"/>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5DD8"/>
    <w:rsid w:val="00D66A63"/>
    <w:rsid w:val="00D71223"/>
    <w:rsid w:val="00D82FD6"/>
    <w:rsid w:val="00DA483D"/>
    <w:rsid w:val="00DA60AF"/>
    <w:rsid w:val="00DA612D"/>
    <w:rsid w:val="00DB0CB9"/>
    <w:rsid w:val="00DB5E7B"/>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474ED"/>
    <w:rsid w:val="00E503E5"/>
    <w:rsid w:val="00E51F63"/>
    <w:rsid w:val="00E53A4A"/>
    <w:rsid w:val="00E53A66"/>
    <w:rsid w:val="00E53F6C"/>
    <w:rsid w:val="00E602B7"/>
    <w:rsid w:val="00E6385B"/>
    <w:rsid w:val="00E668A0"/>
    <w:rsid w:val="00E7289C"/>
    <w:rsid w:val="00E74CD8"/>
    <w:rsid w:val="00E8667A"/>
    <w:rsid w:val="00E87E40"/>
    <w:rsid w:val="00E908C7"/>
    <w:rsid w:val="00E91D82"/>
    <w:rsid w:val="00E935F6"/>
    <w:rsid w:val="00EA2D4B"/>
    <w:rsid w:val="00EA2FC8"/>
    <w:rsid w:val="00EA6839"/>
    <w:rsid w:val="00EA6C2B"/>
    <w:rsid w:val="00EA7134"/>
    <w:rsid w:val="00EB13DA"/>
    <w:rsid w:val="00EB41A9"/>
    <w:rsid w:val="00EB68B7"/>
    <w:rsid w:val="00EC226D"/>
    <w:rsid w:val="00EC329C"/>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7447"/>
    <w:rsid w:val="00F377B6"/>
    <w:rsid w:val="00F4324A"/>
    <w:rsid w:val="00F43EB9"/>
    <w:rsid w:val="00F446C1"/>
    <w:rsid w:val="00F52581"/>
    <w:rsid w:val="00F52C39"/>
    <w:rsid w:val="00F536F4"/>
    <w:rsid w:val="00F632C1"/>
    <w:rsid w:val="00F634E2"/>
    <w:rsid w:val="00F65244"/>
    <w:rsid w:val="00F66CF9"/>
    <w:rsid w:val="00F70F2F"/>
    <w:rsid w:val="00F71307"/>
    <w:rsid w:val="00F754EE"/>
    <w:rsid w:val="00F80C7B"/>
    <w:rsid w:val="00F8742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A3112D"/>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A3112D"/>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09224">
      <w:bodyDiv w:val="1"/>
      <w:marLeft w:val="0"/>
      <w:marRight w:val="0"/>
      <w:marTop w:val="0"/>
      <w:marBottom w:val="0"/>
      <w:divBdr>
        <w:top w:val="none" w:sz="0" w:space="0" w:color="auto"/>
        <w:left w:val="none" w:sz="0" w:space="0" w:color="auto"/>
        <w:bottom w:val="none" w:sz="0" w:space="0" w:color="auto"/>
        <w:right w:val="none" w:sz="0" w:space="0" w:color="auto"/>
      </w:divBdr>
      <w:divsChild>
        <w:div w:id="795374325">
          <w:marLeft w:val="0"/>
          <w:marRight w:val="0"/>
          <w:marTop w:val="0"/>
          <w:marBottom w:val="0"/>
          <w:divBdr>
            <w:top w:val="none" w:sz="0" w:space="0" w:color="auto"/>
            <w:left w:val="none" w:sz="0" w:space="0" w:color="auto"/>
            <w:bottom w:val="none" w:sz="0" w:space="0" w:color="auto"/>
            <w:right w:val="none" w:sz="0" w:space="0" w:color="auto"/>
          </w:divBdr>
        </w:div>
      </w:divsChild>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64A5D-E644-45BA-9822-931E056B23D9}">
  <ds:schemaRefs>
    <ds:schemaRef ds:uri="http://schemas.microsoft.com/sharepoint/v3/contenttype/forms"/>
  </ds:schemaRefs>
</ds:datastoreItem>
</file>

<file path=customXml/itemProps2.xml><?xml version="1.0" encoding="utf-8"?>
<ds:datastoreItem xmlns:ds="http://schemas.openxmlformats.org/officeDocument/2006/customXml" ds:itemID="{37200FD0-F725-4B37-BFCD-9F3DC902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2A8190-283D-4978-80A3-3A87FECB2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2</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Year 8 Technology assessment teacher guidelines | Make a stringed instrument | Queensland Essential Learnings and Standards</vt:lpstr>
    </vt:vector>
  </TitlesOfParts>
  <Company>Queensland Studies Authority</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Technology assessment teacher guidelines | Make a stringed instrument | Queensland Essential Learnings and Standards</dc:title>
  <dc:subject/>
  <dc:creator>Queensland Studies Authority</dc:creator>
  <cp:keywords/>
  <dc:description>Students design, construct and document a stringed musical instrument to comply with a design brief.</dc:description>
  <cp:lastModifiedBy>QSA</cp:lastModifiedBy>
  <cp:revision>2</cp:revision>
  <cp:lastPrinted>2008-05-21T02:31:00Z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