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EE7007" w:rsidP="00BC58D9">
      <w:pPr>
        <w:pStyle w:val="CoverTitle"/>
      </w:pPr>
      <w:bookmarkStart w:id="0" w:name="_GoBack"/>
      <w:bookmarkEnd w:id="0"/>
      <w:r>
        <w:t>Logo d</w:t>
      </w:r>
      <w:r w:rsidR="00102D03">
        <w:t>esign</w:t>
      </w:r>
    </w:p>
    <w:tbl>
      <w:tblPr>
        <w:tblW w:w="0" w:type="auto"/>
        <w:tblLook w:val="01E0" w:firstRow="1" w:lastRow="1" w:firstColumn="1" w:lastColumn="1" w:noHBand="0" w:noVBand="0"/>
      </w:tblPr>
      <w:tblGrid>
        <w:gridCol w:w="2093"/>
        <w:gridCol w:w="6177"/>
      </w:tblGrid>
      <w:tr w:rsidR="0009378F">
        <w:trPr>
          <w:trHeight w:val="614"/>
        </w:trPr>
        <w:tc>
          <w:tcPr>
            <w:tcW w:w="2093" w:type="dxa"/>
            <w:shd w:val="clear" w:color="auto" w:fill="B4A7C0"/>
            <w:tcMar>
              <w:top w:w="113" w:type="dxa"/>
              <w:left w:w="113" w:type="dxa"/>
              <w:bottom w:w="113" w:type="dxa"/>
              <w:right w:w="113" w:type="dxa"/>
            </w:tcMar>
            <w:vAlign w:val="center"/>
          </w:tcPr>
          <w:p w:rsidR="0009378F" w:rsidRPr="00C557B7" w:rsidRDefault="0009378F" w:rsidP="0009378F">
            <w:pPr>
              <w:pStyle w:val="CoverYearKLAName"/>
            </w:pPr>
            <w:r>
              <w:t>Year</w:t>
            </w:r>
            <w:r w:rsidR="0062638D">
              <w:t>s</w:t>
            </w:r>
            <w:r>
              <w:t xml:space="preserve"> 8</w:t>
            </w:r>
            <w:r w:rsidR="0062638D">
              <w:t>–</w:t>
            </w:r>
            <w:r>
              <w:t>9</w:t>
            </w:r>
          </w:p>
        </w:tc>
        <w:tc>
          <w:tcPr>
            <w:tcW w:w="6177" w:type="dxa"/>
            <w:shd w:val="clear" w:color="auto" w:fill="E3DEE8"/>
            <w:tcMar>
              <w:top w:w="113" w:type="dxa"/>
              <w:left w:w="113" w:type="dxa"/>
              <w:bottom w:w="113" w:type="dxa"/>
              <w:right w:w="113" w:type="dxa"/>
            </w:tcMar>
            <w:vAlign w:val="center"/>
          </w:tcPr>
          <w:p w:rsidR="0009378F" w:rsidRDefault="0009378F" w:rsidP="0009378F">
            <w:pPr>
              <w:pStyle w:val="CoverYearKLAName"/>
            </w:pPr>
            <w:r>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9378F" w:rsidRDefault="000E7C8E" w:rsidP="00CD0037">
            <w:pPr>
              <w:pStyle w:val="CoverOverview"/>
            </w:pPr>
            <w:r>
              <w:t>Students r</w:t>
            </w:r>
            <w:r w:rsidR="0009378F" w:rsidRPr="0009378F">
              <w:t>ese</w:t>
            </w:r>
            <w:r w:rsidR="0009378F">
              <w:t>arch, design and produce a logo</w:t>
            </w:r>
            <w:r w:rsidR="0009378F" w:rsidRPr="0009378F">
              <w:t xml:space="preserve"> that </w:t>
            </w:r>
            <w:r w:rsidR="0062638D" w:rsidRPr="0009378F">
              <w:t>communicates the</w:t>
            </w:r>
            <w:r w:rsidR="0009378F" w:rsidRPr="0009378F">
              <w:t xml:space="preserve"> service and function of a new landscaping business.</w:t>
            </w:r>
          </w:p>
        </w:tc>
      </w:tr>
      <w:tr w:rsidR="00321DA5">
        <w:tc>
          <w:tcPr>
            <w:tcW w:w="2093"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Time allocation</w:t>
            </w:r>
          </w:p>
        </w:tc>
        <w:tc>
          <w:tcPr>
            <w:tcW w:w="6177"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09378F" w:rsidP="00C96592">
            <w:pPr>
              <w:spacing w:before="120" w:after="120" w:line="240" w:lineRule="auto"/>
            </w:pPr>
            <w:r>
              <w:t>5</w:t>
            </w:r>
            <w:r w:rsidR="0062638D">
              <w:t>–</w:t>
            </w:r>
            <w:r>
              <w:t>6 hours</w:t>
            </w:r>
          </w:p>
        </w:tc>
      </w:tr>
      <w:tr w:rsidR="00321DA5">
        <w:tc>
          <w:tcPr>
            <w:tcW w:w="2093"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09378F">
            <w:pPr>
              <w:spacing w:before="120" w:after="120" w:line="240" w:lineRule="auto"/>
              <w:rPr>
                <w:b/>
              </w:rPr>
            </w:pPr>
            <w:r w:rsidRPr="009D15D5">
              <w:rPr>
                <w:b/>
              </w:rPr>
              <w:t>Student roles</w:t>
            </w:r>
          </w:p>
        </w:tc>
        <w:tc>
          <w:tcPr>
            <w:tcW w:w="6177" w:type="dxa"/>
            <w:tcBorders>
              <w:top w:val="single" w:sz="12" w:space="0" w:color="E3DEE8"/>
              <w:bottom w:val="single" w:sz="12" w:space="0" w:color="E3DEE8"/>
            </w:tcBorders>
            <w:tcMar>
              <w:top w:w="113" w:type="dxa"/>
              <w:left w:w="113" w:type="dxa"/>
              <w:bottom w:w="113" w:type="dxa"/>
              <w:right w:w="113" w:type="dxa"/>
            </w:tcMar>
            <w:vAlign w:val="center"/>
          </w:tcPr>
          <w:p w:rsidR="0009378F" w:rsidRDefault="0009378F" w:rsidP="0009378F">
            <w:pPr>
              <w:spacing w:before="120" w:after="120" w:line="240" w:lineRule="auto"/>
            </w:pPr>
            <w:r>
              <w:t>Independently investigate, ideate, produce and evaluate a final design.</w:t>
            </w:r>
          </w:p>
          <w:p w:rsidR="00321DA5" w:rsidRPr="005E1415" w:rsidRDefault="0009378F" w:rsidP="0009378F">
            <w:pPr>
              <w:spacing w:before="120" w:after="120" w:line="240" w:lineRule="auto"/>
            </w:pPr>
            <w:r>
              <w:t>Work collaboratively to critique and refine designs</w:t>
            </w:r>
            <w:r w:rsidR="00530665">
              <w: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Pr="0009378F" w:rsidRDefault="0009378F" w:rsidP="00CD0037">
            <w:r w:rsidRPr="0009378F">
              <w:t>People are exposed daily to different forms of persuasive marketing strategies by businesses</w:t>
            </w:r>
            <w:r w:rsidR="00830476">
              <w:t xml:space="preserve"> promoting</w:t>
            </w:r>
            <w:r w:rsidRPr="0009378F">
              <w:t xml:space="preserve"> their services or products. Business logos are an important part of these strategies. Effective log</w:t>
            </w:r>
            <w:r w:rsidR="008770E9">
              <w:t>os can be designed by applying t</w:t>
            </w:r>
            <w:r w:rsidRPr="0009378F">
              <w:t>echnology process</w:t>
            </w:r>
            <w:r w:rsidR="000E7C8E">
              <w:t>es</w:t>
            </w:r>
            <w:r w:rsidRPr="0009378F">
              <w:t>.</w:t>
            </w:r>
          </w:p>
        </w:tc>
      </w:tr>
    </w:tbl>
    <w:p w:rsidR="00B34779" w:rsidRPr="00A326AC" w:rsidRDefault="00467320" w:rsidP="00750B88">
      <w:pPr>
        <w:pageBreakBefore/>
      </w:pPr>
      <w:r>
        <w:rPr>
          <w:b/>
          <w:i/>
          <w:noProof/>
          <w:color w:val="FF0000"/>
        </w:rPr>
        <w:lastRenderedPageBreak/>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CD0037" w:rsidRPr="00750B88">
        <w:trPr>
          <w:trHeight w:val="76"/>
          <w:jc w:val="center"/>
        </w:trPr>
        <w:tc>
          <w:tcPr>
            <w:tcW w:w="9639" w:type="dxa"/>
            <w:gridSpan w:val="2"/>
            <w:shd w:val="clear" w:color="auto" w:fill="E6E6E6"/>
          </w:tcPr>
          <w:p w:rsidR="00CD0037" w:rsidRPr="00750B88" w:rsidRDefault="0009378F" w:rsidP="00C20914">
            <w:pPr>
              <w:pStyle w:val="Heading2Table"/>
            </w:pPr>
            <w:r>
              <w:t>Technology</w:t>
            </w:r>
            <w:r w:rsidR="00CD0037" w:rsidRPr="00750B88">
              <w:tab/>
              <w:t>Essenti</w:t>
            </w:r>
            <w:r w:rsidR="007D4A3D">
              <w:t xml:space="preserve">al Learnings by the end of Year </w:t>
            </w:r>
            <w:r>
              <w:t>9</w:t>
            </w:r>
          </w:p>
        </w:tc>
      </w:tr>
      <w:tr w:rsidR="00934842">
        <w:trPr>
          <w:trHeight w:val="3454"/>
          <w:jc w:val="center"/>
        </w:trPr>
        <w:tc>
          <w:tcPr>
            <w:tcW w:w="4501"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09378F" w:rsidRDefault="0009378F" w:rsidP="0009378F">
            <w:pPr>
              <w:pStyle w:val="Bulletslevel1"/>
              <w:keepNext/>
              <w:keepLines/>
            </w:pPr>
            <w:r>
              <w:t>investigate and analyse specifications, standards and constraints in the development of design ideas</w:t>
            </w:r>
          </w:p>
          <w:p w:rsidR="007D4A3D" w:rsidRDefault="007D4A3D" w:rsidP="007D4A3D">
            <w:pPr>
              <w:pStyle w:val="Bulletslevel1"/>
              <w:keepNext/>
              <w:keepLines/>
            </w:pPr>
            <w:r w:rsidRPr="007D4A3D">
              <w:t>consult, negotiate and apply ethical principles and cultural protocols to investigate, design and</w:t>
            </w:r>
            <w:r>
              <w:t xml:space="preserve"> </w:t>
            </w:r>
            <w:r w:rsidRPr="007D4A3D">
              <w:t>make products</w:t>
            </w:r>
          </w:p>
          <w:p w:rsidR="0009378F" w:rsidRDefault="007D4A3D" w:rsidP="007D4A3D">
            <w:pPr>
              <w:pStyle w:val="Bulletslevel1"/>
              <w:keepNext/>
              <w:keepLines/>
            </w:pPr>
            <w:r w:rsidRPr="007D4A3D">
              <w:t>generate and evaluate design ideas and communicate research, design options, budget and</w:t>
            </w:r>
            <w:r>
              <w:t xml:space="preserve"> </w:t>
            </w:r>
            <w:r w:rsidRPr="007D4A3D">
              <w:t>timelines in design proposals</w:t>
            </w:r>
          </w:p>
          <w:p w:rsidR="0009378F" w:rsidRDefault="0009378F" w:rsidP="0009378F">
            <w:pPr>
              <w:pStyle w:val="Bulletslevel1"/>
              <w:keepNext/>
              <w:keepLines/>
            </w:pPr>
            <w:r>
              <w:t>evaluate the suitability of products and processes against criteria and recommend improvements</w:t>
            </w:r>
          </w:p>
          <w:p w:rsidR="0009378F" w:rsidRDefault="0009378F" w:rsidP="0009378F">
            <w:pPr>
              <w:pStyle w:val="Bulletslevel1"/>
              <w:keepNext/>
              <w:keepLines/>
            </w:pPr>
            <w:r>
              <w:t>reflect on and analyse the impacts of products and processes on people, their communities and environments</w:t>
            </w:r>
          </w:p>
          <w:p w:rsidR="00934842" w:rsidRPr="00A67D85" w:rsidRDefault="0009378F" w:rsidP="0009378F">
            <w:pPr>
              <w:pStyle w:val="Bulletslevel1"/>
              <w:keepNext/>
              <w:keepLines/>
            </w:pPr>
            <w:r>
              <w:t>reflect on learning, apply new understandings and justify future applications.</w:t>
            </w:r>
          </w:p>
        </w:tc>
        <w:tc>
          <w:tcPr>
            <w:tcW w:w="5138" w:type="dxa"/>
          </w:tcPr>
          <w:p w:rsidR="00934842" w:rsidRDefault="00934842" w:rsidP="002C1299">
            <w:pPr>
              <w:pStyle w:val="Heading3"/>
              <w:keepLines/>
            </w:pPr>
            <w:r>
              <w:t>Knowledge and understanding</w:t>
            </w:r>
          </w:p>
          <w:p w:rsidR="0009378F" w:rsidRPr="007D4A3D" w:rsidRDefault="0009378F" w:rsidP="007D4A3D">
            <w:pPr>
              <w:pStyle w:val="Organiser"/>
              <w:rPr>
                <w:i/>
              </w:rPr>
            </w:pPr>
            <w:r w:rsidRPr="007D4A3D">
              <w:rPr>
                <w:i/>
              </w:rPr>
              <w:t>Technology as a human endeavour</w:t>
            </w:r>
          </w:p>
          <w:p w:rsidR="007D4A3D" w:rsidRDefault="007D4A3D" w:rsidP="007D4A3D">
            <w:pPr>
              <w:pStyle w:val="Organiser"/>
            </w:pPr>
            <w:r>
              <w:t>Technology influences and impacts on people, their communities and environments in local and global contexts.</w:t>
            </w:r>
            <w:r w:rsidRPr="00F410FA">
              <w:t xml:space="preserve"> </w:t>
            </w:r>
          </w:p>
          <w:p w:rsidR="00934842" w:rsidRDefault="0009378F" w:rsidP="007D4A3D">
            <w:pPr>
              <w:pStyle w:val="Bulletslevel1"/>
              <w:keepNext/>
              <w:keepLines/>
            </w:pPr>
            <w:r w:rsidRPr="00F410FA">
              <w:t>Product design and production decisions are influenced by aspects of appropriateness and by detailed specifications, constraints and standards of production</w:t>
            </w:r>
            <w:r w:rsidR="007D4A3D">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09378F" w:rsidRPr="0009378F" w:rsidRDefault="0009378F" w:rsidP="0009378F">
            <w:pPr>
              <w:pStyle w:val="Bulletslevel1"/>
              <w:keepNext/>
              <w:keepLines/>
              <w:rPr>
                <w:rFonts w:cs="Arial"/>
              </w:rPr>
            </w:pPr>
            <w:r>
              <w:rPr>
                <w:rFonts w:cs="Arial"/>
              </w:rPr>
              <w:t>K</w:t>
            </w:r>
            <w:r w:rsidRPr="0009378F">
              <w:rPr>
                <w:rFonts w:cs="Arial"/>
              </w:rPr>
              <w:t>nowledge and understanding</w:t>
            </w:r>
          </w:p>
          <w:p w:rsidR="0009378F" w:rsidRPr="0009378F" w:rsidRDefault="0009378F" w:rsidP="0009378F">
            <w:pPr>
              <w:pStyle w:val="Bulletslevel1"/>
              <w:keepNext/>
              <w:keepLines/>
              <w:rPr>
                <w:rFonts w:cs="Arial"/>
              </w:rPr>
            </w:pPr>
            <w:r>
              <w:rPr>
                <w:rFonts w:cs="Arial"/>
              </w:rPr>
              <w:t>I</w:t>
            </w:r>
            <w:r w:rsidRPr="0009378F">
              <w:rPr>
                <w:rFonts w:cs="Arial"/>
              </w:rPr>
              <w:t>nvestigating and designing</w:t>
            </w:r>
          </w:p>
          <w:p w:rsidR="0009378F" w:rsidRPr="0009378F" w:rsidRDefault="0009378F" w:rsidP="0009378F">
            <w:pPr>
              <w:pStyle w:val="Bulletslevel1"/>
              <w:keepNext/>
              <w:keepLines/>
              <w:rPr>
                <w:rFonts w:cs="Arial"/>
              </w:rPr>
            </w:pPr>
            <w:r>
              <w:rPr>
                <w:rFonts w:cs="Arial"/>
              </w:rPr>
              <w:t>E</w:t>
            </w:r>
            <w:r w:rsidRPr="0009378F">
              <w:rPr>
                <w:rFonts w:cs="Arial"/>
              </w:rPr>
              <w:t>valuating</w:t>
            </w:r>
          </w:p>
          <w:p w:rsidR="00B34779" w:rsidRPr="00AD12C7" w:rsidRDefault="0009378F" w:rsidP="0009378F">
            <w:pPr>
              <w:pStyle w:val="Bulletslevel1"/>
              <w:keepNext/>
              <w:keepLines/>
            </w:pPr>
            <w:r>
              <w:rPr>
                <w:rFonts w:cs="Arial"/>
              </w:rPr>
              <w:t>R</w:t>
            </w:r>
            <w:r w:rsidRPr="0009378F">
              <w:rPr>
                <w:rFonts w:cs="Arial"/>
              </w:rPr>
              <w:t>eflectin</w:t>
            </w:r>
            <w:r w:rsidRPr="0009378F">
              <w:t>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38769C">
              <w:rPr>
                <w:rStyle w:val="SourceTitleChar"/>
              </w:rPr>
              <w:t>Technology</w:t>
            </w:r>
            <w:r w:rsidRPr="00F377B6">
              <w:rPr>
                <w:rStyle w:val="SourceTitleChar"/>
              </w:rPr>
              <w:t xml:space="preserve"> Essential</w:t>
            </w:r>
            <w:r w:rsidRPr="00750B88">
              <w:rPr>
                <w:rStyle w:val="SourceTitleChar"/>
              </w:rPr>
              <w:t xml:space="preserve"> Learnings by the end of Year </w:t>
            </w:r>
            <w:r w:rsidR="0038769C">
              <w:rPr>
                <w:rStyle w:val="SourceTitleChar"/>
              </w:rPr>
              <w:t>9</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7C48DD" w:rsidRDefault="00467320" w:rsidP="007C48DD">
      <w:pPr>
        <w:pageBreakBefore/>
      </w:pPr>
      <w:r>
        <w:rPr>
          <w:noProof/>
        </w:rPr>
        <w:lastRenderedPageBreak/>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C8E" w:rsidRPr="000E7C8E">
        <w:t xml:space="preserve"> </w:t>
      </w:r>
      <w:r w:rsidR="000E7C8E">
        <w:t xml:space="preserve">Listed here are suggested </w:t>
      </w:r>
      <w:r w:rsidR="000E7C8E" w:rsidRPr="00444D1F">
        <w:rPr>
          <w:b/>
        </w:rPr>
        <w:t>learning experiences</w:t>
      </w:r>
      <w:r w:rsidR="000E7C8E">
        <w:t xml:space="preserve"> for students before </w:t>
      </w:r>
      <w:r w:rsidR="00C75C38">
        <w:t>implementing</w:t>
      </w:r>
      <w:r w:rsidR="000E7C8E">
        <w:t xml:space="preserve"> this assessment.</w:t>
      </w:r>
    </w:p>
    <w:p w:rsidR="007C48DD" w:rsidRPr="00F013B3" w:rsidRDefault="000E7C8E" w:rsidP="00F50BF7">
      <w:pPr>
        <w:pStyle w:val="Bulletslevel1"/>
        <w:spacing w:after="120"/>
      </w:pPr>
      <w:r>
        <w:t>Use</w:t>
      </w:r>
      <w:r w:rsidR="007C48DD" w:rsidRPr="00F013B3">
        <w:t xml:space="preserve"> technical graphics equipment such as compasses and drawing boards, or appropriate ICT alternatives</w:t>
      </w:r>
      <w:r>
        <w:t>.</w:t>
      </w:r>
    </w:p>
    <w:p w:rsidR="00010B77" w:rsidRDefault="000E7C8E" w:rsidP="00010B77">
      <w:pPr>
        <w:pStyle w:val="Bulletslevel1"/>
        <w:spacing w:after="120"/>
      </w:pPr>
      <w:r>
        <w:t>Explore</w:t>
      </w:r>
      <w:r w:rsidR="007C48DD" w:rsidRPr="00F013B3">
        <w:t xml:space="preserve"> general design concepts</w:t>
      </w:r>
      <w:r w:rsidR="00871C27">
        <w:t xml:space="preserve"> and </w:t>
      </w:r>
      <w:r w:rsidR="00871C27">
        <w:rPr>
          <w:lang w:val="en"/>
        </w:rPr>
        <w:t>investigate</w:t>
      </w:r>
      <w:r w:rsidR="00010B77">
        <w:rPr>
          <w:lang w:val="en"/>
        </w:rPr>
        <w:t xml:space="preserve"> attributes of good logo design</w:t>
      </w:r>
      <w:r w:rsidR="00010B77" w:rsidRPr="00F013B3">
        <w:t>.</w:t>
      </w:r>
      <w:r w:rsidR="00010B77">
        <w:t xml:space="preserve"> See </w:t>
      </w:r>
      <w:r w:rsidR="00871C27">
        <w:t>Appendix</w:t>
      </w:r>
      <w:r w:rsidR="00010B77">
        <w:t xml:space="preserve"> A: </w:t>
      </w:r>
      <w:r w:rsidR="00C75C38">
        <w:t>The design process</w:t>
      </w:r>
      <w:r w:rsidR="00010B77">
        <w:t>.</w:t>
      </w:r>
    </w:p>
    <w:p w:rsidR="007C48DD" w:rsidRPr="00F013B3" w:rsidRDefault="00B774F8" w:rsidP="00F50BF7">
      <w:pPr>
        <w:pStyle w:val="Bulletslevel1"/>
        <w:spacing w:after="120"/>
      </w:pPr>
      <w:r>
        <w:t xml:space="preserve">Conduct research using </w:t>
      </w:r>
      <w:r w:rsidR="000E7C8E">
        <w:t xml:space="preserve">a </w:t>
      </w:r>
      <w:r w:rsidR="007C48DD" w:rsidRPr="00F013B3">
        <w:t>range of sources</w:t>
      </w:r>
      <w:r w:rsidR="003312CB">
        <w:t>,</w:t>
      </w:r>
      <w:r w:rsidR="007C48DD" w:rsidRPr="00F013B3">
        <w:t xml:space="preserve"> e.g. websites, books, industry magazines</w:t>
      </w:r>
      <w:r w:rsidR="000E7C8E">
        <w:t>.</w:t>
      </w:r>
    </w:p>
    <w:p w:rsidR="007C48DD" w:rsidRPr="00F013B3" w:rsidRDefault="000E7C8E" w:rsidP="00F50BF7">
      <w:pPr>
        <w:pStyle w:val="Bulletslevel1"/>
        <w:spacing w:after="120"/>
      </w:pPr>
      <w:r>
        <w:t xml:space="preserve">Use </w:t>
      </w:r>
      <w:r w:rsidR="007C48DD" w:rsidRPr="00F013B3">
        <w:t>grids for structured symmetry and proportion</w:t>
      </w:r>
      <w:r w:rsidR="00871C27">
        <w:t xml:space="preserve"> when designing and drawing.</w:t>
      </w:r>
    </w:p>
    <w:p w:rsidR="00830476" w:rsidRDefault="000E7C8E" w:rsidP="00010B77">
      <w:pPr>
        <w:pStyle w:val="Bulletslevel1"/>
        <w:spacing w:after="120"/>
      </w:pPr>
      <w:r>
        <w:t>I</w:t>
      </w:r>
      <w:r w:rsidR="007C48DD" w:rsidRPr="00F013B3">
        <w:t>dentify different design elements of font size, colour and image forms to appeal to visual senses</w:t>
      </w:r>
      <w:r w:rsidR="003312CB">
        <w:t>.</w:t>
      </w:r>
    </w:p>
    <w:p w:rsidR="00830476" w:rsidRDefault="00830476" w:rsidP="00010B77">
      <w:pPr>
        <w:pStyle w:val="Bulletslevel1"/>
        <w:spacing w:after="120"/>
      </w:pPr>
      <w:r>
        <w:t>Practise transformation skills (see the Assessment-related r</w:t>
      </w:r>
      <w:r w:rsidRPr="00F013B3">
        <w:t>esource</w:t>
      </w:r>
      <w:r>
        <w:t xml:space="preserve">: </w:t>
      </w:r>
      <w:r w:rsidRPr="0059329C">
        <w:t>Logo transformation</w:t>
      </w:r>
      <w:r w:rsidRPr="00F013B3">
        <w:t>)</w:t>
      </w:r>
      <w:r>
        <w:t>.</w:t>
      </w:r>
    </w:p>
    <w:p w:rsidR="00C75C38" w:rsidRDefault="00C75C38" w:rsidP="00010B77">
      <w:pPr>
        <w:pStyle w:val="Bulletslevel1"/>
        <w:spacing w:after="120"/>
      </w:pPr>
      <w:r>
        <w:t>Practise reflection and evaluation skills through exploration of logo design.</w:t>
      </w:r>
    </w:p>
    <w:p w:rsidR="00830476" w:rsidRDefault="00830476" w:rsidP="00830476">
      <w:pPr>
        <w:pStyle w:val="Bulletslevel1"/>
        <w:numPr>
          <w:ilvl w:val="0"/>
          <w:numId w:val="0"/>
        </w:numPr>
        <w:spacing w:after="120"/>
      </w:pPr>
    </w:p>
    <w:tbl>
      <w:tblPr>
        <w:tblpPr w:leftFromText="180" w:rightFromText="180" w:vertAnchor="text" w:horzAnchor="margin" w:tblpY="40"/>
        <w:tblW w:w="9639" w:type="dxa"/>
        <w:tblLook w:val="01E0" w:firstRow="1" w:lastRow="1" w:firstColumn="1" w:lastColumn="1" w:noHBand="0" w:noVBand="0"/>
      </w:tblPr>
      <w:tblGrid>
        <w:gridCol w:w="1112"/>
        <w:gridCol w:w="8527"/>
      </w:tblGrid>
      <w:tr w:rsidR="00830476" w:rsidRPr="008814B0">
        <w:trPr>
          <w:trHeight w:val="586"/>
        </w:trPr>
        <w:tc>
          <w:tcPr>
            <w:tcW w:w="577" w:type="pct"/>
          </w:tcPr>
          <w:p w:rsidR="00830476" w:rsidRPr="000B2F55" w:rsidRDefault="00830476" w:rsidP="00830476">
            <w:pPr>
              <w:keepNext/>
              <w:keepLines/>
              <w:spacing w:before="0"/>
            </w:pPr>
            <w:r>
              <w:br w:type="page"/>
            </w:r>
            <w:r w:rsidR="00467320">
              <w:rPr>
                <w:noProof/>
              </w:rPr>
              <w:drawing>
                <wp:inline distT="0" distB="0" distL="0" distR="0">
                  <wp:extent cx="544830" cy="544830"/>
                  <wp:effectExtent l="0" t="0" r="762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23" w:type="pct"/>
            <w:vAlign w:val="center"/>
          </w:tcPr>
          <w:p w:rsidR="00830476" w:rsidRPr="008814B0" w:rsidRDefault="00830476" w:rsidP="00830476">
            <w:pPr>
              <w:pStyle w:val="Heading2"/>
              <w:keepLines/>
              <w:spacing w:before="0" w:after="0"/>
            </w:pPr>
            <w:r w:rsidRPr="00B03C83">
              <w:rPr>
                <w:noProof/>
              </w:rPr>
              <w:t>Teacher resources</w:t>
            </w:r>
          </w:p>
        </w:tc>
      </w:tr>
    </w:tbl>
    <w:p w:rsidR="00830476" w:rsidRDefault="00830476" w:rsidP="00830476">
      <w:pPr>
        <w:pStyle w:val="Bulletslevel1"/>
        <w:numPr>
          <w:ilvl w:val="0"/>
          <w:numId w:val="0"/>
        </w:numPr>
        <w:spacing w:after="120"/>
      </w:pPr>
      <w:r>
        <w:t>Assessment-related resource</w:t>
      </w:r>
      <w:r w:rsidR="00871C27">
        <w:t>:</w:t>
      </w:r>
      <w:r>
        <w:tab/>
        <w:t>Logo transformation</w:t>
      </w:r>
    </w:p>
    <w:p w:rsidR="00C75C38" w:rsidRDefault="00C75C38" w:rsidP="00830476">
      <w:pPr>
        <w:pStyle w:val="Bulletslevel1"/>
        <w:numPr>
          <w:ilvl w:val="0"/>
          <w:numId w:val="0"/>
        </w:numPr>
        <w:spacing w:after="120"/>
      </w:pPr>
      <w:r>
        <w:t>Appendix A</w:t>
      </w:r>
      <w:r>
        <w:tab/>
      </w:r>
      <w:r>
        <w:tab/>
        <w:t>The design process</w:t>
      </w:r>
    </w:p>
    <w:p w:rsidR="00010B77" w:rsidRDefault="00467320" w:rsidP="00C75C38">
      <w:pPr>
        <w:pStyle w:val="Heading2TOP"/>
      </w:pPr>
      <w:r>
        <w:rPr>
          <w:noProof/>
        </w:rPr>
        <w:drawing>
          <wp:anchor distT="0" distB="0" distL="114300" distR="114300" simplePos="0" relativeHeight="251659264" behindDoc="0" locked="0" layoutInCell="1" allowOverlap="1">
            <wp:simplePos x="0" y="0"/>
            <wp:positionH relativeFrom="page">
              <wp:align>center</wp:align>
            </wp:positionH>
            <wp:positionV relativeFrom="margin">
              <wp:align>top</wp:align>
            </wp:positionV>
            <wp:extent cx="6715125" cy="1320165"/>
            <wp:effectExtent l="0" t="0" r="9525" b="0"/>
            <wp:wrapSquare wrapText="bothSides"/>
            <wp:docPr id="49" name="Picture 49"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5125"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B77">
        <w:t>Preparing</w:t>
      </w:r>
    </w:p>
    <w:p w:rsidR="007C48DD" w:rsidRPr="00F013B3" w:rsidRDefault="00010B77" w:rsidP="00010B77">
      <w:r>
        <w:t>Consider these points before implementing the assessment.</w:t>
      </w:r>
    </w:p>
    <w:p w:rsidR="0059329C" w:rsidRDefault="00B774F8" w:rsidP="00C75C38">
      <w:pPr>
        <w:pStyle w:val="Bulletslevel1"/>
        <w:spacing w:after="120"/>
      </w:pPr>
      <w:r>
        <w:t>Depending on the</w:t>
      </w:r>
      <w:r w:rsidR="0059329C">
        <w:t xml:space="preserve"> level of learning or knowledge of the students</w:t>
      </w:r>
      <w:r>
        <w:t>, revise</w:t>
      </w:r>
      <w:r w:rsidR="0059329C">
        <w:t xml:space="preserve"> </w:t>
      </w:r>
      <w:r>
        <w:t xml:space="preserve">required </w:t>
      </w:r>
      <w:r w:rsidR="0059329C">
        <w:t>skills or use of specialised tools.</w:t>
      </w:r>
    </w:p>
    <w:p w:rsidR="0015404F" w:rsidRDefault="0015404F" w:rsidP="00C75C38">
      <w:pPr>
        <w:pStyle w:val="Bulletslevel1"/>
        <w:spacing w:after="120"/>
      </w:pPr>
      <w:r>
        <w:t>Arrange access to appropriate tools, materials and workspaces.</w:t>
      </w:r>
    </w:p>
    <w:p w:rsidR="0015404F" w:rsidRDefault="00396B7A" w:rsidP="00C75C38">
      <w:pPr>
        <w:pStyle w:val="Bulletslevel1"/>
        <w:spacing w:after="120"/>
      </w:pPr>
      <w:r w:rsidRPr="00F30D40">
        <w:t>Have designs, symbols and sample logos available for students to examine.</w:t>
      </w:r>
      <w:r w:rsidR="0015404F">
        <w:t xml:space="preserve"> Se</w:t>
      </w:r>
      <w:r w:rsidR="00871C27">
        <w:t>e Resources for this assessment in this booklet.</w:t>
      </w:r>
    </w:p>
    <w:p w:rsidR="00871C27" w:rsidRDefault="0059329C" w:rsidP="00C75C38">
      <w:pPr>
        <w:pStyle w:val="Bulletslevel1"/>
        <w:spacing w:after="120"/>
      </w:pPr>
      <w:r>
        <w:t xml:space="preserve">Discuss with students: </w:t>
      </w:r>
    </w:p>
    <w:p w:rsidR="00871C27" w:rsidRDefault="0059329C" w:rsidP="00C75C38">
      <w:pPr>
        <w:pStyle w:val="Bulletlevel2"/>
        <w:spacing w:before="0" w:after="80"/>
        <w:ind w:left="794" w:hanging="414"/>
      </w:pPr>
      <w:r>
        <w:t>the a</w:t>
      </w:r>
      <w:r w:rsidR="00871C27">
        <w:t>ppropriate use of the internet</w:t>
      </w:r>
    </w:p>
    <w:p w:rsidR="00871C27" w:rsidRDefault="0059329C" w:rsidP="00C75C38">
      <w:pPr>
        <w:pStyle w:val="Bulletlevel2"/>
        <w:spacing w:before="0" w:after="80"/>
        <w:ind w:left="794" w:hanging="414"/>
      </w:pPr>
      <w:r>
        <w:t>graphics roo</w:t>
      </w:r>
      <w:r w:rsidR="00871C27">
        <w:t>m etiquette and procedures</w:t>
      </w:r>
    </w:p>
    <w:p w:rsidR="0059329C" w:rsidRDefault="0059329C" w:rsidP="00871C27">
      <w:pPr>
        <w:pStyle w:val="Bulletlevel2"/>
      </w:pPr>
      <w:r>
        <w:t>appropriate use of graphics equipment.</w:t>
      </w:r>
    </w:p>
    <w:p w:rsidR="007C48DD" w:rsidRPr="00F013B3" w:rsidRDefault="0059329C" w:rsidP="00C75C38">
      <w:pPr>
        <w:pStyle w:val="Bulletslevel1"/>
        <w:spacing w:after="120"/>
      </w:pPr>
      <w:r>
        <w:t xml:space="preserve">Decide how students will </w:t>
      </w:r>
      <w:r w:rsidR="007C48DD">
        <w:t xml:space="preserve">present </w:t>
      </w:r>
      <w:r>
        <w:t xml:space="preserve">their </w:t>
      </w:r>
      <w:r w:rsidR="007C48DD">
        <w:t>finished logos</w:t>
      </w:r>
      <w:r w:rsidR="007C48DD" w:rsidRPr="00F013B3">
        <w:t xml:space="preserve"> to an audience</w:t>
      </w:r>
      <w:r w:rsidR="00871C27">
        <w:t>.</w:t>
      </w:r>
      <w:r>
        <w:t xml:space="preserve"> </w:t>
      </w:r>
      <w:r w:rsidR="00871C27">
        <w:t>S</w:t>
      </w:r>
      <w:r w:rsidR="0015404F">
        <w:t>tudents could</w:t>
      </w:r>
      <w:r w:rsidR="007C48DD" w:rsidRPr="00F013B3">
        <w:t xml:space="preserve"> enlarge their logos using skills acquired in the logo tran</w:t>
      </w:r>
      <w:r w:rsidR="007C48DD">
        <w:t>sformation process (see</w:t>
      </w:r>
      <w:r w:rsidR="00830476">
        <w:t xml:space="preserve"> Sequence learning</w:t>
      </w:r>
      <w:r w:rsidR="007C48DD" w:rsidRPr="00F013B3">
        <w:t>)</w:t>
      </w:r>
      <w:r>
        <w:t>.</w:t>
      </w:r>
    </w:p>
    <w:p w:rsidR="007C48DD" w:rsidRPr="00F013B3" w:rsidRDefault="0059329C" w:rsidP="00C75C38">
      <w:pPr>
        <w:pStyle w:val="Bulletslevel1"/>
        <w:spacing w:after="120"/>
      </w:pPr>
      <w:r>
        <w:t xml:space="preserve">Decide what format to use for the </w:t>
      </w:r>
      <w:r w:rsidR="007C48DD" w:rsidRPr="00F013B3">
        <w:t>students’ design journal</w:t>
      </w:r>
      <w:r w:rsidR="007C48DD">
        <w:t>s</w:t>
      </w:r>
      <w:r>
        <w:t>. These could be</w:t>
      </w:r>
      <w:r w:rsidR="007C48DD" w:rsidRPr="00F013B3">
        <w:t xml:space="preserve">: </w:t>
      </w:r>
    </w:p>
    <w:p w:rsidR="007C48DD" w:rsidRPr="00F013B3" w:rsidRDefault="0059329C" w:rsidP="00C75C38">
      <w:pPr>
        <w:pStyle w:val="Bulletslevel2"/>
        <w:spacing w:after="80"/>
      </w:pPr>
      <w:r>
        <w:t>printed copies of</w:t>
      </w:r>
      <w:r w:rsidR="007C48DD" w:rsidRPr="00F013B3">
        <w:t xml:space="preserve"> the </w:t>
      </w:r>
      <w:r w:rsidR="007C48DD" w:rsidRPr="000540BA">
        <w:rPr>
          <w:i/>
        </w:rPr>
        <w:t>Student booklet</w:t>
      </w:r>
      <w:r w:rsidR="007C48DD" w:rsidRPr="00F013B3">
        <w:t xml:space="preserve"> (students will probably need to insert extra pages for their notes and drawings)</w:t>
      </w:r>
    </w:p>
    <w:p w:rsidR="007C48DD" w:rsidRPr="00F013B3" w:rsidRDefault="007C48DD" w:rsidP="00C75C38">
      <w:pPr>
        <w:pStyle w:val="Bulletslevel2"/>
        <w:spacing w:after="80"/>
      </w:pPr>
      <w:r w:rsidRPr="00F013B3">
        <w:t xml:space="preserve">electronic copies of the </w:t>
      </w:r>
      <w:r w:rsidRPr="000540BA">
        <w:rPr>
          <w:i/>
        </w:rPr>
        <w:t>Student booklet</w:t>
      </w:r>
      <w:r w:rsidRPr="00F013B3">
        <w:t xml:space="preserve"> (this method makes it easier to include digital photos, but students may need to scan in sketches)</w:t>
      </w:r>
    </w:p>
    <w:p w:rsidR="007C48DD" w:rsidRPr="00F013B3" w:rsidRDefault="0059329C" w:rsidP="0059329C">
      <w:pPr>
        <w:pStyle w:val="Bulletslevel2"/>
      </w:pPr>
      <w:r>
        <w:t xml:space="preserve">other electronic formats, such as </w:t>
      </w:r>
      <w:r w:rsidR="007C48DD" w:rsidRPr="00F013B3">
        <w:t>blog</w:t>
      </w:r>
      <w:r>
        <w:t xml:space="preserve">s </w:t>
      </w:r>
      <w:r w:rsidR="007C48DD" w:rsidRPr="00F013B3">
        <w:t>or PowerPoint presentation</w:t>
      </w:r>
      <w:r w:rsidR="00830476">
        <w:t>s</w:t>
      </w:r>
      <w:r w:rsidR="007C48DD" w:rsidRPr="00F013B3">
        <w:t>.</w:t>
      </w:r>
    </w:p>
    <w:p w:rsidR="00396B7A" w:rsidRDefault="00396B7A" w:rsidP="00396B7A">
      <w:pPr>
        <w:pStyle w:val="Heading2"/>
      </w:pPr>
      <w:r>
        <w:t>Implementation</w:t>
      </w:r>
    </w:p>
    <w:p w:rsidR="00396B7A" w:rsidRDefault="00396B7A" w:rsidP="00396B7A">
      <w:r>
        <w:t>Consider these points while implementing the assessment.</w:t>
      </w:r>
    </w:p>
    <w:p w:rsidR="00830476" w:rsidRDefault="00396B7A" w:rsidP="00C75C38">
      <w:pPr>
        <w:pStyle w:val="Bulletslevel1"/>
        <w:spacing w:after="120"/>
      </w:pPr>
      <w:r w:rsidRPr="00F30D40">
        <w:t xml:space="preserve">As the core of this assessment is about learning and thinking in technology, </w:t>
      </w:r>
      <w:r w:rsidR="00830476">
        <w:t>i</w:t>
      </w:r>
      <w:r w:rsidR="00830476" w:rsidRPr="00F30D40">
        <w:t>t may be appropriate for students to verbal</w:t>
      </w:r>
      <w:r w:rsidR="00830476">
        <w:t xml:space="preserve">ly respond to parts of the </w:t>
      </w:r>
      <w:r w:rsidR="00C75C38">
        <w:t>assessment</w:t>
      </w:r>
      <w:r w:rsidR="00830476">
        <w:t xml:space="preserve">. This will allow them to </w:t>
      </w:r>
      <w:r w:rsidR="00830476" w:rsidRPr="00F30D40">
        <w:t>demonstrat</w:t>
      </w:r>
      <w:r w:rsidR="00830476">
        <w:t>e</w:t>
      </w:r>
      <w:r w:rsidR="00871C27">
        <w:t xml:space="preserve"> </w:t>
      </w:r>
      <w:r w:rsidR="00830476" w:rsidRPr="00F30D40">
        <w:t xml:space="preserve">their </w:t>
      </w:r>
      <w:r w:rsidR="00871C27">
        <w:t xml:space="preserve">understanding of technology </w:t>
      </w:r>
      <w:r w:rsidR="00830476">
        <w:t xml:space="preserve">without being constrained. </w:t>
      </w:r>
    </w:p>
    <w:p w:rsidR="00396B7A" w:rsidRDefault="00830476" w:rsidP="00C75C38">
      <w:pPr>
        <w:pStyle w:val="Bulletslevel1"/>
        <w:spacing w:after="120"/>
      </w:pPr>
      <w:r>
        <w:t>E</w:t>
      </w:r>
      <w:r w:rsidR="00396B7A" w:rsidRPr="00F30D40">
        <w:t xml:space="preserve">lements of this </w:t>
      </w:r>
      <w:r w:rsidR="00C75C38">
        <w:t>assessment</w:t>
      </w:r>
      <w:r w:rsidR="00396B7A" w:rsidRPr="00F30D40">
        <w:t xml:space="preserve"> may require modelling, scaffolding or</w:t>
      </w:r>
      <w:r>
        <w:t xml:space="preserve"> other support</w:t>
      </w:r>
      <w:r w:rsidR="00396B7A" w:rsidRPr="00F30D40">
        <w:t>, depending on individual students and the complexity of their choices.</w:t>
      </w:r>
    </w:p>
    <w:p w:rsidR="008770E9" w:rsidRDefault="008770E9" w:rsidP="00C75C38">
      <w:pPr>
        <w:pStyle w:val="Bulletslevel1"/>
        <w:spacing w:after="120"/>
        <w:rPr>
          <w:lang w:val="en"/>
        </w:rPr>
      </w:pPr>
      <w:r>
        <w:rPr>
          <w:lang w:val="en"/>
        </w:rPr>
        <w:t>Support students to investigate attributes of good logo design:</w:t>
      </w:r>
    </w:p>
    <w:p w:rsidR="008770E9" w:rsidRPr="00F013B3" w:rsidRDefault="008770E9" w:rsidP="00C75C38">
      <w:pPr>
        <w:pStyle w:val="Bulletslevel2"/>
        <w:spacing w:after="80"/>
      </w:pPr>
      <w:r w:rsidRPr="00F013B3">
        <w:t>eye</w:t>
      </w:r>
      <w:r>
        <w:t>-</w:t>
      </w:r>
      <w:r w:rsidRPr="00F013B3">
        <w:t xml:space="preserve">catching </w:t>
      </w:r>
      <w:r w:rsidR="00871C27">
        <w:t xml:space="preserve">design </w:t>
      </w:r>
      <w:r w:rsidRPr="00F013B3">
        <w:t xml:space="preserve">to have an immediate effect </w:t>
      </w:r>
    </w:p>
    <w:p w:rsidR="008770E9" w:rsidRDefault="008770E9" w:rsidP="00C75C38">
      <w:pPr>
        <w:pStyle w:val="Bulletslevel2"/>
        <w:spacing w:after="80"/>
      </w:pPr>
      <w:r w:rsidRPr="00F013B3">
        <w:t>simple but meaningful colour patterns</w:t>
      </w:r>
      <w:r>
        <w:t xml:space="preserve"> and images</w:t>
      </w:r>
    </w:p>
    <w:p w:rsidR="008770E9" w:rsidRPr="00F013B3" w:rsidRDefault="008770E9" w:rsidP="00C75C38">
      <w:pPr>
        <w:pStyle w:val="Bulletslevel2"/>
        <w:spacing w:after="80"/>
      </w:pPr>
      <w:r w:rsidRPr="00F013B3">
        <w:t xml:space="preserve">simple but </w:t>
      </w:r>
      <w:r>
        <w:t>strong</w:t>
      </w:r>
      <w:r w:rsidRPr="00F013B3">
        <w:t xml:space="preserve"> </w:t>
      </w:r>
      <w:r>
        <w:t>images</w:t>
      </w:r>
      <w:r w:rsidR="00871C27">
        <w:t xml:space="preserve"> that are</w:t>
      </w:r>
      <w:r w:rsidR="00BD1EBF">
        <w:t xml:space="preserve"> easy to reproduce</w:t>
      </w:r>
    </w:p>
    <w:p w:rsidR="008770E9" w:rsidRPr="00F013B3" w:rsidRDefault="008770E9" w:rsidP="00C75C38">
      <w:pPr>
        <w:pStyle w:val="Bulletslevel2"/>
        <w:spacing w:after="80"/>
      </w:pPr>
      <w:r w:rsidRPr="00F013B3">
        <w:t>simple style to make a statement</w:t>
      </w:r>
    </w:p>
    <w:p w:rsidR="008770E9" w:rsidRPr="00F013B3" w:rsidRDefault="008770E9" w:rsidP="00C75C38">
      <w:pPr>
        <w:pStyle w:val="Bulletslevel2"/>
        <w:spacing w:after="80"/>
      </w:pPr>
      <w:r w:rsidRPr="00F013B3">
        <w:t>distinct</w:t>
      </w:r>
      <w:r w:rsidR="00871C27">
        <w:t xml:space="preserve"> design</w:t>
      </w:r>
      <w:r>
        <w:t xml:space="preserve"> for </w:t>
      </w:r>
      <w:r w:rsidRPr="00F013B3">
        <w:t xml:space="preserve">immediate </w:t>
      </w:r>
      <w:r>
        <w:t xml:space="preserve">brand </w:t>
      </w:r>
      <w:r w:rsidRPr="00F013B3">
        <w:t>recog</w:t>
      </w:r>
      <w:r>
        <w:t>nition</w:t>
      </w:r>
    </w:p>
    <w:p w:rsidR="008770E9" w:rsidRPr="00F013B3" w:rsidRDefault="008770E9" w:rsidP="00C75C38">
      <w:pPr>
        <w:pStyle w:val="Bulletslevel2"/>
        <w:spacing w:after="80"/>
      </w:pPr>
      <w:r>
        <w:t>clear representation of product or service</w:t>
      </w:r>
    </w:p>
    <w:p w:rsidR="008770E9" w:rsidRDefault="00871C27" w:rsidP="00C75C38">
      <w:pPr>
        <w:pStyle w:val="Bulletslevel2"/>
        <w:spacing w:after="120"/>
      </w:pPr>
      <w:r>
        <w:t>original idea —</w:t>
      </w:r>
      <w:r w:rsidR="008770E9">
        <w:t xml:space="preserve"> does not </w:t>
      </w:r>
      <w:r w:rsidR="008770E9" w:rsidRPr="00F013B3">
        <w:t>copy other leading brands e.g. Coke, Nike.</w:t>
      </w:r>
    </w:p>
    <w:p w:rsidR="0062638D" w:rsidRDefault="0062638D" w:rsidP="00C75C38">
      <w:pPr>
        <w:pStyle w:val="Heading2TOP"/>
      </w:pPr>
      <w:r>
        <w:t>Sample implementation plan</w:t>
      </w:r>
    </w:p>
    <w:p w:rsidR="00403FC7" w:rsidRDefault="00C163D2" w:rsidP="00F30D40">
      <w:r w:rsidRPr="00C163D2">
        <w:t>This table shows one way that this assessment can be implemented. It is a guide only — you may choose to use all, part, or none of the table. Adapt the tabl</w:t>
      </w:r>
      <w:r w:rsidR="00871C27">
        <w:t>e to suit your students and the</w:t>
      </w:r>
      <w:r w:rsidRPr="00C163D2">
        <w:t xml:space="preserve">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4860"/>
        <w:gridCol w:w="2798"/>
      </w:tblGrid>
      <w:tr w:rsidR="00216C8D" w:rsidRPr="009D15D5">
        <w:trPr>
          <w:jc w:val="center"/>
        </w:trPr>
        <w:tc>
          <w:tcPr>
            <w:tcW w:w="1981" w:type="dxa"/>
            <w:shd w:val="clear" w:color="auto" w:fill="CCCCCC"/>
          </w:tcPr>
          <w:p w:rsidR="00216C8D" w:rsidRPr="009D15D5" w:rsidRDefault="00216C8D" w:rsidP="00C163D2">
            <w:pPr>
              <w:spacing w:before="120" w:after="120"/>
              <w:rPr>
                <w:b/>
              </w:rPr>
            </w:pPr>
            <w:r w:rsidRPr="009D15D5">
              <w:rPr>
                <w:b/>
              </w:rPr>
              <w:t>Suggested time</w:t>
            </w:r>
          </w:p>
        </w:tc>
        <w:tc>
          <w:tcPr>
            <w:tcW w:w="4860" w:type="dxa"/>
            <w:shd w:val="clear" w:color="auto" w:fill="CCCCCC"/>
          </w:tcPr>
          <w:p w:rsidR="00216C8D" w:rsidRPr="009D15D5" w:rsidRDefault="00216C8D" w:rsidP="00C11F18">
            <w:pPr>
              <w:keepNext/>
              <w:spacing w:before="120" w:after="120"/>
              <w:rPr>
                <w:b/>
              </w:rPr>
            </w:pPr>
            <w:r w:rsidRPr="009D15D5">
              <w:rPr>
                <w:b/>
              </w:rPr>
              <w:t>Student activity</w:t>
            </w:r>
          </w:p>
        </w:tc>
        <w:tc>
          <w:tcPr>
            <w:tcW w:w="2798"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9D15D5" w:rsidRDefault="0062638D" w:rsidP="00C163D2">
            <w:pPr>
              <w:spacing w:before="120" w:after="120"/>
              <w:rPr>
                <w:b/>
              </w:rPr>
            </w:pPr>
            <w:r>
              <w:rPr>
                <w:b/>
              </w:rPr>
              <w:t xml:space="preserve">Section 1. </w:t>
            </w:r>
            <w:r w:rsidR="00C163D2">
              <w:rPr>
                <w:b/>
              </w:rPr>
              <w:t>Investigation</w:t>
            </w:r>
          </w:p>
        </w:tc>
      </w:tr>
      <w:tr w:rsidR="00C163D2">
        <w:trPr>
          <w:trHeight w:val="820"/>
          <w:jc w:val="center"/>
        </w:trPr>
        <w:tc>
          <w:tcPr>
            <w:tcW w:w="1981" w:type="dxa"/>
            <w:tcBorders>
              <w:bottom w:val="single" w:sz="4" w:space="0" w:color="auto"/>
            </w:tcBorders>
          </w:tcPr>
          <w:p w:rsidR="00C163D2" w:rsidRPr="00964AFA" w:rsidRDefault="00C163D2" w:rsidP="00C163D2">
            <w:pPr>
              <w:pStyle w:val="tablesml"/>
              <w:keepNext w:val="0"/>
            </w:pPr>
            <w:r>
              <w:t>90 min</w:t>
            </w:r>
            <w:r w:rsidR="00871C27">
              <w:t>utes.</w:t>
            </w:r>
          </w:p>
          <w:p w:rsidR="00C163D2" w:rsidRPr="00964AFA" w:rsidRDefault="00C163D2" w:rsidP="00C163D2">
            <w:pPr>
              <w:pStyle w:val="tablesml"/>
              <w:keepNext w:val="0"/>
            </w:pPr>
          </w:p>
        </w:tc>
        <w:tc>
          <w:tcPr>
            <w:tcW w:w="4860" w:type="dxa"/>
            <w:tcBorders>
              <w:bottom w:val="single" w:sz="4" w:space="0" w:color="auto"/>
            </w:tcBorders>
          </w:tcPr>
          <w:p w:rsidR="00C163D2" w:rsidRPr="00DE31DB" w:rsidRDefault="000F46C0" w:rsidP="00830476">
            <w:pPr>
              <w:spacing w:line="260" w:lineRule="atLeast"/>
            </w:pPr>
            <w:r>
              <w:t>W</w:t>
            </w:r>
            <w:r w:rsidR="00C163D2" w:rsidRPr="00DE31DB">
              <w:t xml:space="preserve">rite a suitable definition of </w:t>
            </w:r>
            <w:r w:rsidR="00C163D2">
              <w:t>a logo</w:t>
            </w:r>
            <w:r w:rsidR="00830476">
              <w:t>.</w:t>
            </w:r>
          </w:p>
          <w:p w:rsidR="00C163D2" w:rsidRPr="007F16DB" w:rsidRDefault="000F46C0" w:rsidP="00396B7A">
            <w:pPr>
              <w:pStyle w:val="Bulletslevel1"/>
              <w:numPr>
                <w:ilvl w:val="0"/>
                <w:numId w:val="0"/>
              </w:numPr>
              <w:spacing w:line="260" w:lineRule="atLeast"/>
            </w:pPr>
            <w:r>
              <w:t>Identi</w:t>
            </w:r>
            <w:r w:rsidR="00C163D2">
              <w:t>fy</w:t>
            </w:r>
            <w:r w:rsidR="00C163D2" w:rsidRPr="007F16DB">
              <w:t xml:space="preserve"> important desi</w:t>
            </w:r>
            <w:r w:rsidR="001601CA">
              <w:t>gn attributes relevant to this assessment. Designs should:</w:t>
            </w:r>
          </w:p>
          <w:p w:rsidR="00C163D2" w:rsidRPr="00763F43" w:rsidRDefault="00C163D2" w:rsidP="00C163D2">
            <w:pPr>
              <w:pStyle w:val="Bulletslevel1"/>
              <w:spacing w:line="260" w:lineRule="atLeast"/>
            </w:pPr>
            <w:r w:rsidRPr="00763F43">
              <w:t>be eye</w:t>
            </w:r>
            <w:r w:rsidR="00830476">
              <w:t>-</w:t>
            </w:r>
            <w:r w:rsidRPr="00763F43">
              <w:t>catching</w:t>
            </w:r>
            <w:r>
              <w:t xml:space="preserve"> </w:t>
            </w:r>
            <w:r w:rsidR="00073D57">
              <w:t>—</w:t>
            </w:r>
            <w:r>
              <w:t xml:space="preserve"> </w:t>
            </w:r>
            <w:r w:rsidRPr="00763F43">
              <w:t>can be elaborate but simple enough to be noticed</w:t>
            </w:r>
          </w:p>
          <w:p w:rsidR="00C163D2" w:rsidRPr="00763F43" w:rsidRDefault="00C163D2" w:rsidP="00C163D2">
            <w:pPr>
              <w:pStyle w:val="Bulletslevel1"/>
              <w:spacing w:line="260" w:lineRule="atLeast"/>
            </w:pPr>
            <w:r w:rsidRPr="00763F43">
              <w:t xml:space="preserve">be memorable and unique to make a statement about </w:t>
            </w:r>
            <w:r w:rsidR="0015404F">
              <w:t>the</w:t>
            </w:r>
            <w:r w:rsidRPr="00763F43">
              <w:t xml:space="preserve"> company</w:t>
            </w:r>
          </w:p>
          <w:p w:rsidR="00C163D2" w:rsidRDefault="00830476" w:rsidP="00C163D2">
            <w:pPr>
              <w:pStyle w:val="Bulletslevel1"/>
              <w:spacing w:line="260" w:lineRule="atLeast"/>
            </w:pPr>
            <w:r>
              <w:t>use</w:t>
            </w:r>
            <w:r w:rsidR="00C163D2" w:rsidRPr="00763F43">
              <w:t xml:space="preserve"> font</w:t>
            </w:r>
            <w:r>
              <w:t>s</w:t>
            </w:r>
            <w:r w:rsidR="00C163D2" w:rsidRPr="00763F43">
              <w:t xml:space="preserve"> and colour</w:t>
            </w:r>
            <w:r>
              <w:t xml:space="preserve">s that are appropriate to the </w:t>
            </w:r>
            <w:r w:rsidR="00C163D2" w:rsidRPr="00763F43">
              <w:t xml:space="preserve">business </w:t>
            </w:r>
            <w:r>
              <w:t>and have the desired</w:t>
            </w:r>
            <w:r w:rsidR="00C163D2" w:rsidRPr="00763F43">
              <w:t xml:space="preserve"> effect on people</w:t>
            </w:r>
          </w:p>
          <w:p w:rsidR="00396B7A" w:rsidRDefault="00C163D2" w:rsidP="00871C27">
            <w:pPr>
              <w:pStyle w:val="Bulletslevel1"/>
              <w:spacing w:line="260" w:lineRule="atLeast"/>
            </w:pPr>
            <w:r w:rsidRPr="00763F43">
              <w:t xml:space="preserve">distinguish </w:t>
            </w:r>
            <w:r w:rsidR="0015404F">
              <w:t>the</w:t>
            </w:r>
            <w:r w:rsidRPr="00763F43">
              <w:t xml:space="preserve"> company from competitors</w:t>
            </w:r>
            <w:r w:rsidR="00396B7A">
              <w:t>.</w:t>
            </w:r>
          </w:p>
          <w:p w:rsidR="000F46C0" w:rsidRPr="00964AFA" w:rsidRDefault="000F46C0" w:rsidP="00396B7A">
            <w:pPr>
              <w:pStyle w:val="Bulletslevel1"/>
              <w:numPr>
                <w:ilvl w:val="0"/>
                <w:numId w:val="0"/>
              </w:numPr>
            </w:pPr>
            <w:r>
              <w:t xml:space="preserve">Investigate the landscaping industry and collect a folio of </w:t>
            </w:r>
            <w:r w:rsidR="007C03A8">
              <w:t>sample</w:t>
            </w:r>
            <w:r>
              <w:t xml:space="preserve"> logos.</w:t>
            </w:r>
          </w:p>
        </w:tc>
        <w:tc>
          <w:tcPr>
            <w:tcW w:w="2798" w:type="dxa"/>
            <w:tcBorders>
              <w:bottom w:val="single" w:sz="4" w:space="0" w:color="auto"/>
            </w:tcBorders>
          </w:tcPr>
          <w:p w:rsidR="00396B7A" w:rsidRDefault="00396B7A" w:rsidP="00C163D2">
            <w:r>
              <w:t>Provide access to</w:t>
            </w:r>
            <w:r w:rsidRPr="00396B7A">
              <w:t xml:space="preserve"> designs, symbols and sample logos for students to examine.</w:t>
            </w:r>
          </w:p>
          <w:p w:rsidR="00C163D2" w:rsidRDefault="00C163D2" w:rsidP="00C163D2">
            <w:r>
              <w:t>Model use of a design folio (</w:t>
            </w:r>
            <w:r w:rsidRPr="00577F52">
              <w:rPr>
                <w:i/>
              </w:rPr>
              <w:t>Student booklet</w:t>
            </w:r>
            <w:r>
              <w:t>) to compile information and ideas.</w:t>
            </w:r>
          </w:p>
          <w:p w:rsidR="00C163D2" w:rsidRPr="00964AFA" w:rsidRDefault="00C163D2" w:rsidP="00964AFA">
            <w:pPr>
              <w:pStyle w:val="tablesml"/>
            </w:pPr>
          </w:p>
        </w:tc>
      </w:tr>
      <w:tr w:rsidR="0035229C">
        <w:trPr>
          <w:trHeight w:val="387"/>
          <w:jc w:val="center"/>
        </w:trPr>
        <w:tc>
          <w:tcPr>
            <w:tcW w:w="9639" w:type="dxa"/>
            <w:gridSpan w:val="3"/>
            <w:shd w:val="clear" w:color="auto" w:fill="E6E6E6"/>
          </w:tcPr>
          <w:p w:rsidR="0035229C" w:rsidRDefault="0062638D" w:rsidP="00C163D2">
            <w:r>
              <w:rPr>
                <w:b/>
              </w:rPr>
              <w:t xml:space="preserve">Section 2. </w:t>
            </w:r>
            <w:r w:rsidR="0035229C">
              <w:rPr>
                <w:b/>
              </w:rPr>
              <w:t>Design</w:t>
            </w:r>
          </w:p>
        </w:tc>
      </w:tr>
      <w:tr w:rsidR="0035229C">
        <w:trPr>
          <w:trHeight w:val="820"/>
          <w:jc w:val="center"/>
        </w:trPr>
        <w:tc>
          <w:tcPr>
            <w:tcW w:w="1981" w:type="dxa"/>
          </w:tcPr>
          <w:p w:rsidR="0035229C" w:rsidRDefault="0035229C" w:rsidP="00C163D2">
            <w:pPr>
              <w:pStyle w:val="tablesml"/>
              <w:keepNext w:val="0"/>
            </w:pPr>
            <w:r>
              <w:t>90 min</w:t>
            </w:r>
            <w:r w:rsidR="007C03A8">
              <w:t>utes.</w:t>
            </w:r>
          </w:p>
        </w:tc>
        <w:tc>
          <w:tcPr>
            <w:tcW w:w="4860" w:type="dxa"/>
          </w:tcPr>
          <w:p w:rsidR="0035229C" w:rsidRDefault="000F46C0" w:rsidP="0035229C">
            <w:pPr>
              <w:rPr>
                <w:i/>
              </w:rPr>
            </w:pPr>
            <w:r>
              <w:t>S</w:t>
            </w:r>
            <w:r w:rsidR="00825C29">
              <w:t>tart</w:t>
            </w:r>
            <w:r w:rsidR="0035229C">
              <w:t xml:space="preserve"> </w:t>
            </w:r>
            <w:r>
              <w:t xml:space="preserve">designing </w:t>
            </w:r>
            <w:r w:rsidR="0035229C">
              <w:t>logo</w:t>
            </w:r>
            <w:r w:rsidR="007C03A8">
              <w:t>s and</w:t>
            </w:r>
            <w:r>
              <w:t xml:space="preserve"> </w:t>
            </w:r>
            <w:r w:rsidR="0035229C">
              <w:t xml:space="preserve">documenting progress in </w:t>
            </w:r>
            <w:r w:rsidR="0035229C">
              <w:rPr>
                <w:i/>
              </w:rPr>
              <w:t>Student booklet.</w:t>
            </w:r>
          </w:p>
          <w:p w:rsidR="0035229C" w:rsidRDefault="000F46C0" w:rsidP="0035229C">
            <w:r>
              <w:t>Develop three design ideas and e</w:t>
            </w:r>
            <w:r w:rsidR="0035229C">
              <w:t>xperiment with:</w:t>
            </w:r>
          </w:p>
          <w:p w:rsidR="0035229C" w:rsidRDefault="0035229C" w:rsidP="00904DC7">
            <w:pPr>
              <w:pStyle w:val="Bulletslevel1"/>
            </w:pPr>
            <w:r>
              <w:t>using templates to reproduce basic shapes depicting the various elements of their logo such as trucks</w:t>
            </w:r>
            <w:r w:rsidR="007C03A8">
              <w:t xml:space="preserve">, </w:t>
            </w:r>
            <w:r>
              <w:t>boulders</w:t>
            </w:r>
            <w:r w:rsidR="007C03A8">
              <w:t>, or</w:t>
            </w:r>
            <w:r>
              <w:t xml:space="preserve"> trees</w:t>
            </w:r>
          </w:p>
          <w:p w:rsidR="0035229C" w:rsidRDefault="0035229C" w:rsidP="00904DC7">
            <w:pPr>
              <w:pStyle w:val="Bulletslevel1"/>
            </w:pPr>
            <w:r>
              <w:t>manipulating shape, colours and textures using coloured paper, crayons, paints</w:t>
            </w:r>
            <w:r w:rsidR="00C75C38">
              <w:t>,</w:t>
            </w:r>
            <w:r>
              <w:t xml:space="preserve"> etc. </w:t>
            </w:r>
          </w:p>
          <w:p w:rsidR="0035229C" w:rsidRDefault="0035229C" w:rsidP="00904DC7">
            <w:pPr>
              <w:pStyle w:val="Bulletslevel1"/>
            </w:pPr>
            <w:r>
              <w:t>using ICTs</w:t>
            </w:r>
            <w:r w:rsidR="00073D57">
              <w:t>.</w:t>
            </w:r>
          </w:p>
          <w:p w:rsidR="0035229C" w:rsidRPr="006C2528" w:rsidRDefault="0035229C" w:rsidP="0035229C">
            <w:pPr>
              <w:spacing w:line="260" w:lineRule="atLeast"/>
            </w:pPr>
          </w:p>
        </w:tc>
        <w:tc>
          <w:tcPr>
            <w:tcW w:w="2798" w:type="dxa"/>
          </w:tcPr>
          <w:p w:rsidR="00825C29" w:rsidRDefault="00825C29" w:rsidP="0035229C">
            <w:r>
              <w:t>Provide access to appropriate tools, materials and workspaces.</w:t>
            </w:r>
          </w:p>
          <w:p w:rsidR="0035229C" w:rsidRDefault="0035229C" w:rsidP="0035229C">
            <w:r>
              <w:t>Model safe techniques and processes. Encourage exploration of diverse materials and techniques</w:t>
            </w:r>
            <w:r w:rsidR="007C03A8">
              <w:t>,</w:t>
            </w:r>
            <w:r>
              <w:t xml:space="preserve"> </w:t>
            </w:r>
            <w:r w:rsidR="00073D57">
              <w:t>e.g.</w:t>
            </w:r>
            <w:r>
              <w:t xml:space="preserve"> card, vinyl, PVA glue, stickers, staples. </w:t>
            </w:r>
          </w:p>
          <w:p w:rsidR="0035229C" w:rsidRDefault="0035229C" w:rsidP="0035229C">
            <w:r>
              <w:t xml:space="preserve">Assess designs and give approval once </w:t>
            </w:r>
            <w:r w:rsidR="007C03A8">
              <w:t>students</w:t>
            </w:r>
            <w:r>
              <w:t xml:space="preserve"> are ready to move on to the </w:t>
            </w:r>
            <w:r w:rsidR="000F46C0">
              <w:t>p</w:t>
            </w:r>
            <w:r>
              <w:t>roduction phase.</w:t>
            </w:r>
          </w:p>
        </w:tc>
      </w:tr>
      <w:tr w:rsidR="00150425">
        <w:trPr>
          <w:trHeight w:val="313"/>
          <w:jc w:val="center"/>
        </w:trPr>
        <w:tc>
          <w:tcPr>
            <w:tcW w:w="9639" w:type="dxa"/>
            <w:gridSpan w:val="3"/>
            <w:shd w:val="clear" w:color="auto" w:fill="E6E6E6"/>
          </w:tcPr>
          <w:p w:rsidR="00150425" w:rsidRDefault="0062638D" w:rsidP="00150425">
            <w:pPr>
              <w:keepNext/>
              <w:spacing w:before="120" w:after="120"/>
            </w:pPr>
            <w:r>
              <w:rPr>
                <w:b/>
              </w:rPr>
              <w:t xml:space="preserve">Section 3. </w:t>
            </w:r>
            <w:r w:rsidR="00150425" w:rsidRPr="00150425">
              <w:rPr>
                <w:b/>
              </w:rPr>
              <w:t>Production</w:t>
            </w:r>
          </w:p>
        </w:tc>
      </w:tr>
      <w:tr w:rsidR="00150425">
        <w:trPr>
          <w:trHeight w:val="820"/>
          <w:jc w:val="center"/>
        </w:trPr>
        <w:tc>
          <w:tcPr>
            <w:tcW w:w="1981" w:type="dxa"/>
            <w:tcBorders>
              <w:bottom w:val="single" w:sz="4" w:space="0" w:color="auto"/>
            </w:tcBorders>
          </w:tcPr>
          <w:p w:rsidR="00150425" w:rsidRDefault="00150425" w:rsidP="00964AFA">
            <w:pPr>
              <w:pStyle w:val="tablesml"/>
            </w:pPr>
            <w:r>
              <w:t>90 min</w:t>
            </w:r>
            <w:r w:rsidR="00FA1334">
              <w:t>utes.</w:t>
            </w:r>
          </w:p>
        </w:tc>
        <w:tc>
          <w:tcPr>
            <w:tcW w:w="4860" w:type="dxa"/>
            <w:tcBorders>
              <w:bottom w:val="single" w:sz="4" w:space="0" w:color="auto"/>
            </w:tcBorders>
          </w:tcPr>
          <w:p w:rsidR="00150425" w:rsidRDefault="00150425" w:rsidP="00150425">
            <w:r>
              <w:t xml:space="preserve">Produce final design, including labelled sketch and final design layout (see </w:t>
            </w:r>
            <w:r w:rsidRPr="00DA1A25">
              <w:rPr>
                <w:i/>
              </w:rPr>
              <w:t>Student booklet</w:t>
            </w:r>
            <w:r>
              <w:t>).</w:t>
            </w:r>
          </w:p>
        </w:tc>
        <w:tc>
          <w:tcPr>
            <w:tcW w:w="2798" w:type="dxa"/>
            <w:tcBorders>
              <w:bottom w:val="single" w:sz="4" w:space="0" w:color="auto"/>
            </w:tcBorders>
          </w:tcPr>
          <w:p w:rsidR="00150425" w:rsidRDefault="00150425" w:rsidP="00150425">
            <w:r>
              <w:t>Provide access to appropriate tools, materials and workspaces.</w:t>
            </w:r>
          </w:p>
        </w:tc>
      </w:tr>
      <w:tr w:rsidR="00150425">
        <w:trPr>
          <w:trHeight w:val="555"/>
          <w:jc w:val="center"/>
        </w:trPr>
        <w:tc>
          <w:tcPr>
            <w:tcW w:w="9639" w:type="dxa"/>
            <w:gridSpan w:val="3"/>
            <w:shd w:val="clear" w:color="auto" w:fill="E6E6E6"/>
          </w:tcPr>
          <w:p w:rsidR="00150425" w:rsidRDefault="0062638D" w:rsidP="00150425">
            <w:pPr>
              <w:keepNext/>
              <w:spacing w:before="120" w:after="120"/>
            </w:pPr>
            <w:r>
              <w:rPr>
                <w:b/>
              </w:rPr>
              <w:t xml:space="preserve">Section 4. </w:t>
            </w:r>
            <w:r w:rsidR="00150425" w:rsidRPr="00150425">
              <w:rPr>
                <w:b/>
              </w:rPr>
              <w:t>Evaluation and reflection</w:t>
            </w:r>
          </w:p>
        </w:tc>
      </w:tr>
      <w:tr w:rsidR="00150425">
        <w:trPr>
          <w:trHeight w:val="820"/>
          <w:jc w:val="center"/>
        </w:trPr>
        <w:tc>
          <w:tcPr>
            <w:tcW w:w="1981" w:type="dxa"/>
          </w:tcPr>
          <w:p w:rsidR="00150425" w:rsidRDefault="00150425" w:rsidP="0035229C">
            <w:pPr>
              <w:pStyle w:val="tablesml"/>
            </w:pPr>
            <w:r>
              <w:t>1 hour</w:t>
            </w:r>
          </w:p>
        </w:tc>
        <w:tc>
          <w:tcPr>
            <w:tcW w:w="4860" w:type="dxa"/>
          </w:tcPr>
          <w:p w:rsidR="00150425" w:rsidRDefault="000F46C0" w:rsidP="00150425">
            <w:pPr>
              <w:keepNext/>
              <w:keepLines/>
            </w:pPr>
            <w:r>
              <w:t>Self-</w:t>
            </w:r>
            <w:r w:rsidR="00150425">
              <w:t xml:space="preserve">evaluation of product </w:t>
            </w:r>
            <w:r w:rsidR="006362FE">
              <w:t>—</w:t>
            </w:r>
            <w:r w:rsidR="00150425">
              <w:t xml:space="preserve"> </w:t>
            </w:r>
            <w:r w:rsidR="00C75C38">
              <w:t>whether</w:t>
            </w:r>
            <w:r w:rsidR="00150425">
              <w:t xml:space="preserve"> c</w:t>
            </w:r>
            <w:r w:rsidR="00150425" w:rsidRPr="00DE31DB">
              <w:t>ompleted design address</w:t>
            </w:r>
            <w:r w:rsidR="00C75C38">
              <w:t>es</w:t>
            </w:r>
            <w:r w:rsidR="00150425" w:rsidRPr="00DE31DB">
              <w:t xml:space="preserve"> all criteria, </w:t>
            </w:r>
            <w:r w:rsidR="00150425">
              <w:t>and show</w:t>
            </w:r>
            <w:r w:rsidR="00C75C38">
              <w:t>s</w:t>
            </w:r>
            <w:r w:rsidR="00150425" w:rsidRPr="00DE31DB">
              <w:t xml:space="preserve"> progressive design mo</w:t>
            </w:r>
            <w:r w:rsidR="00C75C38">
              <w:t>difications based on evaluation.</w:t>
            </w:r>
          </w:p>
          <w:p w:rsidR="00C75C38" w:rsidRDefault="000F46C0" w:rsidP="00150425">
            <w:r>
              <w:t>P</w:t>
            </w:r>
            <w:r w:rsidR="00150425">
              <w:t>ersonal reflection on learning process</w:t>
            </w:r>
            <w:r>
              <w:t>.</w:t>
            </w:r>
          </w:p>
          <w:p w:rsidR="00150425" w:rsidRDefault="000F46C0" w:rsidP="00150425">
            <w:r>
              <w:t>Group discussion of</w:t>
            </w:r>
            <w:r w:rsidR="00150425" w:rsidRPr="00DE31DB">
              <w:t xml:space="preserve"> new learning and how it can be applied in broader contexts</w:t>
            </w:r>
            <w:r w:rsidR="00530665">
              <w:t>.</w:t>
            </w:r>
          </w:p>
        </w:tc>
        <w:tc>
          <w:tcPr>
            <w:tcW w:w="2798" w:type="dxa"/>
          </w:tcPr>
          <w:p w:rsidR="00460AEA" w:rsidRDefault="00150425" w:rsidP="00460AEA">
            <w:r>
              <w:t>Model appropriate feedback and critique</w:t>
            </w:r>
            <w:r w:rsidR="00406629">
              <w:t>.</w:t>
            </w:r>
            <w:r w:rsidR="00460AEA">
              <w:t xml:space="preserve"> Facilitate evaluation and reflection (see </w:t>
            </w:r>
            <w:r w:rsidR="00460AEA" w:rsidRPr="00FE65D4">
              <w:rPr>
                <w:i/>
              </w:rPr>
              <w:t>Student booklet</w:t>
            </w:r>
            <w:r w:rsidR="00460AEA">
              <w:t>).</w:t>
            </w:r>
          </w:p>
          <w:p w:rsidR="00825C29" w:rsidRDefault="006362FE" w:rsidP="00825C29">
            <w:r>
              <w:t>F</w:t>
            </w:r>
            <w:r w:rsidR="00150425">
              <w:t xml:space="preserve">acilitate group </w:t>
            </w:r>
            <w:r w:rsidR="00460AEA">
              <w:t>discussion.</w:t>
            </w:r>
          </w:p>
        </w:tc>
      </w:tr>
    </w:tbl>
    <w:p w:rsidR="0015404F" w:rsidRDefault="0015404F" w:rsidP="0015404F"/>
    <w:tbl>
      <w:tblPr>
        <w:tblW w:w="9639" w:type="dxa"/>
        <w:tblLook w:val="01E0" w:firstRow="1" w:lastRow="1" w:firstColumn="1" w:lastColumn="1" w:noHBand="0" w:noVBand="0"/>
      </w:tblPr>
      <w:tblGrid>
        <w:gridCol w:w="1086"/>
        <w:gridCol w:w="8553"/>
      </w:tblGrid>
      <w:tr w:rsidR="0015404F" w:rsidRPr="008814B0">
        <w:trPr>
          <w:trHeight w:val="870"/>
        </w:trPr>
        <w:tc>
          <w:tcPr>
            <w:tcW w:w="557" w:type="pct"/>
          </w:tcPr>
          <w:p w:rsidR="0015404F" w:rsidRPr="000B2F55" w:rsidRDefault="00467320" w:rsidP="00FA1334">
            <w:pPr>
              <w:keepNext/>
              <w:spacing w:before="0" w:after="0" w:line="240" w:lineRule="auto"/>
            </w:pPr>
            <w:r>
              <w:rPr>
                <w:noProof/>
              </w:rPr>
              <w:drawing>
                <wp:inline distT="0" distB="0" distL="0" distR="0">
                  <wp:extent cx="544830" cy="544830"/>
                  <wp:effectExtent l="0" t="0" r="762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15404F" w:rsidRPr="008814B0" w:rsidRDefault="0015404F" w:rsidP="00FA1334">
            <w:pPr>
              <w:pStyle w:val="Heading2"/>
              <w:spacing w:before="0" w:after="0"/>
            </w:pPr>
            <w:r>
              <w:rPr>
                <w:noProof/>
              </w:rPr>
              <w:t>Resources for this assessment</w:t>
            </w:r>
          </w:p>
        </w:tc>
      </w:tr>
    </w:tbl>
    <w:p w:rsidR="0015404F" w:rsidRPr="00753886" w:rsidRDefault="0015404F" w:rsidP="00FA1334">
      <w:pPr>
        <w:pStyle w:val="Heading3"/>
      </w:pPr>
      <w:r w:rsidRPr="00753886">
        <w:t>Textbook</w:t>
      </w:r>
      <w:r>
        <w:t>s</w:t>
      </w:r>
    </w:p>
    <w:p w:rsidR="00FA1334" w:rsidRPr="006C2528" w:rsidRDefault="00FA1334" w:rsidP="00FA1334">
      <w:pPr>
        <w:keepNext/>
        <w:tabs>
          <w:tab w:val="left" w:pos="360"/>
        </w:tabs>
      </w:pPr>
      <w:r w:rsidRPr="007A3C85">
        <w:rPr>
          <w:iCs/>
        </w:rPr>
        <w:t>Slynko</w:t>
      </w:r>
      <w:r>
        <w:rPr>
          <w:iCs/>
        </w:rPr>
        <w:t>, B</w:t>
      </w:r>
      <w:r w:rsidRPr="007A3C85">
        <w:t xml:space="preserve"> 1991, </w:t>
      </w:r>
      <w:r w:rsidRPr="007A3C85">
        <w:rPr>
          <w:i/>
          <w:iCs/>
        </w:rPr>
        <w:t>Introducing Technology</w:t>
      </w:r>
      <w:r>
        <w:rPr>
          <w:iCs/>
        </w:rPr>
        <w:t>,</w:t>
      </w:r>
      <w:r>
        <w:t xml:space="preserve"> </w:t>
      </w:r>
      <w:smartTag w:uri="urn:schemas-microsoft-com:office:smarttags" w:element="PlaceName">
        <w:r>
          <w:t>Moreton</w:t>
        </w:r>
      </w:smartTag>
      <w:r>
        <w:t xml:space="preserve"> </w:t>
      </w:r>
      <w:smartTag w:uri="urn:schemas-microsoft-com:office:smarttags" w:element="PlaceType">
        <w:r>
          <w:t>Bay</w:t>
        </w:r>
      </w:smartTag>
      <w:r>
        <w:t xml:space="preserve"> Publishing, </w:t>
      </w:r>
      <w:smartTag w:uri="urn:schemas-microsoft-com:office:smarttags" w:element="place">
        <w:r>
          <w:t>West End</w:t>
        </w:r>
      </w:smartTag>
      <w:r>
        <w:t>, Qld.</w:t>
      </w:r>
    </w:p>
    <w:p w:rsidR="00FA1334" w:rsidRDefault="00FA1334" w:rsidP="00FA1334">
      <w:pPr>
        <w:keepNext/>
        <w:tabs>
          <w:tab w:val="left" w:pos="360"/>
        </w:tabs>
      </w:pPr>
      <w:r>
        <w:t>Wheeler, A</w:t>
      </w:r>
      <w:r w:rsidR="0015404F">
        <w:t xml:space="preserve"> </w:t>
      </w:r>
      <w:r w:rsidR="0015404F" w:rsidRPr="007A3C85">
        <w:t>2006</w:t>
      </w:r>
      <w:r w:rsidR="0015404F">
        <w:t>,</w:t>
      </w:r>
      <w:r w:rsidR="0015404F" w:rsidRPr="007A3C85">
        <w:t xml:space="preserve"> </w:t>
      </w:r>
      <w:r w:rsidRPr="007A3C85">
        <w:rPr>
          <w:i/>
          <w:iCs/>
        </w:rPr>
        <w:t>Designing Brand Identity</w:t>
      </w:r>
      <w:r>
        <w:rPr>
          <w:iCs/>
        </w:rPr>
        <w:t>,</w:t>
      </w:r>
      <w:r w:rsidRPr="007A3C85">
        <w:t xml:space="preserve"> </w:t>
      </w:r>
      <w:r w:rsidR="0015404F" w:rsidRPr="007A3C85">
        <w:t>John Wiley &amp; Sons,</w:t>
      </w:r>
      <w:r w:rsidR="0015404F">
        <w:t xml:space="preserve"> </w:t>
      </w:r>
      <w:smartTag w:uri="urn:schemas-microsoft-com:office:smarttags" w:element="place">
        <w:smartTag w:uri="urn:schemas-microsoft-com:office:smarttags" w:element="City">
          <w:r w:rsidR="0015404F">
            <w:t>Hoboken</w:t>
          </w:r>
        </w:smartTag>
        <w:r w:rsidR="0015404F">
          <w:t xml:space="preserve">, </w:t>
        </w:r>
        <w:smartTag w:uri="urn:schemas-microsoft-com:office:smarttags" w:element="country-region">
          <w:r w:rsidR="0015404F">
            <w:t>USA</w:t>
          </w:r>
        </w:smartTag>
      </w:smartTag>
      <w:r>
        <w:t xml:space="preserve">. Refer to </w:t>
      </w:r>
      <w:r w:rsidR="0015404F">
        <w:t>p.</w:t>
      </w:r>
      <w:r>
        <w:t xml:space="preserve"> 4.</w:t>
      </w:r>
    </w:p>
    <w:p w:rsidR="0015404F" w:rsidRPr="003D10CF" w:rsidRDefault="0015404F" w:rsidP="0015404F">
      <w:pPr>
        <w:pStyle w:val="Heading3"/>
      </w:pPr>
      <w:r>
        <w:t>Websites</w:t>
      </w:r>
    </w:p>
    <w:p w:rsidR="0015404F" w:rsidRDefault="0015404F" w:rsidP="0015404F">
      <w:pPr>
        <w:tabs>
          <w:tab w:val="left" w:pos="360"/>
        </w:tabs>
        <w:spacing w:after="120" w:line="260" w:lineRule="atLeast"/>
        <w:rPr>
          <w:rFonts w:cs="Arial"/>
          <w:color w:val="000000"/>
          <w:sz w:val="23"/>
          <w:szCs w:val="23"/>
        </w:rPr>
      </w:pPr>
      <w:smartTag w:uri="urn:schemas-microsoft-com:office:smarttags" w:element="place">
        <w:smartTag w:uri="urn:schemas-microsoft-com:office:smarttags" w:element="PlaceName">
          <w:r w:rsidRPr="000540BA">
            <w:rPr>
              <w:rFonts w:cs="Arial"/>
              <w:i/>
              <w:color w:val="000000"/>
              <w:szCs w:val="22"/>
            </w:rPr>
            <w:t>Basic</w:t>
          </w:r>
        </w:smartTag>
        <w:r w:rsidRPr="000540BA">
          <w:rPr>
            <w:rFonts w:cs="Arial"/>
            <w:i/>
            <w:color w:val="000000"/>
            <w:szCs w:val="22"/>
          </w:rPr>
          <w:t xml:space="preserve"> </w:t>
        </w:r>
        <w:smartTag w:uri="urn:schemas-microsoft-com:office:smarttags" w:element="PlaceType">
          <w:r w:rsidRPr="000540BA">
            <w:rPr>
              <w:rFonts w:cs="Arial"/>
              <w:i/>
              <w:color w:val="000000"/>
              <w:szCs w:val="22"/>
            </w:rPr>
            <w:t>Building</w:t>
          </w:r>
        </w:smartTag>
      </w:smartTag>
      <w:r w:rsidRPr="000540BA">
        <w:rPr>
          <w:rFonts w:cs="Arial"/>
          <w:i/>
          <w:color w:val="000000"/>
          <w:szCs w:val="22"/>
        </w:rPr>
        <w:t xml:space="preserve"> Blocks for Logo Design</w:t>
      </w:r>
      <w:r>
        <w:rPr>
          <w:rFonts w:cs="Arial"/>
          <w:color w:val="000000"/>
          <w:szCs w:val="22"/>
        </w:rPr>
        <w:t xml:space="preserve">: </w:t>
      </w:r>
      <w:r>
        <w:rPr>
          <w:rFonts w:cs="Arial"/>
          <w:color w:val="000000"/>
          <w:szCs w:val="22"/>
        </w:rPr>
        <w:br/>
        <w:t>&lt;</w:t>
      </w:r>
      <w:r w:rsidR="00FA1334">
        <w:rPr>
          <w:rFonts w:cs="Arial"/>
          <w:color w:val="000000"/>
          <w:sz w:val="23"/>
          <w:szCs w:val="23"/>
        </w:rPr>
        <w:t>www.</w:t>
      </w:r>
      <w:r w:rsidRPr="004C6799">
        <w:rPr>
          <w:rFonts w:cs="Arial"/>
          <w:color w:val="000000"/>
          <w:sz w:val="23"/>
          <w:szCs w:val="23"/>
        </w:rPr>
        <w:t>desktoppub.about.com/od/logos/ss/logobasics.htm</w:t>
      </w:r>
      <w:r>
        <w:rPr>
          <w:rFonts w:cs="Arial"/>
          <w:color w:val="000000"/>
          <w:sz w:val="23"/>
          <w:szCs w:val="23"/>
        </w:rPr>
        <w:t>&gt;.</w:t>
      </w:r>
    </w:p>
    <w:p w:rsidR="0015404F" w:rsidRPr="00115E2F" w:rsidRDefault="0015404F" w:rsidP="0015404F">
      <w:pPr>
        <w:spacing w:after="120" w:line="260" w:lineRule="atLeast"/>
        <w:rPr>
          <w:rFonts w:cs="Arial"/>
          <w:b/>
          <w:color w:val="000000"/>
          <w:szCs w:val="22"/>
        </w:rPr>
      </w:pPr>
      <w:r w:rsidRPr="00115E2F">
        <w:rPr>
          <w:rFonts w:cs="Arial"/>
          <w:b/>
          <w:color w:val="000000"/>
          <w:szCs w:val="22"/>
        </w:rPr>
        <w:t>Commercial logo designers:</w:t>
      </w:r>
    </w:p>
    <w:p w:rsidR="0015404F" w:rsidRDefault="0015404F" w:rsidP="0015404F">
      <w:pPr>
        <w:tabs>
          <w:tab w:val="left" w:pos="360"/>
        </w:tabs>
        <w:spacing w:after="120" w:line="260" w:lineRule="atLeast"/>
        <w:rPr>
          <w:rFonts w:cs="Arial"/>
          <w:color w:val="000000"/>
          <w:sz w:val="23"/>
          <w:szCs w:val="23"/>
        </w:rPr>
      </w:pPr>
      <w:r w:rsidRPr="002C0D87">
        <w:rPr>
          <w:rFonts w:cs="Arial"/>
          <w:i/>
          <w:color w:val="000000"/>
          <w:sz w:val="23"/>
          <w:szCs w:val="23"/>
        </w:rPr>
        <w:t>Acidgreen</w:t>
      </w:r>
      <w:r>
        <w:rPr>
          <w:rFonts w:cs="Arial"/>
          <w:color w:val="000000"/>
          <w:sz w:val="23"/>
          <w:szCs w:val="23"/>
        </w:rPr>
        <w:t>: &lt;</w:t>
      </w:r>
      <w:r w:rsidR="00FA1334">
        <w:rPr>
          <w:rFonts w:cs="Arial"/>
          <w:color w:val="000000"/>
          <w:sz w:val="23"/>
          <w:szCs w:val="23"/>
        </w:rPr>
        <w:t>www.</w:t>
      </w:r>
      <w:r w:rsidRPr="004C6799">
        <w:rPr>
          <w:rFonts w:cs="Arial"/>
          <w:color w:val="000000"/>
          <w:sz w:val="23"/>
          <w:szCs w:val="23"/>
        </w:rPr>
        <w:t>acidgreen.com.au/logo_design.html</w:t>
      </w:r>
      <w:r>
        <w:rPr>
          <w:rFonts w:cs="Arial"/>
          <w:color w:val="000000"/>
          <w:sz w:val="23"/>
          <w:szCs w:val="23"/>
        </w:rPr>
        <w:t>&gt;.</w:t>
      </w:r>
    </w:p>
    <w:p w:rsidR="0015404F" w:rsidRDefault="0015404F" w:rsidP="0015404F">
      <w:pPr>
        <w:tabs>
          <w:tab w:val="left" w:pos="360"/>
        </w:tabs>
        <w:spacing w:after="120" w:line="260" w:lineRule="atLeast"/>
        <w:rPr>
          <w:rFonts w:cs="Arial"/>
          <w:color w:val="000000"/>
          <w:sz w:val="23"/>
          <w:szCs w:val="23"/>
        </w:rPr>
      </w:pPr>
      <w:r w:rsidRPr="002C0D87">
        <w:rPr>
          <w:rFonts w:cs="Arial"/>
          <w:i/>
          <w:color w:val="000000"/>
          <w:sz w:val="23"/>
          <w:szCs w:val="23"/>
        </w:rPr>
        <w:t>Diop Design</w:t>
      </w:r>
      <w:r>
        <w:rPr>
          <w:rFonts w:cs="Arial"/>
          <w:color w:val="000000"/>
          <w:sz w:val="23"/>
          <w:szCs w:val="23"/>
        </w:rPr>
        <w:t>: &lt;</w:t>
      </w:r>
      <w:r w:rsidRPr="004C6799">
        <w:rPr>
          <w:rFonts w:cs="Arial"/>
          <w:color w:val="000000"/>
          <w:sz w:val="23"/>
          <w:szCs w:val="23"/>
        </w:rPr>
        <w:t>www.diopdesign.com.au/small-business-logo-design-sydney.htm</w:t>
      </w:r>
      <w:r>
        <w:rPr>
          <w:rFonts w:cs="Arial"/>
          <w:color w:val="000000"/>
          <w:sz w:val="23"/>
          <w:szCs w:val="23"/>
        </w:rPr>
        <w:t>&gt;.</w:t>
      </w:r>
    </w:p>
    <w:p w:rsidR="0015404F" w:rsidRDefault="0015404F" w:rsidP="0015404F">
      <w:pPr>
        <w:tabs>
          <w:tab w:val="left" w:pos="360"/>
        </w:tabs>
        <w:spacing w:after="120" w:line="260" w:lineRule="atLeast"/>
      </w:pPr>
      <w:r w:rsidRPr="000540BA">
        <w:rPr>
          <w:i/>
          <w:szCs w:val="22"/>
        </w:rPr>
        <w:t>Johnny Flash Design Guide</w:t>
      </w:r>
      <w:r>
        <w:rPr>
          <w:szCs w:val="22"/>
        </w:rPr>
        <w:t>: &lt;</w:t>
      </w:r>
      <w:r w:rsidRPr="007A1E4F">
        <w:t>www.johnnyflash.net/creativelogodesigns.php</w:t>
      </w:r>
      <w:r>
        <w:t>&gt;.</w:t>
      </w:r>
    </w:p>
    <w:p w:rsidR="0015404F" w:rsidRDefault="0015404F" w:rsidP="0015404F">
      <w:pPr>
        <w:tabs>
          <w:tab w:val="left" w:pos="360"/>
        </w:tabs>
        <w:spacing w:after="120" w:line="260" w:lineRule="atLeast"/>
      </w:pPr>
      <w:r w:rsidRPr="000540BA">
        <w:rPr>
          <w:i/>
          <w:szCs w:val="22"/>
        </w:rPr>
        <w:t xml:space="preserve">The Thinker </w:t>
      </w:r>
      <w:r>
        <w:rPr>
          <w:i/>
          <w:szCs w:val="22"/>
        </w:rPr>
        <w:t>—</w:t>
      </w:r>
      <w:r w:rsidRPr="000540BA">
        <w:rPr>
          <w:i/>
          <w:szCs w:val="22"/>
        </w:rPr>
        <w:t xml:space="preserve"> What makes a </w:t>
      </w:r>
      <w:r>
        <w:rPr>
          <w:i/>
          <w:szCs w:val="22"/>
        </w:rPr>
        <w:t>g</w:t>
      </w:r>
      <w:r w:rsidRPr="000540BA">
        <w:rPr>
          <w:i/>
          <w:szCs w:val="22"/>
        </w:rPr>
        <w:t xml:space="preserve">reat </w:t>
      </w:r>
      <w:r>
        <w:rPr>
          <w:i/>
          <w:szCs w:val="22"/>
        </w:rPr>
        <w:t>l</w:t>
      </w:r>
      <w:r w:rsidRPr="000540BA">
        <w:rPr>
          <w:i/>
          <w:szCs w:val="22"/>
        </w:rPr>
        <w:t>ogo</w:t>
      </w:r>
      <w:r>
        <w:rPr>
          <w:szCs w:val="22"/>
        </w:rPr>
        <w:t xml:space="preserve">: </w:t>
      </w:r>
      <w:r>
        <w:t>&lt;</w:t>
      </w:r>
      <w:r w:rsidRPr="007A1E4F">
        <w:t>www.code-interactive.com/thinker/a112.html</w:t>
      </w:r>
      <w:r>
        <w:t>&gt;.</w:t>
      </w:r>
    </w:p>
    <w:p w:rsidR="00FA5455" w:rsidRDefault="00C75C38" w:rsidP="00B066C2">
      <w:r>
        <w:br w:type="page"/>
      </w:r>
      <w:r w:rsidR="00FA5455">
        <w:t xml:space="preserve">During the learning process, you and your students should have developed a shared understanding of the curriculum expectations identified as part of the planning process. </w:t>
      </w:r>
    </w:p>
    <w:p w:rsidR="00F30D40" w:rsidRDefault="00467320" w:rsidP="00B066C2">
      <w:r>
        <w:rPr>
          <w:noProof/>
        </w:rPr>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D40">
        <w:t xml:space="preserve">After students have completed the assessment, identify, gather and interpret the information provided in student responses. Use only the evidence in student responses to make your judgment about the quality of the student learning. </w:t>
      </w:r>
    </w:p>
    <w:p w:rsidR="00F30D40" w:rsidRDefault="00F30D40" w:rsidP="00B066C2">
      <w:r>
        <w:t>Refer to the following documents to assist you in making standards-referenced judgments:</w:t>
      </w:r>
    </w:p>
    <w:p w:rsidR="00F30D40" w:rsidRDefault="00F30D40" w:rsidP="00F30D40">
      <w:pPr>
        <w:pStyle w:val="Bulletslevel1"/>
        <w:numPr>
          <w:ilvl w:val="0"/>
          <w:numId w:val="1"/>
        </w:numPr>
        <w:spacing w:line="240" w:lineRule="auto"/>
        <w:rPr>
          <w:i/>
        </w:rPr>
      </w:pPr>
      <w:r w:rsidRPr="005571B4">
        <w:rPr>
          <w:i/>
        </w:rPr>
        <w:t>Guide to making judgments</w:t>
      </w:r>
    </w:p>
    <w:p w:rsidR="00F30D40" w:rsidRPr="005571B4" w:rsidRDefault="00F30D40" w:rsidP="00F30D40">
      <w:pPr>
        <w:pStyle w:val="Bulletslevel1"/>
        <w:numPr>
          <w:ilvl w:val="0"/>
          <w:numId w:val="1"/>
        </w:numPr>
        <w:spacing w:line="240" w:lineRule="auto"/>
        <w:rPr>
          <w:i/>
        </w:rPr>
      </w:pPr>
      <w:r w:rsidRPr="005571B4">
        <w:rPr>
          <w:i/>
        </w:rPr>
        <w:t>Indicative A response</w:t>
      </w:r>
    </w:p>
    <w:p w:rsidR="001612B1" w:rsidRDefault="00F30D40" w:rsidP="000F46C0">
      <w:pPr>
        <w:pStyle w:val="Bulletslevel1"/>
        <w:numPr>
          <w:ilvl w:val="0"/>
          <w:numId w:val="1"/>
        </w:numPr>
        <w:spacing w:line="240" w:lineRule="auto"/>
      </w:pPr>
      <w:r w:rsidRPr="005571B4">
        <w:t xml:space="preserve">Sample responses </w:t>
      </w:r>
      <w:r w:rsidR="00C75C38">
        <w:t>(where available).</w:t>
      </w:r>
    </w:p>
    <w:p w:rsidR="00406629" w:rsidRPr="005110F5" w:rsidRDefault="00406629" w:rsidP="00406629">
      <w:pPr>
        <w:pStyle w:val="Heading3"/>
      </w:pPr>
      <w:r w:rsidRPr="005110F5">
        <w:t>Making judgments about this assessment</w:t>
      </w:r>
    </w:p>
    <w:p w:rsidR="00C75C38" w:rsidRDefault="00C75C38" w:rsidP="00C75C38">
      <w:pPr>
        <w:pStyle w:val="Bulletslevel1"/>
      </w:pPr>
      <w:r w:rsidRPr="00F30D40">
        <w:t xml:space="preserve">As the core of this assessment is about learning and thinking in technology, </w:t>
      </w:r>
      <w:r>
        <w:t>i</w:t>
      </w:r>
      <w:r w:rsidRPr="00F30D40">
        <w:t>t may be appropriate for students to verbal</w:t>
      </w:r>
      <w:r>
        <w:t xml:space="preserve">ly respond to parts of the assessment. This will allow them to </w:t>
      </w:r>
      <w:r w:rsidRPr="00F30D40">
        <w:t>demonstrat</w:t>
      </w:r>
      <w:r>
        <w:t xml:space="preserve">e </w:t>
      </w:r>
      <w:r w:rsidRPr="00F30D40">
        <w:t xml:space="preserve">their </w:t>
      </w:r>
      <w:r>
        <w:t xml:space="preserve">understanding of technology without being constrained. </w:t>
      </w:r>
    </w:p>
    <w:p w:rsidR="00C75C38" w:rsidRPr="00F30D40" w:rsidRDefault="00406629" w:rsidP="000F46C0">
      <w:pPr>
        <w:pStyle w:val="Bulletslevel1"/>
        <w:numPr>
          <w:ilvl w:val="0"/>
          <w:numId w:val="1"/>
        </w:numPr>
        <w:spacing w:line="240" w:lineRule="auto"/>
      </w:pPr>
      <w:r>
        <w:t xml:space="preserve">The design folio will be used to evidence all assessable elements. </w:t>
      </w:r>
      <w:r w:rsidR="00460AEA">
        <w:t>In particular, e</w:t>
      </w:r>
      <w:r>
        <w:t xml:space="preserve">vidence of design modifications and refinements for Evaluating and Reflecting in the folio will support section 4 of the </w:t>
      </w:r>
      <w:r w:rsidRPr="00406629">
        <w:rPr>
          <w:i/>
        </w:rPr>
        <w:t>Student booklet</w:t>
      </w:r>
      <w:r>
        <w:t>.</w:t>
      </w:r>
    </w:p>
    <w:tbl>
      <w:tblPr>
        <w:tblW w:w="9639" w:type="dxa"/>
        <w:tblLook w:val="01E0" w:firstRow="1" w:lastRow="1" w:firstColumn="1" w:lastColumn="1" w:noHBand="0" w:noVBand="0"/>
      </w:tblPr>
      <w:tblGrid>
        <w:gridCol w:w="1074"/>
        <w:gridCol w:w="8565"/>
      </w:tblGrid>
      <w:tr w:rsidR="00FA5455" w:rsidRPr="008814B0">
        <w:trPr>
          <w:trHeight w:val="870"/>
        </w:trPr>
        <w:tc>
          <w:tcPr>
            <w:tcW w:w="556" w:type="pct"/>
            <w:vAlign w:val="bottom"/>
          </w:tcPr>
          <w:p w:rsidR="00FA5455" w:rsidRPr="000B2F55" w:rsidRDefault="00467320" w:rsidP="002C1E49">
            <w:pPr>
              <w:spacing w:before="0" w:after="0" w:line="240" w:lineRule="auto"/>
            </w:pPr>
            <w:r>
              <w:rPr>
                <w:noProof/>
              </w:rPr>
              <w:drawing>
                <wp:inline distT="0" distB="0" distL="0" distR="0">
                  <wp:extent cx="544830" cy="544830"/>
                  <wp:effectExtent l="0" t="0" r="0" b="762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467320" w:rsidP="00FA5455">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4"/>
        <w:gridCol w:w="8565"/>
      </w:tblGrid>
      <w:tr w:rsidR="006774B8" w:rsidRPr="008814B0">
        <w:tc>
          <w:tcPr>
            <w:tcW w:w="556" w:type="pct"/>
            <w:shd w:val="clear" w:color="auto" w:fill="auto"/>
          </w:tcPr>
          <w:p w:rsidR="006774B8" w:rsidRPr="000B2F55" w:rsidRDefault="00467320" w:rsidP="002C1E49">
            <w:pPr>
              <w:spacing w:before="0" w:after="0" w:line="240" w:lineRule="auto"/>
            </w:pPr>
            <w:r>
              <w:rPr>
                <w:noProof/>
              </w:rPr>
              <w:drawing>
                <wp:inline distT="0" distB="0" distL="0" distR="0">
                  <wp:extent cx="544830" cy="544830"/>
                  <wp:effectExtent l="0" t="0" r="0" b="762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Pr="002F45D0" w:rsidRDefault="002F45D0" w:rsidP="002F45D0">
      <w:pPr>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166011" w:rsidRDefault="0059329C" w:rsidP="00166011">
      <w:pPr>
        <w:pStyle w:val="Heading2"/>
      </w:pPr>
      <w:r>
        <w:br w:type="page"/>
      </w:r>
      <w:r w:rsidR="00166011">
        <w:t>The design process</w:t>
      </w:r>
    </w:p>
    <w:p w:rsidR="00166011" w:rsidRPr="002F45D0" w:rsidRDefault="00467320" w:rsidP="00166011">
      <w:pPr>
        <w:pStyle w:val="Bulletslevel1"/>
        <w:numPr>
          <w:ilvl w:val="0"/>
          <w:numId w:val="0"/>
        </w:numPr>
      </w:pPr>
      <w:r>
        <w:rPr>
          <w:noProof/>
        </w:rPr>
        <w:drawing>
          <wp:anchor distT="0" distB="0" distL="114300" distR="114300" simplePos="0" relativeHeight="251660288" behindDoc="1" locked="0" layoutInCell="1" allowOverlap="1">
            <wp:simplePos x="0" y="0"/>
            <wp:positionH relativeFrom="column">
              <wp:posOffset>-114300</wp:posOffset>
            </wp:positionH>
            <wp:positionV relativeFrom="paragraph">
              <wp:posOffset>751205</wp:posOffset>
            </wp:positionV>
            <wp:extent cx="6172200" cy="4774565"/>
            <wp:effectExtent l="0" t="0" r="0" b="6985"/>
            <wp:wrapSquare wrapText="bothSides"/>
            <wp:docPr id="53" name="Picture 53" descr="technology_practic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echnology_practice_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2200" cy="4774565"/>
                    </a:xfrm>
                    <a:prstGeom prst="rect">
                      <a:avLst/>
                    </a:prstGeom>
                    <a:noFill/>
                  </pic:spPr>
                </pic:pic>
              </a:graphicData>
            </a:graphic>
            <wp14:sizeRelH relativeFrom="page">
              <wp14:pctWidth>0</wp14:pctWidth>
            </wp14:sizeRelH>
            <wp14:sizeRelV relativeFrom="page">
              <wp14:pctHeight>0</wp14:pctHeight>
            </wp14:sizeRelV>
          </wp:anchor>
        </w:drawing>
      </w:r>
    </w:p>
    <w:sectPr w:rsidR="00166011" w:rsidRPr="002F45D0" w:rsidSect="0035229C">
      <w:headerReference w:type="even" r:id="rId25"/>
      <w:headerReference w:type="default" r:id="rId26"/>
      <w:footerReference w:type="even" r:id="rId27"/>
      <w:footerReference w:type="default" r:id="rId28"/>
      <w:headerReference w:type="first" r:id="rId29"/>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C4" w:rsidRDefault="00FA18C4">
      <w:r>
        <w:separator/>
      </w:r>
    </w:p>
    <w:p w:rsidR="00FA18C4" w:rsidRDefault="00FA18C4"/>
    <w:p w:rsidR="00FA18C4" w:rsidRDefault="00FA18C4"/>
    <w:p w:rsidR="00FA18C4" w:rsidRDefault="00FA18C4"/>
    <w:p w:rsidR="00FA18C4" w:rsidRDefault="00FA18C4"/>
    <w:p w:rsidR="00FA18C4" w:rsidRDefault="00FA18C4"/>
  </w:endnote>
  <w:endnote w:type="continuationSeparator" w:id="0">
    <w:p w:rsidR="00FA18C4" w:rsidRDefault="00FA18C4">
      <w:r>
        <w:continuationSeparator/>
      </w:r>
    </w:p>
    <w:p w:rsidR="00FA18C4" w:rsidRDefault="00FA18C4"/>
    <w:p w:rsidR="00FA18C4" w:rsidRDefault="00FA18C4"/>
    <w:p w:rsidR="00FA18C4" w:rsidRDefault="00FA18C4"/>
    <w:p w:rsidR="00FA18C4" w:rsidRDefault="00FA18C4"/>
    <w:p w:rsidR="00FA18C4" w:rsidRDefault="00FA1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Default="00DF07AD" w:rsidP="00C20914">
    <w:pPr>
      <w:pStyle w:val="Footereven"/>
    </w:pPr>
    <w:r w:rsidRPr="00EA7134">
      <w:fldChar w:fldCharType="begin"/>
    </w:r>
    <w:r w:rsidRPr="00EA7134">
      <w:instrText xml:space="preserve">PAGE  </w:instrText>
    </w:r>
    <w:r w:rsidRPr="00EA7134">
      <w:fldChar w:fldCharType="separate"/>
    </w:r>
    <w:r w:rsidR="00467320">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Default="00DF07AD" w:rsidP="00C20914">
    <w:pPr>
      <w:pStyle w:val="Footerodd"/>
    </w:pPr>
    <w:r>
      <w:fldChar w:fldCharType="begin"/>
    </w:r>
    <w:r>
      <w:instrText xml:space="preserve">PAGE  </w:instrText>
    </w:r>
    <w:r>
      <w:fldChar w:fldCharType="separate"/>
    </w:r>
    <w:r w:rsidR="00461CE3">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186E26" w:rsidRPr="0090603A">
      <w:trPr>
        <w:cantSplit/>
        <w:trHeight w:hRule="exact" w:val="1043"/>
        <w:jc w:val="right"/>
      </w:trPr>
      <w:tc>
        <w:tcPr>
          <w:tcW w:w="1800" w:type="dxa"/>
          <w:tcBorders>
            <w:top w:val="nil"/>
            <w:left w:val="nil"/>
            <w:bottom w:val="nil"/>
            <w:right w:val="nil"/>
          </w:tcBorders>
          <w:vAlign w:val="bottom"/>
        </w:tcPr>
        <w:p w:rsidR="00186E26" w:rsidRPr="00784506" w:rsidRDefault="00186E26" w:rsidP="00186E26"/>
      </w:tc>
      <w:tc>
        <w:tcPr>
          <w:tcW w:w="5040" w:type="dxa"/>
          <w:tcBorders>
            <w:top w:val="nil"/>
            <w:left w:val="nil"/>
            <w:bottom w:val="nil"/>
            <w:right w:val="nil"/>
          </w:tcBorders>
          <w:shd w:val="clear" w:color="auto" w:fill="auto"/>
          <w:vAlign w:val="bottom"/>
        </w:tcPr>
        <w:p w:rsidR="00186E26" w:rsidRPr="008E0974" w:rsidRDefault="00186E26" w:rsidP="00186E26">
          <w:pPr>
            <w:pStyle w:val="Footer"/>
            <w:rPr>
              <w:szCs w:val="17"/>
            </w:rPr>
          </w:pPr>
          <w:r w:rsidRPr="00C61A29">
            <w:t xml:space="preserve">© The State of </w:t>
          </w:r>
          <w:smartTag w:uri="urn:schemas-microsoft-com:office:smarttags" w:element="State">
            <w:smartTag w:uri="urn:schemas-microsoft-com:office:smarttags" w:element="plac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22" w:type="dxa"/>
          <w:tcBorders>
            <w:top w:val="nil"/>
            <w:left w:val="nil"/>
            <w:bottom w:val="nil"/>
            <w:right w:val="nil"/>
          </w:tcBorders>
          <w:vAlign w:val="bottom"/>
        </w:tcPr>
        <w:p w:rsidR="00186E26" w:rsidRPr="0090603A" w:rsidRDefault="00467320" w:rsidP="00186E26">
          <w:pPr>
            <w:pStyle w:val="Footer"/>
            <w:rPr>
              <w:rFonts w:ascii="Arial Narrow" w:hAnsi="Arial Narrow"/>
            </w:rPr>
          </w:pPr>
          <w:r>
            <w:drawing>
              <wp:inline distT="0" distB="0" distL="0" distR="0">
                <wp:extent cx="1529715" cy="668020"/>
                <wp:effectExtent l="0" t="0" r="0" b="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8020"/>
                        </a:xfrm>
                        <a:prstGeom prst="rect">
                          <a:avLst/>
                        </a:prstGeom>
                        <a:noFill/>
                        <a:ln>
                          <a:noFill/>
                        </a:ln>
                      </pic:spPr>
                    </pic:pic>
                  </a:graphicData>
                </a:graphic>
              </wp:inline>
            </w:drawing>
          </w:r>
        </w:p>
      </w:tc>
    </w:tr>
  </w:tbl>
  <w:p w:rsidR="00DF07AD" w:rsidRPr="0054418E" w:rsidRDefault="00DF07AD" w:rsidP="00186E26">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Default="00DF07AD"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Default="00DF07AD"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C4" w:rsidRDefault="00FA18C4">
      <w:r>
        <w:separator/>
      </w:r>
    </w:p>
    <w:p w:rsidR="00FA18C4" w:rsidRDefault="00FA18C4"/>
    <w:p w:rsidR="00FA18C4" w:rsidRDefault="00FA18C4"/>
    <w:p w:rsidR="00FA18C4" w:rsidRDefault="00FA18C4"/>
    <w:p w:rsidR="00FA18C4" w:rsidRDefault="00FA18C4"/>
    <w:p w:rsidR="00FA18C4" w:rsidRDefault="00FA18C4"/>
  </w:footnote>
  <w:footnote w:type="continuationSeparator" w:id="0">
    <w:p w:rsidR="00FA18C4" w:rsidRDefault="00FA18C4">
      <w:r>
        <w:continuationSeparator/>
      </w:r>
    </w:p>
    <w:p w:rsidR="00FA18C4" w:rsidRDefault="00FA18C4"/>
    <w:p w:rsidR="00FA18C4" w:rsidRDefault="00FA18C4"/>
    <w:p w:rsidR="00FA18C4" w:rsidRDefault="00FA18C4"/>
    <w:p w:rsidR="00FA18C4" w:rsidRDefault="00FA18C4"/>
    <w:p w:rsidR="00FA18C4" w:rsidRDefault="00FA18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Default="00DF07AD"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Pr="00784506" w:rsidRDefault="00DF07AD" w:rsidP="00E8667A">
    <w:pPr>
      <w:pStyle w:val="Headerright"/>
    </w:pPr>
    <w:r w:rsidRPr="00784506">
      <w:t>Year</w:t>
    </w:r>
    <w:r>
      <w:t>s</w:t>
    </w:r>
    <w:r w:rsidRPr="00784506">
      <w:t xml:space="preserve"> </w:t>
    </w:r>
    <w:r>
      <w:t>8–9 Technology</w:t>
    </w:r>
    <w:r w:rsidRPr="000A779D">
      <w:t xml:space="preserve">: </w:t>
    </w:r>
    <w:r>
      <w:t>Logo design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Default="00467320">
    <w:r>
      <w:rPr>
        <w:noProof/>
      </w:rPr>
      <w:drawing>
        <wp:anchor distT="0" distB="0" distL="114300" distR="114300" simplePos="0" relativeHeight="251656704"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Pr="00D61E66" w:rsidRDefault="00DF07AD" w:rsidP="00D61E66">
    <w:pPr>
      <w:rPr>
        <w:lang w:val="en-US"/>
      </w:rPr>
    </w:pPr>
    <w:r>
      <w:rPr>
        <w:lang w:val="en-US"/>
      </w:rPr>
      <w:t xml:space="preserve">Appendix A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Pr="002F45D0" w:rsidRDefault="00DF07AD" w:rsidP="003A5656">
    <w:pPr>
      <w:pStyle w:val="Headerlef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543.5pt;height:135.85pt;rotation:315;z-index:-251657728;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C</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7AD" w:rsidRDefault="00DF07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752;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FE0510"/>
    <w:lvl w:ilvl="0">
      <w:start w:val="1"/>
      <w:numFmt w:val="decimal"/>
      <w:lvlText w:val="%1."/>
      <w:lvlJc w:val="left"/>
      <w:pPr>
        <w:tabs>
          <w:tab w:val="num" w:pos="1492"/>
        </w:tabs>
        <w:ind w:left="1492" w:hanging="360"/>
      </w:pPr>
    </w:lvl>
  </w:abstractNum>
  <w:abstractNum w:abstractNumId="1">
    <w:nsid w:val="FFFFFF7D"/>
    <w:multiLevelType w:val="singleLevel"/>
    <w:tmpl w:val="94B2F0D8"/>
    <w:lvl w:ilvl="0">
      <w:start w:val="1"/>
      <w:numFmt w:val="decimal"/>
      <w:lvlText w:val="%1."/>
      <w:lvlJc w:val="left"/>
      <w:pPr>
        <w:tabs>
          <w:tab w:val="num" w:pos="1209"/>
        </w:tabs>
        <w:ind w:left="1209" w:hanging="360"/>
      </w:pPr>
    </w:lvl>
  </w:abstractNum>
  <w:abstractNum w:abstractNumId="2">
    <w:nsid w:val="FFFFFF7E"/>
    <w:multiLevelType w:val="singleLevel"/>
    <w:tmpl w:val="C116F7F2"/>
    <w:lvl w:ilvl="0">
      <w:start w:val="1"/>
      <w:numFmt w:val="decimal"/>
      <w:lvlText w:val="%1."/>
      <w:lvlJc w:val="left"/>
      <w:pPr>
        <w:tabs>
          <w:tab w:val="num" w:pos="926"/>
        </w:tabs>
        <w:ind w:left="926" w:hanging="360"/>
      </w:pPr>
    </w:lvl>
  </w:abstractNum>
  <w:abstractNum w:abstractNumId="3">
    <w:nsid w:val="FFFFFF7F"/>
    <w:multiLevelType w:val="singleLevel"/>
    <w:tmpl w:val="640461BC"/>
    <w:lvl w:ilvl="0">
      <w:start w:val="1"/>
      <w:numFmt w:val="decimal"/>
      <w:lvlText w:val="%1."/>
      <w:lvlJc w:val="left"/>
      <w:pPr>
        <w:tabs>
          <w:tab w:val="num" w:pos="643"/>
        </w:tabs>
        <w:ind w:left="643" w:hanging="360"/>
      </w:pPr>
    </w:lvl>
  </w:abstractNum>
  <w:abstractNum w:abstractNumId="4">
    <w:nsid w:val="FFFFFF80"/>
    <w:multiLevelType w:val="singleLevel"/>
    <w:tmpl w:val="B086A9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C03F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349B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D24F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740864"/>
    <w:lvl w:ilvl="0">
      <w:start w:val="1"/>
      <w:numFmt w:val="decimal"/>
      <w:lvlText w:val="%1."/>
      <w:lvlJc w:val="left"/>
      <w:pPr>
        <w:tabs>
          <w:tab w:val="num" w:pos="360"/>
        </w:tabs>
        <w:ind w:left="360" w:hanging="360"/>
      </w:pPr>
    </w:lvl>
  </w:abstractNum>
  <w:abstractNum w:abstractNumId="9">
    <w:nsid w:val="FFFFFF89"/>
    <w:multiLevelType w:val="singleLevel"/>
    <w:tmpl w:val="22CC5B74"/>
    <w:lvl w:ilvl="0">
      <w:start w:val="1"/>
      <w:numFmt w:val="bullet"/>
      <w:lvlText w:val=""/>
      <w:lvlJc w:val="left"/>
      <w:pPr>
        <w:tabs>
          <w:tab w:val="num" w:pos="360"/>
        </w:tabs>
        <w:ind w:left="360" w:hanging="360"/>
      </w:pPr>
      <w:rPr>
        <w:rFonts w:ascii="Symbol" w:hAnsi="Symbol" w:hint="default"/>
      </w:rPr>
    </w:lvl>
  </w:abstractNum>
  <w:abstractNum w:abstractNumId="1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954742"/>
    <w:multiLevelType w:val="hybridMultilevel"/>
    <w:tmpl w:val="DAB62D5E"/>
    <w:lvl w:ilvl="0" w:tplc="662070F6">
      <w:start w:val="1"/>
      <w:numFmt w:val="bullet"/>
      <w:pStyle w:val="Bulletlevel2"/>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08A1C37"/>
    <w:multiLevelType w:val="hybridMultilevel"/>
    <w:tmpl w:val="83026C78"/>
    <w:lvl w:ilvl="0" w:tplc="0C09000F">
      <w:start w:val="1"/>
      <w:numFmt w:val="bullet"/>
      <w:pStyle w:val="Tablebulletslevel1"/>
      <w:lvlText w:val=""/>
      <w:lvlJc w:val="left"/>
      <w:pPr>
        <w:tabs>
          <w:tab w:val="num" w:pos="284"/>
        </w:tabs>
        <w:ind w:left="284" w:hanging="284"/>
      </w:pPr>
      <w:rPr>
        <w:rFonts w:ascii="Symbol" w:hAnsi="Symbol" w:hint="default"/>
      </w:rPr>
    </w:lvl>
    <w:lvl w:ilvl="1" w:tplc="0C090019">
      <w:start w:val="1"/>
      <w:numFmt w:val="bullet"/>
      <w:lvlText w:val=""/>
      <w:lvlJc w:val="left"/>
      <w:pPr>
        <w:tabs>
          <w:tab w:val="num" w:pos="1497"/>
        </w:tabs>
        <w:ind w:left="1497" w:hanging="360"/>
      </w:pPr>
      <w:rPr>
        <w:rFonts w:ascii="Symbol" w:hAnsi="Symbol" w:cs="Times New Roman" w:hint="default"/>
      </w:rPr>
    </w:lvl>
    <w:lvl w:ilvl="2" w:tplc="0C09001B" w:tentative="1">
      <w:start w:val="1"/>
      <w:numFmt w:val="bullet"/>
      <w:lvlText w:val=""/>
      <w:lvlJc w:val="left"/>
      <w:pPr>
        <w:tabs>
          <w:tab w:val="num" w:pos="2217"/>
        </w:tabs>
        <w:ind w:left="2217" w:hanging="360"/>
      </w:pPr>
      <w:rPr>
        <w:rFonts w:ascii="Wingdings" w:hAnsi="Wingdings" w:hint="default"/>
      </w:rPr>
    </w:lvl>
    <w:lvl w:ilvl="3" w:tplc="0C09000F" w:tentative="1">
      <w:start w:val="1"/>
      <w:numFmt w:val="bullet"/>
      <w:lvlText w:val=""/>
      <w:lvlJc w:val="left"/>
      <w:pPr>
        <w:tabs>
          <w:tab w:val="num" w:pos="2937"/>
        </w:tabs>
        <w:ind w:left="2937" w:hanging="360"/>
      </w:pPr>
      <w:rPr>
        <w:rFonts w:ascii="Symbol" w:hAnsi="Symbol" w:hint="default"/>
      </w:rPr>
    </w:lvl>
    <w:lvl w:ilvl="4" w:tplc="0C090019" w:tentative="1">
      <w:start w:val="1"/>
      <w:numFmt w:val="bullet"/>
      <w:lvlText w:val="o"/>
      <w:lvlJc w:val="left"/>
      <w:pPr>
        <w:tabs>
          <w:tab w:val="num" w:pos="3657"/>
        </w:tabs>
        <w:ind w:left="3657" w:hanging="360"/>
      </w:pPr>
      <w:rPr>
        <w:rFonts w:ascii="Courier New" w:hAnsi="Courier New" w:cs="Courier New" w:hint="default"/>
      </w:rPr>
    </w:lvl>
    <w:lvl w:ilvl="5" w:tplc="0C09001B" w:tentative="1">
      <w:start w:val="1"/>
      <w:numFmt w:val="bullet"/>
      <w:lvlText w:val=""/>
      <w:lvlJc w:val="left"/>
      <w:pPr>
        <w:tabs>
          <w:tab w:val="num" w:pos="4377"/>
        </w:tabs>
        <w:ind w:left="4377" w:hanging="360"/>
      </w:pPr>
      <w:rPr>
        <w:rFonts w:ascii="Wingdings" w:hAnsi="Wingdings" w:hint="default"/>
      </w:rPr>
    </w:lvl>
    <w:lvl w:ilvl="6" w:tplc="0C09000F" w:tentative="1">
      <w:start w:val="1"/>
      <w:numFmt w:val="bullet"/>
      <w:lvlText w:val=""/>
      <w:lvlJc w:val="left"/>
      <w:pPr>
        <w:tabs>
          <w:tab w:val="num" w:pos="5097"/>
        </w:tabs>
        <w:ind w:left="5097" w:hanging="360"/>
      </w:pPr>
      <w:rPr>
        <w:rFonts w:ascii="Symbol" w:hAnsi="Symbol" w:hint="default"/>
      </w:rPr>
    </w:lvl>
    <w:lvl w:ilvl="7" w:tplc="0C090019" w:tentative="1">
      <w:start w:val="1"/>
      <w:numFmt w:val="bullet"/>
      <w:lvlText w:val="o"/>
      <w:lvlJc w:val="left"/>
      <w:pPr>
        <w:tabs>
          <w:tab w:val="num" w:pos="5817"/>
        </w:tabs>
        <w:ind w:left="5817" w:hanging="360"/>
      </w:pPr>
      <w:rPr>
        <w:rFonts w:ascii="Courier New" w:hAnsi="Courier New" w:cs="Courier New" w:hint="default"/>
      </w:rPr>
    </w:lvl>
    <w:lvl w:ilvl="8" w:tplc="0C09001B" w:tentative="1">
      <w:start w:val="1"/>
      <w:numFmt w:val="bullet"/>
      <w:lvlText w:val=""/>
      <w:lvlJc w:val="left"/>
      <w:pPr>
        <w:tabs>
          <w:tab w:val="num" w:pos="6537"/>
        </w:tabs>
        <w:ind w:left="6537" w:hanging="360"/>
      </w:pPr>
      <w:rPr>
        <w:rFonts w:ascii="Wingdings" w:hAnsi="Wingdings" w:hint="default"/>
      </w:rPr>
    </w:lvl>
  </w:abstractNum>
  <w:abstractNum w:abstractNumId="19">
    <w:nsid w:val="76E57FF1"/>
    <w:multiLevelType w:val="multilevel"/>
    <w:tmpl w:val="D4FAF8C0"/>
    <w:numStyleLink w:val="Outlinenumbered"/>
  </w:abstractNum>
  <w:abstractNum w:abstractNumId="2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6"/>
  </w:num>
  <w:num w:numId="4">
    <w:abstractNumId w:val="10"/>
  </w:num>
  <w:num w:numId="5">
    <w:abstractNumId w:val="17"/>
  </w:num>
  <w:num w:numId="6">
    <w:abstractNumId w:val="14"/>
  </w:num>
  <w:num w:numId="7">
    <w:abstractNumId w:val="15"/>
  </w:num>
  <w:num w:numId="8">
    <w:abstractNumId w:val="13"/>
  </w:num>
  <w:num w:numId="9">
    <w:abstractNumId w:val="20"/>
  </w:num>
  <w:num w:numId="10">
    <w:abstractNumId w:val="18"/>
  </w:num>
  <w:num w:numId="11">
    <w:abstractNumId w:val="19"/>
  </w:num>
  <w:num w:numId="12">
    <w:abstractNumId w:val="16"/>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8F"/>
    <w:rsid w:val="000022FF"/>
    <w:rsid w:val="00003280"/>
    <w:rsid w:val="000040CE"/>
    <w:rsid w:val="000043A4"/>
    <w:rsid w:val="00007DBF"/>
    <w:rsid w:val="00010B77"/>
    <w:rsid w:val="00026548"/>
    <w:rsid w:val="0004134C"/>
    <w:rsid w:val="00042BF3"/>
    <w:rsid w:val="00047FDB"/>
    <w:rsid w:val="000517C2"/>
    <w:rsid w:val="000540BA"/>
    <w:rsid w:val="00061D89"/>
    <w:rsid w:val="00066520"/>
    <w:rsid w:val="000736CA"/>
    <w:rsid w:val="00073D57"/>
    <w:rsid w:val="000825C6"/>
    <w:rsid w:val="00082765"/>
    <w:rsid w:val="00083BFA"/>
    <w:rsid w:val="00083EF5"/>
    <w:rsid w:val="00085CFC"/>
    <w:rsid w:val="000875B8"/>
    <w:rsid w:val="0009378F"/>
    <w:rsid w:val="00095960"/>
    <w:rsid w:val="000A0660"/>
    <w:rsid w:val="000A1635"/>
    <w:rsid w:val="000A6147"/>
    <w:rsid w:val="000A698D"/>
    <w:rsid w:val="000A7071"/>
    <w:rsid w:val="000A779D"/>
    <w:rsid w:val="000B7AA0"/>
    <w:rsid w:val="000C0E6D"/>
    <w:rsid w:val="000D2039"/>
    <w:rsid w:val="000D6A12"/>
    <w:rsid w:val="000E0E12"/>
    <w:rsid w:val="000E3AB2"/>
    <w:rsid w:val="000E4E18"/>
    <w:rsid w:val="000E6EA3"/>
    <w:rsid w:val="000E7C8E"/>
    <w:rsid w:val="000F04E4"/>
    <w:rsid w:val="000F0DAD"/>
    <w:rsid w:val="000F46C0"/>
    <w:rsid w:val="000F52B5"/>
    <w:rsid w:val="000F5EF5"/>
    <w:rsid w:val="001019F0"/>
    <w:rsid w:val="00101CF6"/>
    <w:rsid w:val="00102D03"/>
    <w:rsid w:val="00102ECC"/>
    <w:rsid w:val="001040A6"/>
    <w:rsid w:val="001103BE"/>
    <w:rsid w:val="00110578"/>
    <w:rsid w:val="00115E2F"/>
    <w:rsid w:val="00120E4C"/>
    <w:rsid w:val="00123E4E"/>
    <w:rsid w:val="001247D8"/>
    <w:rsid w:val="00127A14"/>
    <w:rsid w:val="00130EFC"/>
    <w:rsid w:val="00132BC2"/>
    <w:rsid w:val="00137481"/>
    <w:rsid w:val="00140F5D"/>
    <w:rsid w:val="00150425"/>
    <w:rsid w:val="0015404F"/>
    <w:rsid w:val="00155056"/>
    <w:rsid w:val="001574F9"/>
    <w:rsid w:val="001601CA"/>
    <w:rsid w:val="001612B1"/>
    <w:rsid w:val="001627BF"/>
    <w:rsid w:val="001634B0"/>
    <w:rsid w:val="001659AA"/>
    <w:rsid w:val="00166011"/>
    <w:rsid w:val="00170657"/>
    <w:rsid w:val="00171987"/>
    <w:rsid w:val="00171A8D"/>
    <w:rsid w:val="00173489"/>
    <w:rsid w:val="0017388F"/>
    <w:rsid w:val="00173B46"/>
    <w:rsid w:val="00174197"/>
    <w:rsid w:val="0017557A"/>
    <w:rsid w:val="001769B4"/>
    <w:rsid w:val="001839CC"/>
    <w:rsid w:val="00184DFB"/>
    <w:rsid w:val="00186CDA"/>
    <w:rsid w:val="00186E26"/>
    <w:rsid w:val="001871B3"/>
    <w:rsid w:val="00190075"/>
    <w:rsid w:val="00190C5F"/>
    <w:rsid w:val="00191133"/>
    <w:rsid w:val="00193E81"/>
    <w:rsid w:val="001971C2"/>
    <w:rsid w:val="001B4AC9"/>
    <w:rsid w:val="001C4D23"/>
    <w:rsid w:val="001C5BD9"/>
    <w:rsid w:val="001D07D3"/>
    <w:rsid w:val="001E30A9"/>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0C2E"/>
    <w:rsid w:val="00264F51"/>
    <w:rsid w:val="00271371"/>
    <w:rsid w:val="00271417"/>
    <w:rsid w:val="002723C2"/>
    <w:rsid w:val="002734E6"/>
    <w:rsid w:val="00273DE2"/>
    <w:rsid w:val="00274767"/>
    <w:rsid w:val="0027478D"/>
    <w:rsid w:val="00276D36"/>
    <w:rsid w:val="00277A7B"/>
    <w:rsid w:val="00284B38"/>
    <w:rsid w:val="002859A3"/>
    <w:rsid w:val="002865DA"/>
    <w:rsid w:val="002A79B9"/>
    <w:rsid w:val="002B30EB"/>
    <w:rsid w:val="002B5BFC"/>
    <w:rsid w:val="002C0261"/>
    <w:rsid w:val="002C0D87"/>
    <w:rsid w:val="002C1299"/>
    <w:rsid w:val="002C1C04"/>
    <w:rsid w:val="002C1E49"/>
    <w:rsid w:val="002C4CB3"/>
    <w:rsid w:val="002D27D7"/>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2CB"/>
    <w:rsid w:val="00331E85"/>
    <w:rsid w:val="003347CE"/>
    <w:rsid w:val="0033529F"/>
    <w:rsid w:val="00343C39"/>
    <w:rsid w:val="0035229C"/>
    <w:rsid w:val="00352347"/>
    <w:rsid w:val="00354B41"/>
    <w:rsid w:val="003573C7"/>
    <w:rsid w:val="00357A2A"/>
    <w:rsid w:val="00360CDA"/>
    <w:rsid w:val="00361735"/>
    <w:rsid w:val="0036290B"/>
    <w:rsid w:val="00363611"/>
    <w:rsid w:val="00364F37"/>
    <w:rsid w:val="00382D15"/>
    <w:rsid w:val="00386B43"/>
    <w:rsid w:val="0038769C"/>
    <w:rsid w:val="00391A20"/>
    <w:rsid w:val="003931E0"/>
    <w:rsid w:val="0039605F"/>
    <w:rsid w:val="00396B7A"/>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4EB1"/>
    <w:rsid w:val="003E500C"/>
    <w:rsid w:val="003E7321"/>
    <w:rsid w:val="003F089F"/>
    <w:rsid w:val="003F5E8A"/>
    <w:rsid w:val="00401457"/>
    <w:rsid w:val="00401ECF"/>
    <w:rsid w:val="00403FC7"/>
    <w:rsid w:val="00406629"/>
    <w:rsid w:val="004112EA"/>
    <w:rsid w:val="00411E67"/>
    <w:rsid w:val="00416BAF"/>
    <w:rsid w:val="004172A0"/>
    <w:rsid w:val="00421645"/>
    <w:rsid w:val="00424A51"/>
    <w:rsid w:val="004316D0"/>
    <w:rsid w:val="0043659C"/>
    <w:rsid w:val="004423A4"/>
    <w:rsid w:val="00444D1F"/>
    <w:rsid w:val="00445777"/>
    <w:rsid w:val="004475A2"/>
    <w:rsid w:val="00453F95"/>
    <w:rsid w:val="00457A26"/>
    <w:rsid w:val="004605DF"/>
    <w:rsid w:val="00460AEA"/>
    <w:rsid w:val="00461CE3"/>
    <w:rsid w:val="00467320"/>
    <w:rsid w:val="00474B75"/>
    <w:rsid w:val="00480A76"/>
    <w:rsid w:val="00483E6B"/>
    <w:rsid w:val="00485F11"/>
    <w:rsid w:val="0048671D"/>
    <w:rsid w:val="00486DDE"/>
    <w:rsid w:val="004876A9"/>
    <w:rsid w:val="004928CF"/>
    <w:rsid w:val="0049389D"/>
    <w:rsid w:val="00494EB0"/>
    <w:rsid w:val="00495D94"/>
    <w:rsid w:val="004A1033"/>
    <w:rsid w:val="004A46C4"/>
    <w:rsid w:val="004B2135"/>
    <w:rsid w:val="004B69C7"/>
    <w:rsid w:val="004B7E94"/>
    <w:rsid w:val="004C3EC8"/>
    <w:rsid w:val="004D42F2"/>
    <w:rsid w:val="004D76F2"/>
    <w:rsid w:val="004D7A58"/>
    <w:rsid w:val="004E0F30"/>
    <w:rsid w:val="004F0D53"/>
    <w:rsid w:val="004F20BA"/>
    <w:rsid w:val="004F68EC"/>
    <w:rsid w:val="0050177D"/>
    <w:rsid w:val="0051005F"/>
    <w:rsid w:val="005110F5"/>
    <w:rsid w:val="00515192"/>
    <w:rsid w:val="0052094C"/>
    <w:rsid w:val="00526090"/>
    <w:rsid w:val="00526544"/>
    <w:rsid w:val="0052799A"/>
    <w:rsid w:val="00530616"/>
    <w:rsid w:val="00530665"/>
    <w:rsid w:val="0053141F"/>
    <w:rsid w:val="005336D0"/>
    <w:rsid w:val="00535835"/>
    <w:rsid w:val="00540C1B"/>
    <w:rsid w:val="00541B82"/>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144D"/>
    <w:rsid w:val="00585563"/>
    <w:rsid w:val="0059329C"/>
    <w:rsid w:val="005A0AA4"/>
    <w:rsid w:val="005A1C09"/>
    <w:rsid w:val="005A2BD4"/>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38D"/>
    <w:rsid w:val="0062663E"/>
    <w:rsid w:val="00630422"/>
    <w:rsid w:val="00635253"/>
    <w:rsid w:val="006362FE"/>
    <w:rsid w:val="00636670"/>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91536"/>
    <w:rsid w:val="006A24FF"/>
    <w:rsid w:val="006A3901"/>
    <w:rsid w:val="006B383C"/>
    <w:rsid w:val="006B3EA5"/>
    <w:rsid w:val="006C196E"/>
    <w:rsid w:val="006C1A10"/>
    <w:rsid w:val="006C78A7"/>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54453"/>
    <w:rsid w:val="00764F67"/>
    <w:rsid w:val="00770160"/>
    <w:rsid w:val="00777C17"/>
    <w:rsid w:val="00781794"/>
    <w:rsid w:val="007825B7"/>
    <w:rsid w:val="0078406C"/>
    <w:rsid w:val="00784611"/>
    <w:rsid w:val="007856A2"/>
    <w:rsid w:val="0079630D"/>
    <w:rsid w:val="007A04D1"/>
    <w:rsid w:val="007A1D95"/>
    <w:rsid w:val="007A43AE"/>
    <w:rsid w:val="007B2CAD"/>
    <w:rsid w:val="007C03A8"/>
    <w:rsid w:val="007C17CD"/>
    <w:rsid w:val="007C2383"/>
    <w:rsid w:val="007C2427"/>
    <w:rsid w:val="007C48DD"/>
    <w:rsid w:val="007C4A0C"/>
    <w:rsid w:val="007C4A1E"/>
    <w:rsid w:val="007D4A3D"/>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25C29"/>
    <w:rsid w:val="00830476"/>
    <w:rsid w:val="00834B4C"/>
    <w:rsid w:val="00852BF6"/>
    <w:rsid w:val="00854A12"/>
    <w:rsid w:val="0085599D"/>
    <w:rsid w:val="00855D90"/>
    <w:rsid w:val="0085648F"/>
    <w:rsid w:val="0085683B"/>
    <w:rsid w:val="00861FF7"/>
    <w:rsid w:val="00871C27"/>
    <w:rsid w:val="0087211E"/>
    <w:rsid w:val="00872798"/>
    <w:rsid w:val="0087318E"/>
    <w:rsid w:val="00874902"/>
    <w:rsid w:val="00876869"/>
    <w:rsid w:val="008770E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04DC7"/>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54D2E"/>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A6E"/>
    <w:rsid w:val="009B4EFD"/>
    <w:rsid w:val="009B7248"/>
    <w:rsid w:val="009C02F6"/>
    <w:rsid w:val="009C2FE1"/>
    <w:rsid w:val="009C3444"/>
    <w:rsid w:val="009C5022"/>
    <w:rsid w:val="009D15D5"/>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97C1E"/>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66C2"/>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3CE9"/>
    <w:rsid w:val="00B74071"/>
    <w:rsid w:val="00B774F8"/>
    <w:rsid w:val="00B82E85"/>
    <w:rsid w:val="00B85FF2"/>
    <w:rsid w:val="00B910EC"/>
    <w:rsid w:val="00B9722E"/>
    <w:rsid w:val="00BA2970"/>
    <w:rsid w:val="00BA3082"/>
    <w:rsid w:val="00BA3968"/>
    <w:rsid w:val="00BC0903"/>
    <w:rsid w:val="00BC3009"/>
    <w:rsid w:val="00BC58D9"/>
    <w:rsid w:val="00BC7D49"/>
    <w:rsid w:val="00BC7DDE"/>
    <w:rsid w:val="00BD0732"/>
    <w:rsid w:val="00BD1EBF"/>
    <w:rsid w:val="00BD2618"/>
    <w:rsid w:val="00BD47BB"/>
    <w:rsid w:val="00BD6C92"/>
    <w:rsid w:val="00BE57E2"/>
    <w:rsid w:val="00BE70B3"/>
    <w:rsid w:val="00BF314E"/>
    <w:rsid w:val="00BF5C32"/>
    <w:rsid w:val="00BF6FFA"/>
    <w:rsid w:val="00C00CCD"/>
    <w:rsid w:val="00C02529"/>
    <w:rsid w:val="00C0441E"/>
    <w:rsid w:val="00C0583B"/>
    <w:rsid w:val="00C06C0C"/>
    <w:rsid w:val="00C10178"/>
    <w:rsid w:val="00C10E44"/>
    <w:rsid w:val="00C11486"/>
    <w:rsid w:val="00C115C4"/>
    <w:rsid w:val="00C11F18"/>
    <w:rsid w:val="00C158C1"/>
    <w:rsid w:val="00C163D2"/>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75C38"/>
    <w:rsid w:val="00C85825"/>
    <w:rsid w:val="00C875B3"/>
    <w:rsid w:val="00C946AF"/>
    <w:rsid w:val="00C96592"/>
    <w:rsid w:val="00C9682B"/>
    <w:rsid w:val="00CA27BC"/>
    <w:rsid w:val="00CA2B94"/>
    <w:rsid w:val="00CA4D62"/>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A3EA2"/>
    <w:rsid w:val="00DA483D"/>
    <w:rsid w:val="00DA5641"/>
    <w:rsid w:val="00DA60AF"/>
    <w:rsid w:val="00DA612D"/>
    <w:rsid w:val="00DB0CB9"/>
    <w:rsid w:val="00DC16A2"/>
    <w:rsid w:val="00DC597F"/>
    <w:rsid w:val="00DC5B1B"/>
    <w:rsid w:val="00DC5D0F"/>
    <w:rsid w:val="00DC7626"/>
    <w:rsid w:val="00DC7DB5"/>
    <w:rsid w:val="00DD52A4"/>
    <w:rsid w:val="00DD6F88"/>
    <w:rsid w:val="00DD7FD6"/>
    <w:rsid w:val="00DE4277"/>
    <w:rsid w:val="00DF07AD"/>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01E"/>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02A"/>
    <w:rsid w:val="00E91D82"/>
    <w:rsid w:val="00E935F6"/>
    <w:rsid w:val="00EA2D4B"/>
    <w:rsid w:val="00EA2FC8"/>
    <w:rsid w:val="00EA6839"/>
    <w:rsid w:val="00EA6C2B"/>
    <w:rsid w:val="00EA7134"/>
    <w:rsid w:val="00EB13DA"/>
    <w:rsid w:val="00EB41A9"/>
    <w:rsid w:val="00EB68B7"/>
    <w:rsid w:val="00EC10D7"/>
    <w:rsid w:val="00EC226D"/>
    <w:rsid w:val="00EC4833"/>
    <w:rsid w:val="00EC6481"/>
    <w:rsid w:val="00EC6858"/>
    <w:rsid w:val="00EC7F8B"/>
    <w:rsid w:val="00ED0644"/>
    <w:rsid w:val="00ED24D2"/>
    <w:rsid w:val="00ED2879"/>
    <w:rsid w:val="00ED405F"/>
    <w:rsid w:val="00EE0587"/>
    <w:rsid w:val="00EE42D2"/>
    <w:rsid w:val="00EE5D2C"/>
    <w:rsid w:val="00EE7007"/>
    <w:rsid w:val="00EF0769"/>
    <w:rsid w:val="00EF3318"/>
    <w:rsid w:val="00EF6E26"/>
    <w:rsid w:val="00F07104"/>
    <w:rsid w:val="00F125B0"/>
    <w:rsid w:val="00F22F83"/>
    <w:rsid w:val="00F26AC6"/>
    <w:rsid w:val="00F27946"/>
    <w:rsid w:val="00F3010A"/>
    <w:rsid w:val="00F3032B"/>
    <w:rsid w:val="00F30D40"/>
    <w:rsid w:val="00F33D66"/>
    <w:rsid w:val="00F377B6"/>
    <w:rsid w:val="00F4324A"/>
    <w:rsid w:val="00F446C1"/>
    <w:rsid w:val="00F50BF7"/>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1334"/>
    <w:rsid w:val="00FA18C4"/>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29C"/>
    <w:pPr>
      <w:spacing w:before="80" w:after="160" w:line="280" w:lineRule="atLeast"/>
    </w:pPr>
    <w:rPr>
      <w:rFonts w:ascii="Arial" w:hAnsi="Arial"/>
      <w:sz w:val="22"/>
      <w:szCs w:val="24"/>
    </w:rPr>
  </w:style>
  <w:style w:type="paragraph" w:styleId="Heading1">
    <w:name w:val="heading 1"/>
    <w:next w:val="Normal"/>
    <w:qFormat/>
    <w:rsid w:val="000E4E18"/>
    <w:pPr>
      <w:keepNext/>
      <w:numPr>
        <w:numId w:val="7"/>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9"/>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Tablebulletslevel1">
    <w:name w:val="Table bullets level 1"/>
    <w:basedOn w:val="Normal"/>
    <w:link w:val="Tablebulletslevel1Char"/>
    <w:rsid w:val="00403FC7"/>
    <w:pPr>
      <w:widowControl w:val="0"/>
      <w:numPr>
        <w:numId w:val="10"/>
      </w:numPr>
      <w:tabs>
        <w:tab w:val="left" w:pos="2597"/>
      </w:tabs>
      <w:spacing w:after="0" w:line="240" w:lineRule="auto"/>
    </w:pPr>
    <w:rPr>
      <w:sz w:val="19"/>
      <w:szCs w:val="19"/>
      <w:lang w:eastAsia="en-US"/>
    </w:rPr>
  </w:style>
  <w:style w:type="paragraph" w:customStyle="1" w:styleId="Bulletslevel1">
    <w:name w:val="Bullets level 1"/>
    <w:basedOn w:val="Normal"/>
    <w:link w:val="Bulletslevel1CharChar"/>
    <w:rsid w:val="003C105A"/>
    <w:pPr>
      <w:numPr>
        <w:numId w:val="3"/>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Tablebulletslevel1Char">
    <w:name w:val="Table bullets level 1 Char"/>
    <w:link w:val="Tablebulletslevel1"/>
    <w:rsid w:val="00403FC7"/>
    <w:rPr>
      <w:rFonts w:ascii="Arial" w:hAnsi="Arial"/>
      <w:sz w:val="19"/>
      <w:szCs w:val="19"/>
      <w:lang w:val="en-AU" w:eastAsia="en-US" w:bidi="ar-SA"/>
    </w:rPr>
  </w:style>
  <w:style w:type="character" w:styleId="Hyperlink">
    <w:name w:val="Hyperlink"/>
    <w:rsid w:val="00C163D2"/>
    <w:rPr>
      <w:color w:val="0000FF"/>
      <w:u w:val="single"/>
    </w:rPr>
  </w:style>
  <w:style w:type="paragraph" w:customStyle="1" w:styleId="Checkboxbulletlist">
    <w:name w:val="Checkbox bullet list"/>
    <w:basedOn w:val="Normal"/>
    <w:rsid w:val="003C105A"/>
    <w:pPr>
      <w:numPr>
        <w:numId w:val="2"/>
      </w:numPr>
    </w:pPr>
  </w:style>
  <w:style w:type="paragraph" w:customStyle="1" w:styleId="Bulletlevel2">
    <w:name w:val="Bullet level 2"/>
    <w:basedOn w:val="Normal"/>
    <w:rsid w:val="00396B7A"/>
    <w:pPr>
      <w:numPr>
        <w:numId w:val="24"/>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6"/>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29C"/>
    <w:pPr>
      <w:spacing w:before="80" w:after="160" w:line="280" w:lineRule="atLeast"/>
    </w:pPr>
    <w:rPr>
      <w:rFonts w:ascii="Arial" w:hAnsi="Arial"/>
      <w:sz w:val="22"/>
      <w:szCs w:val="24"/>
    </w:rPr>
  </w:style>
  <w:style w:type="paragraph" w:styleId="Heading1">
    <w:name w:val="heading 1"/>
    <w:next w:val="Normal"/>
    <w:qFormat/>
    <w:rsid w:val="000E4E18"/>
    <w:pPr>
      <w:keepNext/>
      <w:numPr>
        <w:numId w:val="7"/>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9"/>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Tablebulletslevel1">
    <w:name w:val="Table bullets level 1"/>
    <w:basedOn w:val="Normal"/>
    <w:link w:val="Tablebulletslevel1Char"/>
    <w:rsid w:val="00403FC7"/>
    <w:pPr>
      <w:widowControl w:val="0"/>
      <w:numPr>
        <w:numId w:val="10"/>
      </w:numPr>
      <w:tabs>
        <w:tab w:val="left" w:pos="2597"/>
      </w:tabs>
      <w:spacing w:after="0" w:line="240" w:lineRule="auto"/>
    </w:pPr>
    <w:rPr>
      <w:sz w:val="19"/>
      <w:szCs w:val="19"/>
      <w:lang w:eastAsia="en-US"/>
    </w:rPr>
  </w:style>
  <w:style w:type="paragraph" w:customStyle="1" w:styleId="Bulletslevel1">
    <w:name w:val="Bullets level 1"/>
    <w:basedOn w:val="Normal"/>
    <w:link w:val="Bulletslevel1CharChar"/>
    <w:rsid w:val="003C105A"/>
    <w:pPr>
      <w:numPr>
        <w:numId w:val="3"/>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Tablebulletslevel1Char">
    <w:name w:val="Table bullets level 1 Char"/>
    <w:link w:val="Tablebulletslevel1"/>
    <w:rsid w:val="00403FC7"/>
    <w:rPr>
      <w:rFonts w:ascii="Arial" w:hAnsi="Arial"/>
      <w:sz w:val="19"/>
      <w:szCs w:val="19"/>
      <w:lang w:val="en-AU" w:eastAsia="en-US" w:bidi="ar-SA"/>
    </w:rPr>
  </w:style>
  <w:style w:type="character" w:styleId="Hyperlink">
    <w:name w:val="Hyperlink"/>
    <w:rsid w:val="00C163D2"/>
    <w:rPr>
      <w:color w:val="0000FF"/>
      <w:u w:val="single"/>
    </w:rPr>
  </w:style>
  <w:style w:type="paragraph" w:customStyle="1" w:styleId="Checkboxbulletlist">
    <w:name w:val="Checkbox bullet list"/>
    <w:basedOn w:val="Normal"/>
    <w:rsid w:val="003C105A"/>
    <w:pPr>
      <w:numPr>
        <w:numId w:val="2"/>
      </w:numPr>
    </w:pPr>
  </w:style>
  <w:style w:type="paragraph" w:customStyle="1" w:styleId="Bulletlevel2">
    <w:name w:val="Bullet level 2"/>
    <w:basedOn w:val="Normal"/>
    <w:rsid w:val="00396B7A"/>
    <w:pPr>
      <w:numPr>
        <w:numId w:val="24"/>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6"/>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1127A-15F0-4566-8AD7-D39FA68D402C}">
  <ds:schemaRefs>
    <ds:schemaRef ds:uri="http://schemas.microsoft.com/sharepoint/v3/contenttype/forms"/>
  </ds:schemaRefs>
</ds:datastoreItem>
</file>

<file path=customXml/itemProps2.xml><?xml version="1.0" encoding="utf-8"?>
<ds:datastoreItem xmlns:ds="http://schemas.openxmlformats.org/officeDocument/2006/customXml" ds:itemID="{29431FB6-F0F6-4AFF-A4E4-24A154B5F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B98CF4-F23A-473F-9A5B-A5BBA39CEC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Year 8 Technology assessment teacher guidelines | Logo design | Queensland Essential Learnings and Standards</vt:lpstr>
    </vt:vector>
  </TitlesOfParts>
  <Company>Queensland Studies Authority</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Technology assessment teacher guidelines | Logo design | Queensland Essential Learnings and Standards</dc:title>
  <dc:subject/>
  <dc:creator>Queensland Studies Authority</dc:creator>
  <cp:keywords/>
  <dc:description>Students research, design and produce a logo that communicates the service and function of a new landscaping business.</dc:description>
  <cp:lastModifiedBy>QSA</cp:lastModifiedBy>
  <cp:revision>2</cp:revision>
  <cp:lastPrinted>2009-11-03T02:39:00Z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ies>
</file>