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E405DC" w:rsidP="00BC58D9">
      <w:pPr>
        <w:pStyle w:val="CoverTitle"/>
      </w:pPr>
      <w:bookmarkStart w:id="0" w:name="_GoBack"/>
      <w:bookmarkEnd w:id="0"/>
      <w:r w:rsidRPr="00881B20">
        <w:t>Health advertisement critique</w:t>
      </w:r>
    </w:p>
    <w:tbl>
      <w:tblPr>
        <w:tblW w:w="0" w:type="auto"/>
        <w:tblLook w:val="01E0" w:firstRow="1" w:lastRow="1" w:firstColumn="1" w:lastColumn="1" w:noHBand="0" w:noVBand="0"/>
      </w:tblPr>
      <w:tblGrid>
        <w:gridCol w:w="1874"/>
        <w:gridCol w:w="6396"/>
      </w:tblGrid>
      <w:tr w:rsidR="00E405DC" w:rsidRPr="00E405DC">
        <w:trPr>
          <w:trHeight w:val="614"/>
        </w:trPr>
        <w:tc>
          <w:tcPr>
            <w:tcW w:w="1874" w:type="dxa"/>
            <w:shd w:val="clear" w:color="auto" w:fill="B4A7C0"/>
            <w:tcMar>
              <w:top w:w="113" w:type="dxa"/>
              <w:left w:w="113" w:type="dxa"/>
              <w:bottom w:w="113" w:type="dxa"/>
              <w:right w:w="113" w:type="dxa"/>
            </w:tcMar>
            <w:vAlign w:val="center"/>
          </w:tcPr>
          <w:p w:rsidR="00C557B7" w:rsidRPr="00C557B7" w:rsidRDefault="00E405DC" w:rsidP="00E405DC">
            <w:pPr>
              <w:pStyle w:val="CoverYearKLAName"/>
            </w:pPr>
            <w:r>
              <w:t>Year 9</w:t>
            </w:r>
          </w:p>
        </w:tc>
        <w:tc>
          <w:tcPr>
            <w:tcW w:w="6396" w:type="dxa"/>
            <w:shd w:val="clear" w:color="auto" w:fill="E3DEE8"/>
            <w:tcMar>
              <w:top w:w="113" w:type="dxa"/>
              <w:left w:w="113" w:type="dxa"/>
              <w:bottom w:w="113" w:type="dxa"/>
              <w:right w:w="113" w:type="dxa"/>
            </w:tcMar>
            <w:vAlign w:val="center"/>
          </w:tcPr>
          <w:p w:rsidR="00C557B7" w:rsidRDefault="00E405DC" w:rsidP="00E405DC">
            <w:pPr>
              <w:pStyle w:val="CoverYearKLAName"/>
            </w:pPr>
            <w:r w:rsidRPr="00E405DC">
              <w:rPr>
                <w:szCs w:val="58"/>
              </w:rPr>
              <w:t>Health &amp; Physical Education (HPE)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1C09AC" w:rsidP="001C09AC">
            <w:pPr>
              <w:pStyle w:val="CoverOverview"/>
            </w:pPr>
            <w:r w:rsidRPr="00392A8D">
              <w:t xml:space="preserve">Students </w:t>
            </w:r>
            <w:r w:rsidR="00D204DA">
              <w:t>analyse a health advertisement that targets young people’s use of harmful substances and write a critique that includes further actions to increase the advertisement’s effectiveness.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D204DA" w:rsidRDefault="00321DA5" w:rsidP="00E30BA2">
            <w:pPr>
              <w:pStyle w:val="Stem"/>
              <w:rPr>
                <w:b/>
              </w:rPr>
            </w:pPr>
            <w:r w:rsidRPr="00D204DA">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D204DA" w:rsidRDefault="00DE329B" w:rsidP="00D204DA">
            <w:pPr>
              <w:pStyle w:val="Stem"/>
            </w:pPr>
            <w:r w:rsidRPr="00D204DA">
              <w:t xml:space="preserve">This assessment will </w:t>
            </w:r>
            <w:r w:rsidR="00D204DA" w:rsidRPr="00D204DA">
              <w:t>take</w:t>
            </w:r>
            <w:r w:rsidRPr="00D204DA">
              <w:t xml:space="preserve"> approximately </w:t>
            </w:r>
            <w:r w:rsidR="00D204DA" w:rsidRPr="00D204DA">
              <w:t>3 hours of class time, across several sessions, to complete.</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52770F">
            <w:pPr>
              <w:spacing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DE329B" w:rsidRPr="00901AA8" w:rsidRDefault="00D204DA" w:rsidP="00DE329B">
            <w:pPr>
              <w:pStyle w:val="Stem"/>
            </w:pPr>
            <w:r>
              <w:t>Students</w:t>
            </w:r>
            <w:r w:rsidR="00DE329B" w:rsidRPr="00901AA8">
              <w:t xml:space="preserve"> may work individually or with others to:</w:t>
            </w:r>
          </w:p>
          <w:p w:rsidR="00DE329B" w:rsidRPr="00901AA8" w:rsidRDefault="00DE329B" w:rsidP="00DE329B">
            <w:pPr>
              <w:pStyle w:val="Bulletslevel1"/>
              <w:spacing w:after="0" w:line="240" w:lineRule="auto"/>
            </w:pPr>
            <w:r w:rsidRPr="00901AA8">
              <w:t>choose a health advertisement</w:t>
            </w:r>
          </w:p>
          <w:p w:rsidR="00D204DA" w:rsidRDefault="00DE329B" w:rsidP="00D204DA">
            <w:pPr>
              <w:pStyle w:val="Bulletslevel1"/>
              <w:spacing w:after="0" w:line="240" w:lineRule="auto"/>
            </w:pPr>
            <w:r w:rsidRPr="00901AA8">
              <w:t>analyse and evaluate the health adv</w:t>
            </w:r>
            <w:r w:rsidR="00984CFD">
              <w:t>ertisement.</w:t>
            </w:r>
          </w:p>
          <w:p w:rsidR="00DE329B" w:rsidRPr="00D204DA" w:rsidRDefault="00DE329B" w:rsidP="00D204DA">
            <w:pPr>
              <w:pStyle w:val="Stem"/>
            </w:pPr>
            <w:r w:rsidRPr="00901AA8">
              <w:br w:type="page"/>
            </w:r>
            <w:r w:rsidR="00D204DA" w:rsidRPr="00D204DA">
              <w:t>Students</w:t>
            </w:r>
            <w:r w:rsidRPr="00D204DA">
              <w:t xml:space="preserve"> will work individually to:</w:t>
            </w:r>
          </w:p>
          <w:p w:rsidR="00DE329B" w:rsidRPr="00901AA8" w:rsidRDefault="00DE329B" w:rsidP="00DE329B">
            <w:pPr>
              <w:pStyle w:val="Bulletslevel1"/>
              <w:spacing w:after="0" w:line="240" w:lineRule="auto"/>
            </w:pPr>
            <w:r w:rsidRPr="00901AA8">
              <w:t>propose recommendations</w:t>
            </w:r>
          </w:p>
          <w:p w:rsidR="00321DA5" w:rsidRPr="005E1415" w:rsidRDefault="00DE329B" w:rsidP="00DE329B">
            <w:pPr>
              <w:pStyle w:val="Bulletslevel1"/>
              <w:spacing w:after="0" w:line="240" w:lineRule="auto"/>
            </w:pPr>
            <w:r w:rsidRPr="00901AA8">
              <w:t xml:space="preserve">write </w:t>
            </w:r>
            <w:r w:rsidR="00D204DA">
              <w:t>thei</w:t>
            </w:r>
            <w:r w:rsidRPr="00901AA8">
              <w:t>r critique in report format.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1C09AC" w:rsidRPr="00392A8D" w:rsidRDefault="001C09AC" w:rsidP="001C09AC">
            <w:r w:rsidRPr="00392A8D">
              <w:t xml:space="preserve">This assessment is designed to complement a unit of work that requires students to investigate how community health campaigns are developed to promote healthy lifestyle behaviours, and how they are used to intervene in health issues. </w:t>
            </w:r>
          </w:p>
          <w:p w:rsidR="00321DA5" w:rsidRDefault="001C09AC" w:rsidP="00CD0037">
            <w:r w:rsidRPr="00392A8D">
              <w:t>Research indicates that a range of factors influence the effectiveness of health campaigns, including the nature and range of strategies used, and how well they are tailored to t</w:t>
            </w:r>
            <w:r w:rsidR="00D204DA">
              <w:t>he target group and sub-groups.</w:t>
            </w:r>
          </w:p>
        </w:tc>
      </w:tr>
    </w:tbl>
    <w:p w:rsidR="00B34779" w:rsidRPr="00A326AC" w:rsidRDefault="00E7289C" w:rsidP="00B34779">
      <w:r>
        <w:rPr>
          <w:rStyle w:val="Publishingnote"/>
        </w:rPr>
        <w:br w:type="page"/>
      </w:r>
      <w:r w:rsidR="00306D9C">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91"/>
      </w:tblGrid>
      <w:tr w:rsidR="00CD0037" w:rsidRPr="00E405DC">
        <w:trPr>
          <w:trHeight w:val="76"/>
        </w:trPr>
        <w:tc>
          <w:tcPr>
            <w:tcW w:w="9639" w:type="dxa"/>
            <w:gridSpan w:val="2"/>
            <w:shd w:val="clear" w:color="auto" w:fill="E6E6E6"/>
          </w:tcPr>
          <w:p w:rsidR="00CD0037" w:rsidRPr="00E405DC" w:rsidRDefault="00E405DC" w:rsidP="0087211E">
            <w:pPr>
              <w:pStyle w:val="Heading2intable"/>
              <w:keepNext/>
              <w:keepLines/>
              <w:tabs>
                <w:tab w:val="clear" w:pos="9000"/>
                <w:tab w:val="right" w:pos="9360"/>
              </w:tabs>
            </w:pPr>
            <w:r w:rsidRPr="00E405DC">
              <w:t>HPE</w:t>
            </w:r>
            <w:r w:rsidR="00CD0037" w:rsidRPr="00E405DC">
              <w:tab/>
              <w:t xml:space="preserve">Essential Learnings by the end of Year </w:t>
            </w:r>
            <w:r w:rsidRPr="00E405DC">
              <w:t>9</w:t>
            </w:r>
          </w:p>
        </w:tc>
      </w:tr>
      <w:tr w:rsidR="00934842">
        <w:trPr>
          <w:trHeight w:val="3454"/>
        </w:trPr>
        <w:tc>
          <w:tcPr>
            <w:tcW w:w="4248"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934842" w:rsidRDefault="001C09AC" w:rsidP="001C09AC">
            <w:pPr>
              <w:pStyle w:val="Bulletslevel1"/>
            </w:pPr>
            <w:r>
              <w:t>research, analyse and evaluate data, information and evidence</w:t>
            </w:r>
          </w:p>
          <w:p w:rsidR="001C09AC" w:rsidRPr="00A67D85" w:rsidRDefault="001C09AC" w:rsidP="001C09AC">
            <w:pPr>
              <w:pStyle w:val="Bulletslevel1"/>
            </w:pPr>
            <w:r>
              <w:t>propose, justify, implement and monitor plans or actions to achieve goals, address inequities and promote health and wellbeing, movement capacities and personal development</w:t>
            </w:r>
            <w:r w:rsidR="00D204DA">
              <w:t>.</w:t>
            </w:r>
          </w:p>
        </w:tc>
        <w:tc>
          <w:tcPr>
            <w:tcW w:w="5391" w:type="dxa"/>
          </w:tcPr>
          <w:p w:rsidR="00934842" w:rsidRDefault="00934842" w:rsidP="002C1299">
            <w:pPr>
              <w:pStyle w:val="Heading3"/>
              <w:keepLines/>
            </w:pPr>
            <w:r>
              <w:t>Knowledge and understanding</w:t>
            </w:r>
          </w:p>
          <w:p w:rsidR="001C09AC" w:rsidRPr="001C09AC" w:rsidRDefault="001C09AC" w:rsidP="001C09AC">
            <w:pPr>
              <w:pStyle w:val="Stem"/>
              <w:rPr>
                <w:b/>
                <w:i/>
              </w:rPr>
            </w:pPr>
            <w:r w:rsidRPr="001C09AC">
              <w:rPr>
                <w:b/>
                <w:i/>
              </w:rPr>
              <w:t>Health</w:t>
            </w:r>
          </w:p>
          <w:p w:rsidR="00934842" w:rsidRPr="001C09AC" w:rsidRDefault="001C09AC" w:rsidP="001C09AC">
            <w:pPr>
              <w:pStyle w:val="Stem"/>
              <w:rPr>
                <w:b/>
              </w:rPr>
            </w:pPr>
            <w:r w:rsidRPr="001C09AC">
              <w:rPr>
                <w:b/>
              </w:rPr>
              <w:t>Health is multidimensional and dynamic, and influenced by actions and environments.</w:t>
            </w:r>
          </w:p>
          <w:p w:rsidR="001C09AC" w:rsidRDefault="001C09AC" w:rsidP="001C09AC">
            <w:pPr>
              <w:pStyle w:val="Bulletslevel1"/>
            </w:pPr>
            <w:r w:rsidRPr="001C09AC">
              <w:t>Individual, group and community action, that enables people to adopt health promotion</w:t>
            </w:r>
            <w:r>
              <w:t xml:space="preserve"> s</w:t>
            </w:r>
            <w:r w:rsidRPr="001C09AC">
              <w:t>trategies, can address inequities and promote health and wellbeing, including safety</w:t>
            </w:r>
            <w:r>
              <w:t>.</w:t>
            </w:r>
          </w:p>
        </w:tc>
      </w:tr>
      <w:tr w:rsidR="00B34779" w:rsidRPr="00AD12C7">
        <w:trPr>
          <w:trHeight w:val="1559"/>
        </w:trPr>
        <w:tc>
          <w:tcPr>
            <w:tcW w:w="9639" w:type="dxa"/>
            <w:gridSpan w:val="2"/>
          </w:tcPr>
          <w:p w:rsidR="00B34779" w:rsidRDefault="00B34779" w:rsidP="002C1299">
            <w:pPr>
              <w:pStyle w:val="Heading3"/>
              <w:keepLines/>
            </w:pPr>
            <w:r>
              <w:t xml:space="preserve">Assessable </w:t>
            </w:r>
            <w:r w:rsidRPr="00AD12C7">
              <w:t>el</w:t>
            </w:r>
            <w:r>
              <w:t>ements</w:t>
            </w:r>
          </w:p>
          <w:p w:rsidR="00E405DC" w:rsidRDefault="00E405DC" w:rsidP="00E405DC">
            <w:pPr>
              <w:pStyle w:val="Bulletslevel1"/>
            </w:pPr>
            <w:r>
              <w:t>Knowledge and understanding</w:t>
            </w:r>
          </w:p>
          <w:p w:rsidR="00E405DC" w:rsidRDefault="00E405DC" w:rsidP="00E405DC">
            <w:pPr>
              <w:pStyle w:val="Bulletslevel1"/>
            </w:pPr>
            <w:r>
              <w:t>Investigating</w:t>
            </w:r>
          </w:p>
          <w:p w:rsidR="00B34779" w:rsidRPr="00AD12C7" w:rsidRDefault="00E405DC" w:rsidP="00E405DC">
            <w:pPr>
              <w:pStyle w:val="Bulletslevel1"/>
            </w:pPr>
            <w:r>
              <w:t>Planning</w:t>
            </w:r>
          </w:p>
        </w:tc>
      </w:tr>
      <w:tr w:rsidR="00B34779" w:rsidRPr="00E405DC">
        <w:trPr>
          <w:trHeight w:val="76"/>
        </w:trPr>
        <w:tc>
          <w:tcPr>
            <w:tcW w:w="9639" w:type="dxa"/>
            <w:gridSpan w:val="2"/>
          </w:tcPr>
          <w:p w:rsidR="00B34779" w:rsidRPr="00E405DC" w:rsidRDefault="00B34779" w:rsidP="00474B75">
            <w:pPr>
              <w:pStyle w:val="Source"/>
            </w:pPr>
            <w:r w:rsidRPr="00E405DC">
              <w:t xml:space="preserve">Source: </w:t>
            </w:r>
            <w:smartTag w:uri="urn:schemas-microsoft-com:office:smarttags" w:element="State">
              <w:r w:rsidRPr="00E405DC">
                <w:t>Queensland</w:t>
              </w:r>
            </w:smartTag>
            <w:r w:rsidRPr="00E405DC">
              <w:t xml:space="preserve"> Studies Authority 2007, </w:t>
            </w:r>
            <w:r w:rsidR="00E405DC" w:rsidRPr="00E405DC">
              <w:rPr>
                <w:rStyle w:val="SourceTitleChar"/>
              </w:rPr>
              <w:t>HPE</w:t>
            </w:r>
            <w:r w:rsidRPr="00E405DC">
              <w:rPr>
                <w:rStyle w:val="SourceTitleChar"/>
              </w:rPr>
              <w:t xml:space="preserve"> Essential Learnings by the end of Year </w:t>
            </w:r>
            <w:r w:rsidR="00E405DC" w:rsidRPr="00E405DC">
              <w:rPr>
                <w:rStyle w:val="SourceTitleChar"/>
              </w:rPr>
              <w:t>9</w:t>
            </w:r>
            <w:r w:rsidRPr="00E405DC">
              <w:t xml:space="preserve">, QSA, </w:t>
            </w:r>
            <w:smartTag w:uri="urn:schemas-microsoft-com:office:smarttags" w:element="City">
              <w:smartTag w:uri="urn:schemas-microsoft-com:office:smarttags" w:element="place">
                <w:r w:rsidRPr="00E405DC">
                  <w:t>Brisbane</w:t>
                </w:r>
              </w:smartTag>
            </w:smartTag>
            <w:r w:rsidRPr="00E405DC">
              <w:t>.</w:t>
            </w:r>
          </w:p>
        </w:tc>
      </w:tr>
    </w:tbl>
    <w:p w:rsidR="00B63195" w:rsidRPr="00E405DC" w:rsidRDefault="00B63195" w:rsidP="008A6EB3"/>
    <w:p w:rsidR="008F3048" w:rsidRDefault="00306D9C" w:rsidP="004023CC">
      <w:pPr>
        <w:pStyle w:val="Stem"/>
        <w:pageBreakBefore/>
      </w:pPr>
      <w:r>
        <w:rPr>
          <w:noProof/>
        </w:rPr>
        <w:lastRenderedPageBreak/>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9D15D5">
        <w:rPr>
          <w:b/>
        </w:rPr>
        <w:t>learning experiences</w:t>
      </w:r>
      <w:r w:rsidR="008F3048">
        <w:t xml:space="preserve"> for students be</w:t>
      </w:r>
      <w:r w:rsidR="00D43BC1">
        <w:t>fore attempting this assessment.</w:t>
      </w:r>
    </w:p>
    <w:p w:rsidR="001C09AC" w:rsidRPr="00392A8D" w:rsidRDefault="001C09AC" w:rsidP="001C09AC">
      <w:pPr>
        <w:pStyle w:val="Bulletslevel1"/>
      </w:pPr>
      <w:r w:rsidRPr="00392A8D">
        <w:t>Research the incidence of and effects of substance use (e.g. alcohol, tobacco, other drugs) among</w:t>
      </w:r>
      <w:r>
        <w:t xml:space="preserve"> young people.</w:t>
      </w:r>
    </w:p>
    <w:p w:rsidR="001C09AC" w:rsidRPr="00392A8D" w:rsidRDefault="001C09AC" w:rsidP="001C09AC">
      <w:pPr>
        <w:pStyle w:val="Bulletslevel1"/>
      </w:pPr>
      <w:r w:rsidRPr="00392A8D">
        <w:t>Analys</w:t>
      </w:r>
      <w:r w:rsidR="009A26C7">
        <w:t>e</w:t>
      </w:r>
      <w:r w:rsidRPr="00392A8D">
        <w:t xml:space="preserve"> how personal (e.g. knowledge, beliefs, values, habits), social (e.g. peers, laws, education, campaigns), cultural (e.g. family values) and environmental (e.g. availability, social atmosphere) factors can influence use, including abstinence</w:t>
      </w:r>
      <w:r>
        <w:t>.</w:t>
      </w:r>
    </w:p>
    <w:p w:rsidR="001C09AC" w:rsidRPr="00392A8D" w:rsidRDefault="001C09AC" w:rsidP="001C09AC">
      <w:pPr>
        <w:pStyle w:val="Bulletslevel1"/>
      </w:pPr>
      <w:r w:rsidRPr="00392A8D">
        <w:t>Draw concept maps to illustrate the relationships between substance use, influencing factors and potential health outcomes</w:t>
      </w:r>
      <w:r>
        <w:t>.</w:t>
      </w:r>
    </w:p>
    <w:p w:rsidR="001C09AC" w:rsidRPr="00392A8D" w:rsidRDefault="001C09AC" w:rsidP="001C09AC">
      <w:pPr>
        <w:pStyle w:val="Bulletslevel1"/>
      </w:pPr>
      <w:r w:rsidRPr="00392A8D">
        <w:t>Identify and evaluat</w:t>
      </w:r>
      <w:r w:rsidR="009A26C7">
        <w:t>e</w:t>
      </w:r>
      <w:r w:rsidRPr="00392A8D">
        <w:t xml:space="preserve"> a range of interventions, including advertisements</w:t>
      </w:r>
      <w:r>
        <w:t>.</w:t>
      </w:r>
    </w:p>
    <w:p w:rsidR="001C09AC" w:rsidRPr="00392A8D" w:rsidRDefault="001C09AC" w:rsidP="001C09AC">
      <w:pPr>
        <w:pStyle w:val="Bulletslevel1"/>
      </w:pPr>
      <w:r w:rsidRPr="00392A8D">
        <w:t>Research the effects of various campaigns/advertisements used to influence young people and to improve health outcomes</w:t>
      </w:r>
      <w:r>
        <w:t>.</w:t>
      </w:r>
    </w:p>
    <w:p w:rsidR="001C09AC" w:rsidRPr="00392A8D" w:rsidRDefault="001C09AC" w:rsidP="001C09AC">
      <w:pPr>
        <w:pStyle w:val="Bulletslevel1"/>
      </w:pPr>
      <w:r w:rsidRPr="00392A8D">
        <w:t>Propos</w:t>
      </w:r>
      <w:r w:rsidR="009A26C7">
        <w:t>e</w:t>
      </w:r>
      <w:r w:rsidRPr="00392A8D">
        <w:t xml:space="preserve"> criteria for “what makes a good health intervention?”</w:t>
      </w:r>
    </w:p>
    <w:p w:rsidR="001C09AC" w:rsidRPr="00392A8D" w:rsidRDefault="001C09AC" w:rsidP="001C09AC">
      <w:pPr>
        <w:pStyle w:val="Bulletslevel1"/>
      </w:pPr>
      <w:r w:rsidRPr="00392A8D">
        <w:t>Investigat</w:t>
      </w:r>
      <w:r w:rsidR="009A26C7">
        <w:t>e</w:t>
      </w:r>
      <w:r w:rsidRPr="00392A8D">
        <w:t xml:space="preserve"> strategies used in advertisements</w:t>
      </w:r>
      <w:r>
        <w:t>.</w:t>
      </w:r>
    </w:p>
    <w:p w:rsidR="001C09AC" w:rsidRPr="00392A8D" w:rsidRDefault="00D204DA" w:rsidP="001C09AC">
      <w:pPr>
        <w:pStyle w:val="Bulletslevel1"/>
      </w:pPr>
      <w:r>
        <w:t>Examin</w:t>
      </w:r>
      <w:r w:rsidR="009A26C7">
        <w:t>e</w:t>
      </w:r>
      <w:r>
        <w:t xml:space="preserve"> structures and guidelines for developing and writing health advertisement critiques.</w:t>
      </w:r>
    </w:p>
    <w:p w:rsidR="00233FC0" w:rsidRDefault="00DE086C" w:rsidP="00233FC0">
      <w:pPr>
        <w:pStyle w:val="Heading2"/>
      </w:pPr>
      <w:r>
        <w:br w:type="page"/>
      </w:r>
      <w:r w:rsidR="00233FC0">
        <w:t>Preparing</w:t>
      </w:r>
    </w:p>
    <w:p w:rsidR="001C09AC" w:rsidRPr="001B7D13" w:rsidRDefault="00306D9C" w:rsidP="001B7D13">
      <w:pPr>
        <w:pStyle w:val="Stem"/>
        <w:rPr>
          <w:b/>
        </w:rPr>
      </w:pP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AC" w:rsidRPr="001B7D13">
        <w:rPr>
          <w:b/>
        </w:rPr>
        <w:t>School policies</w:t>
      </w:r>
    </w:p>
    <w:p w:rsidR="001C09AC" w:rsidRPr="00392A8D" w:rsidRDefault="001C09AC" w:rsidP="001C09AC">
      <w:r w:rsidRPr="00392A8D">
        <w:t xml:space="preserve">Teachers need to be aware of and observe school authority policies that may be relevant to this </w:t>
      </w:r>
      <w:r w:rsidR="00D204DA">
        <w:t>assessment</w:t>
      </w:r>
      <w:r w:rsidRPr="00392A8D">
        <w:t xml:space="preserve">, in particular those policies relating to sensitive issues such as substance use. </w:t>
      </w:r>
    </w:p>
    <w:p w:rsidR="00E53F6C" w:rsidRDefault="00E53F6C" w:rsidP="00D204DA">
      <w:pPr>
        <w:pStyle w:val="Heading2TOP"/>
        <w:pageBreakBefore w:val="0"/>
      </w:pPr>
      <w:r>
        <w:t>Implementation</w:t>
      </w:r>
    </w:p>
    <w:p w:rsidR="001C09AC" w:rsidRPr="00392A8D" w:rsidRDefault="001C09AC" w:rsidP="001C09AC">
      <w:pPr>
        <w:pStyle w:val="Bulletslevel1"/>
      </w:pPr>
      <w:r w:rsidRPr="00392A8D">
        <w:t xml:space="preserve">Read and discuss the </w:t>
      </w:r>
      <w:r w:rsidR="003C3665">
        <w:t>assessment</w:t>
      </w:r>
      <w:r w:rsidRPr="00392A8D">
        <w:t xml:space="preserve"> with your class.</w:t>
      </w:r>
    </w:p>
    <w:p w:rsidR="001C09AC" w:rsidRPr="00392A8D" w:rsidRDefault="001C09AC" w:rsidP="001C09AC">
      <w:pPr>
        <w:pStyle w:val="Bulletslevel1"/>
      </w:pPr>
      <w:r w:rsidRPr="00392A8D">
        <w:t xml:space="preserve">Support students by referring them to, and/or providing, relevant resources — for example, recordings of health advertisements that target substance use among young people, and research on the impact of advertising campaigns on people’s use of substances (refer to </w:t>
      </w:r>
      <w:r w:rsidR="009A26C7">
        <w:t xml:space="preserve">the </w:t>
      </w:r>
      <w:r w:rsidRPr="00392A8D">
        <w:t xml:space="preserve">Resources </w:t>
      </w:r>
      <w:r w:rsidR="00777209">
        <w:t xml:space="preserve">in these </w:t>
      </w:r>
      <w:r w:rsidR="00777209" w:rsidRPr="006D3690">
        <w:rPr>
          <w:i/>
        </w:rPr>
        <w:t>Teacher guidelines</w:t>
      </w:r>
      <w:r w:rsidRPr="00392A8D">
        <w:t>).</w:t>
      </w:r>
    </w:p>
    <w:p w:rsidR="001C09AC" w:rsidRPr="00392A8D" w:rsidRDefault="001C09AC" w:rsidP="00DE086C">
      <w:pPr>
        <w:pStyle w:val="Bulletslevel1"/>
      </w:pPr>
      <w:r w:rsidRPr="00392A8D">
        <w:t xml:space="preserve">Discuss the structure for developing a health advertisement critique (refer to </w:t>
      </w:r>
      <w:r w:rsidR="00791192">
        <w:t>the</w:t>
      </w:r>
      <w:r w:rsidRPr="009A26C7">
        <w:rPr>
          <w:i/>
        </w:rPr>
        <w:t xml:space="preserve"> </w:t>
      </w:r>
      <w:r w:rsidRPr="00791192">
        <w:t>Guide to writing health advertisement critiques</w:t>
      </w:r>
      <w:r w:rsidR="00791192" w:rsidRPr="00791192">
        <w:t xml:space="preserve"> </w:t>
      </w:r>
      <w:r w:rsidR="00791192" w:rsidRPr="00392A8D">
        <w:t xml:space="preserve">in the </w:t>
      </w:r>
      <w:r w:rsidR="00791192" w:rsidRPr="006D3690">
        <w:rPr>
          <w:i/>
        </w:rPr>
        <w:t>Student booklet</w:t>
      </w:r>
      <w:r w:rsidRPr="00791192">
        <w:t>).</w:t>
      </w:r>
    </w:p>
    <w:p w:rsidR="00DE086C" w:rsidRDefault="001C09AC" w:rsidP="001C09AC">
      <w:pPr>
        <w:pStyle w:val="Bulletslevel1"/>
      </w:pPr>
      <w:r w:rsidRPr="00392A8D">
        <w:t>Insist that students do not base their critique on the advertisement used in class learning experiences.</w:t>
      </w:r>
    </w:p>
    <w:p w:rsidR="001C09AC" w:rsidRDefault="00DE086C" w:rsidP="00DE086C">
      <w:pPr>
        <w:pStyle w:val="smallspace"/>
      </w:pPr>
      <w:r>
        <w:br w:type="page"/>
      </w:r>
    </w:p>
    <w:tbl>
      <w:tblPr>
        <w:tblW w:w="9639" w:type="dxa"/>
        <w:tblLook w:val="01E0" w:firstRow="1" w:lastRow="1" w:firstColumn="1" w:lastColumn="1" w:noHBand="0" w:noVBand="0"/>
      </w:tblPr>
      <w:tblGrid>
        <w:gridCol w:w="1008"/>
        <w:gridCol w:w="8631"/>
      </w:tblGrid>
      <w:tr w:rsidR="006E3C63" w:rsidRPr="008814B0">
        <w:trPr>
          <w:trHeight w:val="558"/>
        </w:trPr>
        <w:tc>
          <w:tcPr>
            <w:tcW w:w="523" w:type="pct"/>
          </w:tcPr>
          <w:p w:rsidR="006E3C63" w:rsidRPr="000B2F55" w:rsidRDefault="00306D9C" w:rsidP="00D204DA">
            <w:pPr>
              <w:pStyle w:val="Heading2TOP"/>
              <w:pageBreakBefore w:val="0"/>
            </w:pPr>
            <w:r>
              <w:rPr>
                <w:noProof/>
              </w:rPr>
              <w:drawing>
                <wp:anchor distT="0" distB="0" distL="114300" distR="114300" simplePos="0" relativeHeight="251657216" behindDoc="0" locked="0" layoutInCell="1" allowOverlap="1">
                  <wp:simplePos x="0" y="0"/>
                  <wp:positionH relativeFrom="margin">
                    <wp:posOffset>-114300</wp:posOffset>
                  </wp:positionH>
                  <wp:positionV relativeFrom="paragraph">
                    <wp:posOffset>-130175</wp:posOffset>
                  </wp:positionV>
                  <wp:extent cx="542290" cy="542290"/>
                  <wp:effectExtent l="0" t="0" r="0" b="0"/>
                  <wp:wrapNone/>
                  <wp:docPr id="37" name="Picture 3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EAE">
              <w:rPr>
                <w:rStyle w:val="Publishingnote"/>
                <w:color w:val="auto"/>
              </w:rPr>
              <w:br w:type="page"/>
            </w:r>
          </w:p>
        </w:tc>
        <w:tc>
          <w:tcPr>
            <w:tcW w:w="4477" w:type="pct"/>
            <w:vAlign w:val="bottom"/>
          </w:tcPr>
          <w:p w:rsidR="006E3C63" w:rsidRPr="008814B0" w:rsidRDefault="006E3C63" w:rsidP="00F42E87">
            <w:pPr>
              <w:pStyle w:val="Heading2intable"/>
              <w:spacing w:after="0"/>
            </w:pPr>
            <w:r>
              <w:t>Resources</w:t>
            </w:r>
            <w:r w:rsidR="0091354C">
              <w:t xml:space="preserve"> for the assessment</w:t>
            </w:r>
          </w:p>
        </w:tc>
      </w:tr>
    </w:tbl>
    <w:p w:rsidR="00DE086C" w:rsidRPr="00B5332D" w:rsidRDefault="00DE086C" w:rsidP="00F42E87">
      <w:pPr>
        <w:spacing w:before="120"/>
        <w:rPr>
          <w:rFonts w:cs="Arial"/>
          <w:szCs w:val="22"/>
        </w:rPr>
      </w:pPr>
      <w:r w:rsidRPr="00B5332D">
        <w:rPr>
          <w:rFonts w:cs="Arial"/>
          <w:szCs w:val="22"/>
        </w:rPr>
        <w:t xml:space="preserve">The references below provide links to advertisements such as television and radio commercials and posters, and other articles that can support student completion of the assessment. </w:t>
      </w:r>
    </w:p>
    <w:p w:rsidR="00DE086C" w:rsidRPr="00B5332D" w:rsidRDefault="00DE086C" w:rsidP="00E30BA2">
      <w:pPr>
        <w:pStyle w:val="Bulletslevel1"/>
      </w:pPr>
      <w:r w:rsidRPr="00B5332D">
        <w:t xml:space="preserve">Australian Government, Department of Health and Ageing, </w:t>
      </w:r>
      <w:r w:rsidRPr="00B5332D">
        <w:rPr>
          <w:i/>
        </w:rPr>
        <w:t>Australian National Tobacco Strategy 2004–2009</w:t>
      </w:r>
      <w:r>
        <w:t>, accessed 14 Feb 2008</w:t>
      </w:r>
      <w:r w:rsidRPr="00B5332D">
        <w:t>, &lt;</w:t>
      </w:r>
      <w:r w:rsidRPr="005F3CF3">
        <w:t>www.health.gov.au/internet/wcms/publishing.nsf/Content/phd-pub-tobacco-tobccstrat2-cnt.htm</w:t>
      </w:r>
      <w:r w:rsidRPr="00B5332D">
        <w:t>&gt;.</w:t>
      </w:r>
    </w:p>
    <w:p w:rsidR="00DE086C" w:rsidRPr="00B5332D" w:rsidRDefault="00DE086C" w:rsidP="00E30BA2">
      <w:pPr>
        <w:pStyle w:val="Bulletslevel1"/>
      </w:pPr>
      <w:r w:rsidRPr="00B5332D">
        <w:t xml:space="preserve">Australian Government, Department of Health and Ageing, </w:t>
      </w:r>
      <w:r w:rsidRPr="00B5332D">
        <w:rPr>
          <w:i/>
        </w:rPr>
        <w:t>National Alcohol Campaign</w:t>
      </w:r>
      <w:r w:rsidRPr="00B5332D">
        <w:t xml:space="preserve">, accessed </w:t>
      </w:r>
      <w:r>
        <w:t>14 Feb 2008</w:t>
      </w:r>
      <w:r w:rsidRPr="00B5332D">
        <w:t xml:space="preserve">, </w:t>
      </w:r>
      <w:r w:rsidRPr="005F3CF3">
        <w:t>&lt;www.alcohol.gov.au</w:t>
      </w:r>
      <w:r w:rsidRPr="00B5332D">
        <w:t>&gt;.</w:t>
      </w:r>
    </w:p>
    <w:p w:rsidR="00DE086C" w:rsidRPr="00B5332D" w:rsidRDefault="00DE086C" w:rsidP="00E30BA2">
      <w:pPr>
        <w:pStyle w:val="Bulletslevel1"/>
      </w:pPr>
      <w:r w:rsidRPr="00B5332D">
        <w:t xml:space="preserve">Australian Government, Department of Health and Ageing, </w:t>
      </w:r>
      <w:r w:rsidRPr="00B5332D">
        <w:rPr>
          <w:i/>
        </w:rPr>
        <w:t>National Drugs Campaign</w:t>
      </w:r>
      <w:r w:rsidRPr="00B5332D">
        <w:t xml:space="preserve"> [home page], accessed </w:t>
      </w:r>
      <w:r>
        <w:t>14 Feb 2008</w:t>
      </w:r>
      <w:r w:rsidRPr="00B5332D">
        <w:t xml:space="preserve">, </w:t>
      </w:r>
      <w:r>
        <w:t>&lt;</w:t>
      </w:r>
      <w:r w:rsidRPr="00137FD7">
        <w:t xml:space="preserve">www.drugs.health.gov.au/internet/drugs/publishing.nsf/Content/home </w:t>
      </w:r>
      <w:r>
        <w:t xml:space="preserve">&gt;. </w:t>
      </w:r>
      <w:r w:rsidRPr="00B5332D">
        <w:t>(This home page provides links to information about the National Drugs Campaign strategy, research and campaign resources for young people.)</w:t>
      </w:r>
    </w:p>
    <w:p w:rsidR="00DE086C" w:rsidRDefault="00DE086C" w:rsidP="00E30BA2">
      <w:pPr>
        <w:pStyle w:val="Bulletslevel1"/>
      </w:pPr>
      <w:r w:rsidRPr="00B5332D">
        <w:t xml:space="preserve">Australian Government, Department of Health and Ageing, </w:t>
      </w:r>
      <w:r w:rsidRPr="00B5332D">
        <w:rPr>
          <w:i/>
        </w:rPr>
        <w:t>Where</w:t>
      </w:r>
      <w:r>
        <w:rPr>
          <w:i/>
        </w:rPr>
        <w:t>’</w:t>
      </w:r>
      <w:r w:rsidRPr="00B5332D">
        <w:rPr>
          <w:i/>
        </w:rPr>
        <w:t>s your head at? National Drugs Campaign</w:t>
      </w:r>
      <w:r w:rsidRPr="00B5332D">
        <w:t xml:space="preserve">, accessed </w:t>
      </w:r>
      <w:r>
        <w:t>14 Feb 2008</w:t>
      </w:r>
      <w:r w:rsidRPr="00B5332D">
        <w:t xml:space="preserve">, </w:t>
      </w:r>
      <w:r w:rsidRPr="005F3CF3">
        <w:t>&lt;www.drugs.health.gov.au/internet/drugs/publishing.nsf/Content/youth-home</w:t>
      </w:r>
      <w:r w:rsidRPr="00B5332D">
        <w:t xml:space="preserve">&gt;. </w:t>
      </w:r>
    </w:p>
    <w:p w:rsidR="00DE086C" w:rsidRPr="00B5332D" w:rsidRDefault="00DE086C" w:rsidP="00E30BA2">
      <w:pPr>
        <w:pStyle w:val="Bulletslevel1"/>
      </w:pPr>
      <w:r w:rsidRPr="00B5332D">
        <w:t xml:space="preserve">Australian Government 2006, </w:t>
      </w:r>
      <w:r w:rsidRPr="00B5332D">
        <w:rPr>
          <w:i/>
        </w:rPr>
        <w:t xml:space="preserve">National Tobacco Youth Campaign </w:t>
      </w:r>
      <w:r w:rsidRPr="00B5332D">
        <w:t xml:space="preserve">[home page], accessed </w:t>
      </w:r>
      <w:r>
        <w:t>14 Feb 2008</w:t>
      </w:r>
      <w:r w:rsidRPr="00B5332D">
        <w:t xml:space="preserve">, </w:t>
      </w:r>
      <w:r>
        <w:t>&lt;</w:t>
      </w:r>
      <w:r w:rsidRPr="00137FD7">
        <w:t xml:space="preserve">www.quitnow.info.au/internet/quitnow/publishing.nsf/content/youth-lp </w:t>
      </w:r>
      <w:r>
        <w:t>&gt;</w:t>
      </w:r>
      <w:r w:rsidRPr="00B5332D">
        <w:t>. (This home page provides links to the background to the campaign, advertising materials including television commercials, radio advertising, campaign posters and other sources.)</w:t>
      </w:r>
    </w:p>
    <w:p w:rsidR="00DE086C" w:rsidRPr="00B5332D" w:rsidRDefault="00DE086C" w:rsidP="00E30BA2">
      <w:pPr>
        <w:pStyle w:val="Bulletslevel1"/>
      </w:pPr>
      <w:r w:rsidRPr="00B5332D">
        <w:t>Cent</w:t>
      </w:r>
      <w:r>
        <w:t>er</w:t>
      </w:r>
      <w:r w:rsidRPr="00B5332D">
        <w:t xml:space="preserve"> for the Advancement of Health 2004, </w:t>
      </w:r>
      <w:r w:rsidRPr="00B5332D">
        <w:rPr>
          <w:i/>
        </w:rPr>
        <w:t>Science Blog</w:t>
      </w:r>
      <w:r w:rsidRPr="00B5332D">
        <w:t xml:space="preserve">, “Health </w:t>
      </w:r>
      <w:r>
        <w:t>p</w:t>
      </w:r>
      <w:r w:rsidRPr="00B5332D">
        <w:t xml:space="preserve">romotion: Can </w:t>
      </w:r>
      <w:r>
        <w:t>s</w:t>
      </w:r>
      <w:r w:rsidRPr="00B5332D">
        <w:t xml:space="preserve">care </w:t>
      </w:r>
      <w:r>
        <w:t>t</w:t>
      </w:r>
      <w:r w:rsidRPr="00B5332D">
        <w:t xml:space="preserve">actics </w:t>
      </w:r>
      <w:r>
        <w:t>w</w:t>
      </w:r>
      <w:r w:rsidRPr="00B5332D">
        <w:t xml:space="preserve">ork?”, accessed </w:t>
      </w:r>
      <w:r>
        <w:t>14 Feb 2008</w:t>
      </w:r>
      <w:r w:rsidRPr="00B5332D">
        <w:t>, &lt;</w:t>
      </w:r>
      <w:r w:rsidRPr="005F3CF3">
        <w:t>www.scienceblog.com/</w:t>
      </w:r>
      <w:r w:rsidRPr="005F3CF3">
        <w:t>c</w:t>
      </w:r>
      <w:r w:rsidRPr="005F3CF3">
        <w:t>ommunity/older/1998/A/199800824.html</w:t>
      </w:r>
      <w:r w:rsidRPr="00B5332D">
        <w:t>&gt;.</w:t>
      </w:r>
    </w:p>
    <w:p w:rsidR="00DE086C" w:rsidRPr="00B5332D" w:rsidRDefault="00DE086C" w:rsidP="00E30BA2">
      <w:pPr>
        <w:pStyle w:val="Bulletslevel1"/>
      </w:pPr>
      <w:r w:rsidRPr="00B5332D">
        <w:t xml:space="preserve">Center for Disease Control and Prevention, Community Preventive Services 2003, </w:t>
      </w:r>
      <w:r w:rsidRPr="00B5332D">
        <w:rPr>
          <w:i/>
        </w:rPr>
        <w:t>Effectiveness of mass media campaigns to reduce initiation of tobacco use and increase cessation</w:t>
      </w:r>
      <w:r w:rsidRPr="00B5332D">
        <w:t xml:space="preserve">, accessed </w:t>
      </w:r>
      <w:r>
        <w:t>14 Feb 2008</w:t>
      </w:r>
      <w:r w:rsidRPr="00B5332D">
        <w:t>, &lt;</w:t>
      </w:r>
      <w:r w:rsidRPr="005F3CF3">
        <w:t>www.thecommunityguide.org/tobacco/</w:t>
      </w:r>
      <w:r w:rsidRPr="00B5332D">
        <w:t xml:space="preserve">&gt;. </w:t>
      </w:r>
      <w:r>
        <w:t xml:space="preserve">(Search for “Effectiveness of mass media”. </w:t>
      </w:r>
      <w:r w:rsidRPr="00B5332D">
        <w:t>This short article reveals that mass media campaigns are effective when combined with other actions.)</w:t>
      </w:r>
    </w:p>
    <w:p w:rsidR="00DE086C" w:rsidRPr="00B5332D" w:rsidRDefault="00DE086C" w:rsidP="00E30BA2">
      <w:pPr>
        <w:pStyle w:val="Bulletslevel1"/>
      </w:pPr>
      <w:r w:rsidRPr="003D5606">
        <w:t>Drug and Alcohol Services South Australia</w:t>
      </w:r>
      <w:r w:rsidRPr="00B5332D">
        <w:t xml:space="preserve"> [home page], accessed </w:t>
      </w:r>
      <w:r>
        <w:t>14 Feb 2008</w:t>
      </w:r>
      <w:r w:rsidRPr="00B5332D">
        <w:t>, &lt;</w:t>
      </w:r>
      <w:r w:rsidRPr="005F3CF3">
        <w:t>www.dassa.sa.gov.au</w:t>
      </w:r>
      <w:r w:rsidRPr="00B5332D">
        <w:t>&gt;. (Select “Publications”, then “Alcohol” to access a range of alcohol publications.)</w:t>
      </w:r>
    </w:p>
    <w:p w:rsidR="00DE086C" w:rsidRPr="00B5332D" w:rsidRDefault="00DE086C" w:rsidP="00E30BA2">
      <w:pPr>
        <w:pStyle w:val="Bulletslevel1"/>
      </w:pPr>
      <w:r w:rsidRPr="003D5606">
        <w:rPr>
          <w:rStyle w:val="Strong"/>
          <w:rFonts w:cs="Arial"/>
          <w:b w:val="0"/>
          <w:szCs w:val="22"/>
        </w:rPr>
        <w:t>The National Clearinghouse for Alcohol and Drug Information (NCADI)</w:t>
      </w:r>
      <w:r w:rsidRPr="00B5332D">
        <w:t xml:space="preserve"> [home page], accessed </w:t>
      </w:r>
      <w:r>
        <w:t>14 Feb 2008</w:t>
      </w:r>
      <w:r w:rsidRPr="00B5332D">
        <w:t xml:space="preserve">, </w:t>
      </w:r>
      <w:r w:rsidRPr="005F3CF3">
        <w:t>&lt;www.druginfo.adf.org.au</w:t>
      </w:r>
      <w:r w:rsidRPr="00B5332D">
        <w:t>&gt;. (Select “Alcohol and drug info”, the</w:t>
      </w:r>
      <w:r>
        <w:t>n</w:t>
      </w:r>
      <w:r w:rsidRPr="00B5332D">
        <w:t xml:space="preserve"> “Free resources” to access a range of fact sheets, pamphlets and reports.)</w:t>
      </w:r>
    </w:p>
    <w:p w:rsidR="00DE086C" w:rsidRDefault="00DE086C" w:rsidP="00E30BA2">
      <w:pPr>
        <w:pStyle w:val="Bulletslevel1"/>
      </w:pPr>
      <w:r w:rsidRPr="00B5332D">
        <w:t xml:space="preserve">NSW Health, </w:t>
      </w:r>
      <w:r w:rsidRPr="00B5332D">
        <w:rPr>
          <w:i/>
        </w:rPr>
        <w:t>Save A Mate Campaign</w:t>
      </w:r>
      <w:r w:rsidRPr="00B5332D">
        <w:t xml:space="preserve">, accessed </w:t>
      </w:r>
      <w:r>
        <w:t>14 Feb 2008</w:t>
      </w:r>
      <w:r w:rsidRPr="00B5332D">
        <w:t xml:space="preserve">, </w:t>
      </w:r>
      <w:r w:rsidRPr="005F3CF3">
        <w:t>&lt;www.saveamate.org.au</w:t>
      </w:r>
      <w:r w:rsidRPr="00B5332D">
        <w:t>&gt;.</w:t>
      </w:r>
      <w:r>
        <w:t xml:space="preserve"> </w:t>
      </w:r>
    </w:p>
    <w:p w:rsidR="00DE086C" w:rsidRPr="00E967F5" w:rsidRDefault="00DE086C" w:rsidP="00E30BA2">
      <w:pPr>
        <w:pStyle w:val="Bulletslevel1"/>
      </w:pPr>
      <w:r w:rsidRPr="00E967F5">
        <w:t xml:space="preserve">Queensland Government, </w:t>
      </w:r>
      <w:r>
        <w:t>Alcohol Tobacco and O</w:t>
      </w:r>
      <w:r w:rsidRPr="00791192">
        <w:t>ther Drug</w:t>
      </w:r>
      <w:r>
        <w:t>s</w:t>
      </w:r>
      <w:r w:rsidRPr="00791192">
        <w:t xml:space="preserve"> </w:t>
      </w:r>
      <w:r>
        <w:t>Branch</w:t>
      </w:r>
      <w:r w:rsidRPr="00791192">
        <w:t>,</w:t>
      </w:r>
      <w:r>
        <w:t xml:space="preserve"> </w:t>
      </w:r>
      <w:r w:rsidRPr="00E967F5">
        <w:rPr>
          <w:i/>
        </w:rPr>
        <w:t xml:space="preserve">Queensland Drug Strategy 2006–2010, </w:t>
      </w:r>
      <w:r w:rsidRPr="00E967F5">
        <w:t xml:space="preserve">accessed </w:t>
      </w:r>
      <w:r>
        <w:t>14 Feb 2008</w:t>
      </w:r>
      <w:r w:rsidRPr="00E967F5">
        <w:t xml:space="preserve">, </w:t>
      </w:r>
      <w:r w:rsidRPr="006E29A5">
        <w:t>&lt;www.health.qld.gov.au/atods</w:t>
      </w:r>
      <w:r w:rsidRPr="00E967F5">
        <w:t>&gt;.</w:t>
      </w:r>
    </w:p>
    <w:p w:rsidR="00DE086C" w:rsidRPr="00DE086C" w:rsidRDefault="00DE086C" w:rsidP="00F42E87">
      <w:pPr>
        <w:pStyle w:val="Bulletslevel1"/>
        <w:spacing w:after="0"/>
      </w:pPr>
      <w:r w:rsidRPr="00E967F5">
        <w:t xml:space="preserve">Queensland Government, </w:t>
      </w:r>
      <w:r>
        <w:t>Alcohol Tobacco and O</w:t>
      </w:r>
      <w:r w:rsidRPr="00791192">
        <w:t>ther Drug</w:t>
      </w:r>
      <w:r>
        <w:t>s</w:t>
      </w:r>
      <w:r w:rsidRPr="00791192">
        <w:t xml:space="preserve"> </w:t>
      </w:r>
      <w:r>
        <w:t>Branch</w:t>
      </w:r>
      <w:r w:rsidRPr="00791192">
        <w:t>,</w:t>
      </w:r>
      <w:r>
        <w:t xml:space="preserve"> </w:t>
      </w:r>
      <w:r w:rsidRPr="00E967F5">
        <w:rPr>
          <w:i/>
        </w:rPr>
        <w:t>Young Women and Alcohol Campaign</w:t>
      </w:r>
      <w:r w:rsidRPr="00E967F5">
        <w:t xml:space="preserve">, accessed </w:t>
      </w:r>
      <w:r>
        <w:t>14 Feb 2008</w:t>
      </w:r>
      <w:r w:rsidRPr="00E967F5">
        <w:t xml:space="preserve">, </w:t>
      </w:r>
      <w:r>
        <w:t>&lt;</w:t>
      </w:r>
      <w:r w:rsidRPr="006E29A5">
        <w:t>http://www.health.qld.gov.au/atods/programs/alcohol.asp</w:t>
      </w:r>
      <w:r>
        <w:t>&gt;</w:t>
      </w:r>
      <w:r w:rsidR="002A59D4">
        <w:t>.</w:t>
      </w:r>
    </w:p>
    <w:p w:rsidR="00FA5455" w:rsidRDefault="00306D9C" w:rsidP="00FA5455">
      <w:r>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306D9C" w:rsidP="006E3C63">
            <w:r>
              <w:rPr>
                <w:noProof/>
              </w:rPr>
              <w:drawing>
                <wp:anchor distT="0" distB="0" distL="114300" distR="114300" simplePos="0" relativeHeight="251658240"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516AD2">
              <w:rPr>
                <w:rStyle w:val="Hyperlink"/>
                <w:i/>
                <w:color w:val="auto"/>
                <w:u w:val="none"/>
              </w:rPr>
              <w:t>Using a Guide to making judgments</w:t>
            </w:r>
            <w:r>
              <w:t>, available in the Resources section of the Assessment Bank website.</w:t>
            </w:r>
          </w:p>
        </w:tc>
      </w:tr>
    </w:tbl>
    <w:p w:rsidR="00FA5455" w:rsidRDefault="00306D9C" w:rsidP="00FA5455">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7A20F2">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306D9C" w:rsidP="006774B8">
            <w:r>
              <w:rPr>
                <w:noProof/>
              </w:rPr>
              <w:drawing>
                <wp:anchor distT="0" distB="0" distL="114300" distR="114300" simplePos="0" relativeHeight="251660288" behindDoc="0" locked="0" layoutInCell="1" allowOverlap="1">
                  <wp:simplePos x="0" y="0"/>
                  <wp:positionH relativeFrom="margin">
                    <wp:posOffset>-67945</wp:posOffset>
                  </wp:positionH>
                  <wp:positionV relativeFrom="paragraph">
                    <wp:posOffset>3810</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516AD2">
              <w:rPr>
                <w:rStyle w:val="Hyperlink"/>
                <w:i/>
                <w:color w:val="auto"/>
                <w:u w:val="none"/>
              </w:rPr>
              <w:t>Using feedback</w:t>
            </w:r>
            <w:r>
              <w:t>, available in the Resources section of the Assessment Bank website.</w:t>
            </w:r>
          </w:p>
        </w:tc>
      </w:tr>
    </w:tbl>
    <w:p w:rsidR="002F45D0" w:rsidRPr="002F45D0" w:rsidRDefault="002F45D0" w:rsidP="00B816CF">
      <w:pPr>
        <w:pStyle w:val="smallspace"/>
      </w:pPr>
    </w:p>
    <w:sectPr w:rsidR="002F45D0" w:rsidRPr="002F45D0" w:rsidSect="001B7D13">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38" w:rsidRDefault="00065C38">
      <w:r>
        <w:separator/>
      </w:r>
    </w:p>
    <w:p w:rsidR="00065C38" w:rsidRDefault="00065C38"/>
    <w:p w:rsidR="00065C38" w:rsidRDefault="00065C38"/>
    <w:p w:rsidR="00065C38" w:rsidRDefault="00065C38"/>
    <w:p w:rsidR="00065C38" w:rsidRDefault="00065C38"/>
    <w:p w:rsidR="00065C38" w:rsidRDefault="00065C38"/>
  </w:endnote>
  <w:endnote w:type="continuationSeparator" w:id="0">
    <w:p w:rsidR="00065C38" w:rsidRDefault="00065C38">
      <w:r>
        <w:continuationSeparator/>
      </w:r>
    </w:p>
    <w:p w:rsidR="00065C38" w:rsidRDefault="00065C38"/>
    <w:p w:rsidR="00065C38" w:rsidRDefault="00065C38"/>
    <w:p w:rsidR="00065C38" w:rsidRDefault="00065C38"/>
    <w:p w:rsidR="00065C38" w:rsidRDefault="00065C38"/>
    <w:p w:rsidR="00065C38" w:rsidRDefault="0006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F42E87" w:rsidRPr="0090603A">
      <w:trPr>
        <w:trHeight w:hRule="exact" w:val="1043"/>
      </w:trPr>
      <w:tc>
        <w:tcPr>
          <w:tcW w:w="4781" w:type="dxa"/>
          <w:tcBorders>
            <w:top w:val="nil"/>
            <w:left w:val="nil"/>
            <w:bottom w:val="nil"/>
            <w:right w:val="nil"/>
          </w:tcBorders>
          <w:vAlign w:val="bottom"/>
        </w:tcPr>
        <w:p w:rsidR="00F42E87" w:rsidRPr="0090603A" w:rsidRDefault="00F42E87" w:rsidP="000875B8">
          <w:pPr>
            <w:spacing w:before="0" w:after="0"/>
            <w:rPr>
              <w:rFonts w:ascii="Arial Narrow" w:hAnsi="Arial Narrow"/>
            </w:rPr>
          </w:pPr>
          <w:r>
            <w:fldChar w:fldCharType="begin"/>
          </w:r>
          <w:r>
            <w:instrText xml:space="preserve"> PAGE </w:instrText>
          </w:r>
          <w:r>
            <w:fldChar w:fldCharType="separate"/>
          </w:r>
          <w:r w:rsidR="00306D9C">
            <w:rPr>
              <w:noProof/>
            </w:rPr>
            <w:t>2</w:t>
          </w:r>
          <w:r>
            <w:fldChar w:fldCharType="end"/>
          </w:r>
        </w:p>
      </w:tc>
      <w:tc>
        <w:tcPr>
          <w:tcW w:w="4781" w:type="dxa"/>
          <w:tcBorders>
            <w:top w:val="nil"/>
            <w:left w:val="nil"/>
            <w:bottom w:val="nil"/>
            <w:right w:val="nil"/>
          </w:tcBorders>
          <w:vAlign w:val="bottom"/>
        </w:tcPr>
        <w:p w:rsidR="00F42E87" w:rsidRPr="0090603A" w:rsidRDefault="00F42E87" w:rsidP="000875B8">
          <w:pPr>
            <w:spacing w:before="0" w:after="0"/>
            <w:jc w:val="right"/>
            <w:rPr>
              <w:rFonts w:ascii="Arial Narrow" w:hAnsi="Arial Narrow"/>
            </w:rPr>
          </w:pPr>
        </w:p>
      </w:tc>
    </w:tr>
  </w:tbl>
  <w:p w:rsidR="00F42E87" w:rsidRDefault="00F42E87"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F42E87" w:rsidRPr="0090603A">
      <w:trPr>
        <w:trHeight w:hRule="exact" w:val="1043"/>
        <w:jc w:val="right"/>
      </w:trPr>
      <w:tc>
        <w:tcPr>
          <w:tcW w:w="4781" w:type="dxa"/>
          <w:tcBorders>
            <w:top w:val="nil"/>
            <w:left w:val="nil"/>
            <w:bottom w:val="nil"/>
            <w:right w:val="nil"/>
          </w:tcBorders>
          <w:vAlign w:val="bottom"/>
        </w:tcPr>
        <w:p w:rsidR="00F42E87" w:rsidRPr="0090603A" w:rsidRDefault="00F42E87"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F42E87" w:rsidRPr="0090603A" w:rsidRDefault="00F42E87"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03372B">
            <w:rPr>
              <w:noProof/>
            </w:rPr>
            <w:t>5</w:t>
          </w:r>
          <w:r>
            <w:fldChar w:fldCharType="end"/>
          </w:r>
        </w:p>
      </w:tc>
    </w:tr>
  </w:tbl>
  <w:p w:rsidR="00F42E87" w:rsidRDefault="00F42E87" w:rsidP="000875B8">
    <w:pPr>
      <w:spacing w:before="0" w:after="0"/>
    </w:pPr>
  </w:p>
  <w:p w:rsidR="00F42E87" w:rsidRDefault="00F42E87"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42E87" w:rsidRPr="0090603A">
      <w:trPr>
        <w:trHeight w:hRule="exact" w:val="1043"/>
        <w:jc w:val="right"/>
      </w:trPr>
      <w:tc>
        <w:tcPr>
          <w:tcW w:w="1800" w:type="dxa"/>
          <w:tcBorders>
            <w:top w:val="nil"/>
            <w:left w:val="nil"/>
            <w:bottom w:val="nil"/>
            <w:right w:val="nil"/>
          </w:tcBorders>
          <w:vAlign w:val="bottom"/>
        </w:tcPr>
        <w:p w:rsidR="00F42E87" w:rsidRPr="00FA3FE7" w:rsidRDefault="00F42E87" w:rsidP="00C85825">
          <w:pPr>
            <w:spacing w:before="0" w:after="0"/>
            <w:rPr>
              <w:rStyle w:val="Draft"/>
            </w:rPr>
          </w:pPr>
        </w:p>
      </w:tc>
      <w:tc>
        <w:tcPr>
          <w:tcW w:w="5040" w:type="dxa"/>
          <w:tcBorders>
            <w:top w:val="nil"/>
            <w:left w:val="nil"/>
            <w:bottom w:val="nil"/>
            <w:right w:val="nil"/>
          </w:tcBorders>
          <w:shd w:val="clear" w:color="auto" w:fill="auto"/>
          <w:vAlign w:val="bottom"/>
        </w:tcPr>
        <w:p w:rsidR="00F42E87" w:rsidRPr="000875B8" w:rsidRDefault="00F42E87" w:rsidP="00C85825">
          <w:pPr>
            <w:pStyle w:val="Footer"/>
            <w:framePr w:hSpace="0" w:wrap="auto" w:vAnchor="margin" w:yAlign="inline"/>
            <w:suppressOverlap w:val="0"/>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2007.</w:t>
          </w:r>
          <w:r w:rsidRPr="000875B8">
            <w:br/>
            <w:t>All rights reserved. Please read the copyright notice on our website: www.qsa.qld.edu.au</w:t>
          </w:r>
        </w:p>
      </w:tc>
      <w:tc>
        <w:tcPr>
          <w:tcW w:w="2722" w:type="dxa"/>
          <w:tcBorders>
            <w:top w:val="nil"/>
            <w:left w:val="nil"/>
            <w:bottom w:val="nil"/>
            <w:right w:val="nil"/>
          </w:tcBorders>
          <w:vAlign w:val="bottom"/>
        </w:tcPr>
        <w:p w:rsidR="00F42E87" w:rsidRPr="0090603A" w:rsidRDefault="00306D9C" w:rsidP="00C85825">
          <w:pPr>
            <w:pStyle w:val="Footer"/>
            <w:framePr w:hSpace="0" w:wrap="auto" w:vAnchor="margin" w:yAlign="inline"/>
            <w:suppressOverlap w:val="0"/>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F42E87" w:rsidRDefault="00F42E87" w:rsidP="00101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38" w:rsidRDefault="00065C38">
      <w:r>
        <w:separator/>
      </w:r>
    </w:p>
    <w:p w:rsidR="00065C38" w:rsidRDefault="00065C38"/>
    <w:p w:rsidR="00065C38" w:rsidRDefault="00065C38"/>
    <w:p w:rsidR="00065C38" w:rsidRDefault="00065C38"/>
    <w:p w:rsidR="00065C38" w:rsidRDefault="00065C38"/>
    <w:p w:rsidR="00065C38" w:rsidRDefault="00065C38"/>
  </w:footnote>
  <w:footnote w:type="continuationSeparator" w:id="0">
    <w:p w:rsidR="00065C38" w:rsidRDefault="00065C38">
      <w:r>
        <w:continuationSeparator/>
      </w:r>
    </w:p>
    <w:p w:rsidR="00065C38" w:rsidRDefault="00065C38"/>
    <w:p w:rsidR="00065C38" w:rsidRDefault="00065C38"/>
    <w:p w:rsidR="00065C38" w:rsidRDefault="00065C38"/>
    <w:p w:rsidR="00065C38" w:rsidRDefault="00065C38"/>
    <w:p w:rsidR="00065C38" w:rsidRDefault="00065C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87" w:rsidRDefault="00F42E87"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87" w:rsidRPr="001C09AC" w:rsidRDefault="00F42E87" w:rsidP="004023CC">
    <w:pPr>
      <w:pStyle w:val="Header"/>
      <w:jc w:val="right"/>
    </w:pPr>
    <w:r w:rsidRPr="00C53E99">
      <w:t xml:space="preserve">Year </w:t>
    </w:r>
    <w:r>
      <w:t>9 HPE:</w:t>
    </w:r>
    <w:r w:rsidRPr="00C53E99">
      <w:t xml:space="preserve"> </w:t>
    </w:r>
    <w:r>
      <w:t>Health advertisement critique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87" w:rsidRDefault="00306D9C">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4">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9"/>
  </w:num>
  <w:num w:numId="3">
    <w:abstractNumId w:val="3"/>
  </w:num>
  <w:num w:numId="4">
    <w:abstractNumId w:val="9"/>
  </w:num>
  <w:num w:numId="5">
    <w:abstractNumId w:val="11"/>
  </w:num>
  <w:num w:numId="6">
    <w:abstractNumId w:val="12"/>
  </w:num>
  <w:num w:numId="7">
    <w:abstractNumId w:val="6"/>
  </w:num>
  <w:num w:numId="8">
    <w:abstractNumId w:val="2"/>
  </w:num>
  <w:num w:numId="9">
    <w:abstractNumId w:val="14"/>
  </w:num>
  <w:num w:numId="10">
    <w:abstractNumId w:val="1"/>
  </w:num>
  <w:num w:numId="11">
    <w:abstractNumId w:val="17"/>
  </w:num>
  <w:num w:numId="12">
    <w:abstractNumId w:val="15"/>
  </w:num>
  <w:num w:numId="13">
    <w:abstractNumId w:val="7"/>
  </w:num>
  <w:num w:numId="14">
    <w:abstractNumId w:val="10"/>
  </w:num>
  <w:num w:numId="15">
    <w:abstractNumId w:val="18"/>
  </w:num>
  <w:num w:numId="16">
    <w:abstractNumId w:val="0"/>
  </w:num>
  <w:num w:numId="17">
    <w:abstractNumId w:val="8"/>
  </w:num>
  <w:num w:numId="18">
    <w:abstractNumId w:val="16"/>
  </w:num>
  <w:num w:numId="19">
    <w:abstractNumId w:val="13"/>
  </w:num>
  <w:num w:numId="20">
    <w:abstractNumId w:val="6"/>
  </w:num>
  <w:num w:numId="21">
    <w:abstractNumId w:val="2"/>
  </w:num>
  <w:num w:numId="22">
    <w:abstractNumId w:val="14"/>
  </w:num>
  <w:num w:numId="23">
    <w:abstractNumId w:val="3"/>
  </w:num>
  <w:num w:numId="24">
    <w:abstractNumId w:val="9"/>
  </w:num>
  <w:num w:numId="25">
    <w:abstractNumId w:val="4"/>
  </w:num>
  <w:num w:numId="26">
    <w:abstractNumId w:val="13"/>
  </w:num>
  <w:num w:numId="27">
    <w:abstractNumId w:val="6"/>
  </w:num>
  <w:num w:numId="28">
    <w:abstractNumId w:val="2"/>
  </w:num>
  <w:num w:numId="29">
    <w:abstractNumId w:val="14"/>
  </w:num>
  <w:num w:numId="30">
    <w:abstractNumId w:val="13"/>
  </w:num>
  <w:num w:numId="31">
    <w:abstractNumId w:val="6"/>
  </w:num>
  <w:num w:numId="32">
    <w:abstractNumId w:val="2"/>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DC"/>
    <w:rsid w:val="000022FF"/>
    <w:rsid w:val="00003280"/>
    <w:rsid w:val="000040CE"/>
    <w:rsid w:val="000043A4"/>
    <w:rsid w:val="00007DBF"/>
    <w:rsid w:val="00026548"/>
    <w:rsid w:val="0003372B"/>
    <w:rsid w:val="0004134C"/>
    <w:rsid w:val="00042BF3"/>
    <w:rsid w:val="00061D89"/>
    <w:rsid w:val="00065C38"/>
    <w:rsid w:val="000736CA"/>
    <w:rsid w:val="000825C6"/>
    <w:rsid w:val="00083BFA"/>
    <w:rsid w:val="00083EF5"/>
    <w:rsid w:val="00085CFC"/>
    <w:rsid w:val="000875B8"/>
    <w:rsid w:val="00095960"/>
    <w:rsid w:val="000A0660"/>
    <w:rsid w:val="000A1635"/>
    <w:rsid w:val="000A7071"/>
    <w:rsid w:val="000C0E6D"/>
    <w:rsid w:val="000C7D2A"/>
    <w:rsid w:val="000D2039"/>
    <w:rsid w:val="000D6A12"/>
    <w:rsid w:val="000E0E12"/>
    <w:rsid w:val="000E3AB2"/>
    <w:rsid w:val="000F0DAD"/>
    <w:rsid w:val="000F52B5"/>
    <w:rsid w:val="000F5EF5"/>
    <w:rsid w:val="001019F0"/>
    <w:rsid w:val="00101CF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66B5D"/>
    <w:rsid w:val="00170657"/>
    <w:rsid w:val="00171A8D"/>
    <w:rsid w:val="00173489"/>
    <w:rsid w:val="0017388F"/>
    <w:rsid w:val="00173B46"/>
    <w:rsid w:val="0017557A"/>
    <w:rsid w:val="001769B4"/>
    <w:rsid w:val="001839CC"/>
    <w:rsid w:val="00184DFB"/>
    <w:rsid w:val="00186CDA"/>
    <w:rsid w:val="001871B3"/>
    <w:rsid w:val="00190075"/>
    <w:rsid w:val="00190C5F"/>
    <w:rsid w:val="00191133"/>
    <w:rsid w:val="00193E81"/>
    <w:rsid w:val="001971C2"/>
    <w:rsid w:val="00197268"/>
    <w:rsid w:val="0019768D"/>
    <w:rsid w:val="001B7D13"/>
    <w:rsid w:val="001C09AC"/>
    <w:rsid w:val="001C4D23"/>
    <w:rsid w:val="001C5BD9"/>
    <w:rsid w:val="001E43BD"/>
    <w:rsid w:val="001F0901"/>
    <w:rsid w:val="00205805"/>
    <w:rsid w:val="00207534"/>
    <w:rsid w:val="00210015"/>
    <w:rsid w:val="00216C8D"/>
    <w:rsid w:val="002170E0"/>
    <w:rsid w:val="002303A7"/>
    <w:rsid w:val="00232959"/>
    <w:rsid w:val="00233FC0"/>
    <w:rsid w:val="0024509A"/>
    <w:rsid w:val="002450D1"/>
    <w:rsid w:val="0024608E"/>
    <w:rsid w:val="002466C7"/>
    <w:rsid w:val="00253D87"/>
    <w:rsid w:val="00254350"/>
    <w:rsid w:val="00264F51"/>
    <w:rsid w:val="00271371"/>
    <w:rsid w:val="002734E6"/>
    <w:rsid w:val="00273DE2"/>
    <w:rsid w:val="00274767"/>
    <w:rsid w:val="00276D36"/>
    <w:rsid w:val="00284B38"/>
    <w:rsid w:val="002859A3"/>
    <w:rsid w:val="002865DA"/>
    <w:rsid w:val="002A59D4"/>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45D0"/>
    <w:rsid w:val="002F69A3"/>
    <w:rsid w:val="00300F05"/>
    <w:rsid w:val="00302E5C"/>
    <w:rsid w:val="00306D9C"/>
    <w:rsid w:val="00314E3C"/>
    <w:rsid w:val="0032073F"/>
    <w:rsid w:val="00321DA5"/>
    <w:rsid w:val="00327D43"/>
    <w:rsid w:val="00330421"/>
    <w:rsid w:val="00331E85"/>
    <w:rsid w:val="003347CE"/>
    <w:rsid w:val="0033529F"/>
    <w:rsid w:val="00354B41"/>
    <w:rsid w:val="003573C7"/>
    <w:rsid w:val="00357A2A"/>
    <w:rsid w:val="00360CDA"/>
    <w:rsid w:val="00361735"/>
    <w:rsid w:val="0036290B"/>
    <w:rsid w:val="00363611"/>
    <w:rsid w:val="00364F37"/>
    <w:rsid w:val="00386B43"/>
    <w:rsid w:val="00391A20"/>
    <w:rsid w:val="003931E0"/>
    <w:rsid w:val="0039605F"/>
    <w:rsid w:val="003A0CE3"/>
    <w:rsid w:val="003A1874"/>
    <w:rsid w:val="003A6CDB"/>
    <w:rsid w:val="003B3B98"/>
    <w:rsid w:val="003C105A"/>
    <w:rsid w:val="003C1342"/>
    <w:rsid w:val="003C1DE1"/>
    <w:rsid w:val="003C302E"/>
    <w:rsid w:val="003C3665"/>
    <w:rsid w:val="003C61E5"/>
    <w:rsid w:val="003C702A"/>
    <w:rsid w:val="003D5606"/>
    <w:rsid w:val="003E105B"/>
    <w:rsid w:val="003E217B"/>
    <w:rsid w:val="003E33A5"/>
    <w:rsid w:val="003E500C"/>
    <w:rsid w:val="003F089F"/>
    <w:rsid w:val="003F5E8A"/>
    <w:rsid w:val="004023CC"/>
    <w:rsid w:val="00411E67"/>
    <w:rsid w:val="00416BAF"/>
    <w:rsid w:val="004172A0"/>
    <w:rsid w:val="00421645"/>
    <w:rsid w:val="00424A51"/>
    <w:rsid w:val="004316D0"/>
    <w:rsid w:val="004423A4"/>
    <w:rsid w:val="004475A2"/>
    <w:rsid w:val="00453F95"/>
    <w:rsid w:val="00457A26"/>
    <w:rsid w:val="004605DF"/>
    <w:rsid w:val="00474B75"/>
    <w:rsid w:val="00480A76"/>
    <w:rsid w:val="00483E6B"/>
    <w:rsid w:val="0048671D"/>
    <w:rsid w:val="00486DDE"/>
    <w:rsid w:val="004876A9"/>
    <w:rsid w:val="004928CF"/>
    <w:rsid w:val="00494EB0"/>
    <w:rsid w:val="00495D94"/>
    <w:rsid w:val="004A1033"/>
    <w:rsid w:val="004B2135"/>
    <w:rsid w:val="004B69C7"/>
    <w:rsid w:val="004B7E94"/>
    <w:rsid w:val="004C3EC8"/>
    <w:rsid w:val="004E0F30"/>
    <w:rsid w:val="004E2472"/>
    <w:rsid w:val="004F68EC"/>
    <w:rsid w:val="0050177D"/>
    <w:rsid w:val="0051005F"/>
    <w:rsid w:val="00515192"/>
    <w:rsid w:val="00516AD2"/>
    <w:rsid w:val="00526090"/>
    <w:rsid w:val="00526544"/>
    <w:rsid w:val="0052770F"/>
    <w:rsid w:val="00530616"/>
    <w:rsid w:val="0053141F"/>
    <w:rsid w:val="005336D0"/>
    <w:rsid w:val="00535835"/>
    <w:rsid w:val="005429DB"/>
    <w:rsid w:val="0054355A"/>
    <w:rsid w:val="005438C6"/>
    <w:rsid w:val="005446DD"/>
    <w:rsid w:val="005459CF"/>
    <w:rsid w:val="005500EE"/>
    <w:rsid w:val="00550B85"/>
    <w:rsid w:val="00551A8A"/>
    <w:rsid w:val="00552AAD"/>
    <w:rsid w:val="00555205"/>
    <w:rsid w:val="005571B4"/>
    <w:rsid w:val="00565216"/>
    <w:rsid w:val="00574599"/>
    <w:rsid w:val="005759C7"/>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600B43"/>
    <w:rsid w:val="00605CB5"/>
    <w:rsid w:val="00612611"/>
    <w:rsid w:val="0062663E"/>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7ECA"/>
    <w:rsid w:val="006D1DD0"/>
    <w:rsid w:val="006D3690"/>
    <w:rsid w:val="006D394C"/>
    <w:rsid w:val="006D3F19"/>
    <w:rsid w:val="006D5672"/>
    <w:rsid w:val="006D7994"/>
    <w:rsid w:val="006E3C63"/>
    <w:rsid w:val="006E3CD1"/>
    <w:rsid w:val="006E4BEF"/>
    <w:rsid w:val="006E59A5"/>
    <w:rsid w:val="006F03B7"/>
    <w:rsid w:val="006F543A"/>
    <w:rsid w:val="00710F10"/>
    <w:rsid w:val="00715381"/>
    <w:rsid w:val="0071550A"/>
    <w:rsid w:val="00716931"/>
    <w:rsid w:val="00720999"/>
    <w:rsid w:val="00723832"/>
    <w:rsid w:val="00727BED"/>
    <w:rsid w:val="007335F1"/>
    <w:rsid w:val="007412EC"/>
    <w:rsid w:val="00747A3A"/>
    <w:rsid w:val="00753936"/>
    <w:rsid w:val="00764F67"/>
    <w:rsid w:val="00770160"/>
    <w:rsid w:val="00777209"/>
    <w:rsid w:val="00781794"/>
    <w:rsid w:val="007825B7"/>
    <w:rsid w:val="0078406C"/>
    <w:rsid w:val="007856A2"/>
    <w:rsid w:val="00791192"/>
    <w:rsid w:val="00794295"/>
    <w:rsid w:val="0079630D"/>
    <w:rsid w:val="007A04D1"/>
    <w:rsid w:val="007A1D95"/>
    <w:rsid w:val="007A20F2"/>
    <w:rsid w:val="007A43AE"/>
    <w:rsid w:val="007B2CAD"/>
    <w:rsid w:val="007C17CD"/>
    <w:rsid w:val="007C2383"/>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26252"/>
    <w:rsid w:val="00834B4C"/>
    <w:rsid w:val="00852BF6"/>
    <w:rsid w:val="00854A12"/>
    <w:rsid w:val="00855D90"/>
    <w:rsid w:val="0085648F"/>
    <w:rsid w:val="0085683B"/>
    <w:rsid w:val="00861FF7"/>
    <w:rsid w:val="0087181F"/>
    <w:rsid w:val="0087211E"/>
    <w:rsid w:val="00872798"/>
    <w:rsid w:val="0087318E"/>
    <w:rsid w:val="00874902"/>
    <w:rsid w:val="00876869"/>
    <w:rsid w:val="0087711E"/>
    <w:rsid w:val="00881733"/>
    <w:rsid w:val="00886C72"/>
    <w:rsid w:val="00886F0C"/>
    <w:rsid w:val="00890972"/>
    <w:rsid w:val="0089203C"/>
    <w:rsid w:val="008930E2"/>
    <w:rsid w:val="008A0612"/>
    <w:rsid w:val="008A37E1"/>
    <w:rsid w:val="008A6C51"/>
    <w:rsid w:val="008A6EB3"/>
    <w:rsid w:val="008B58C8"/>
    <w:rsid w:val="008B6E97"/>
    <w:rsid w:val="008C2C52"/>
    <w:rsid w:val="008C4341"/>
    <w:rsid w:val="008C550A"/>
    <w:rsid w:val="008C5FEE"/>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173D9"/>
    <w:rsid w:val="0092016E"/>
    <w:rsid w:val="009239B7"/>
    <w:rsid w:val="00926820"/>
    <w:rsid w:val="0092782A"/>
    <w:rsid w:val="00931054"/>
    <w:rsid w:val="00932B1D"/>
    <w:rsid w:val="00934842"/>
    <w:rsid w:val="00934DA2"/>
    <w:rsid w:val="00943157"/>
    <w:rsid w:val="00943DC9"/>
    <w:rsid w:val="00946FB9"/>
    <w:rsid w:val="009611E2"/>
    <w:rsid w:val="00961B9F"/>
    <w:rsid w:val="00964264"/>
    <w:rsid w:val="0097215D"/>
    <w:rsid w:val="00972963"/>
    <w:rsid w:val="009738DE"/>
    <w:rsid w:val="0098016C"/>
    <w:rsid w:val="009814CC"/>
    <w:rsid w:val="00984CFD"/>
    <w:rsid w:val="00986690"/>
    <w:rsid w:val="00987A0A"/>
    <w:rsid w:val="009935D7"/>
    <w:rsid w:val="00997EFB"/>
    <w:rsid w:val="009A1A6E"/>
    <w:rsid w:val="009A26C7"/>
    <w:rsid w:val="009A4E60"/>
    <w:rsid w:val="009B7248"/>
    <w:rsid w:val="009C02F6"/>
    <w:rsid w:val="009C2FE1"/>
    <w:rsid w:val="009C3444"/>
    <w:rsid w:val="009D15D5"/>
    <w:rsid w:val="009E1352"/>
    <w:rsid w:val="009F0A5B"/>
    <w:rsid w:val="009F1EAE"/>
    <w:rsid w:val="009F4C61"/>
    <w:rsid w:val="00A004E1"/>
    <w:rsid w:val="00A05F30"/>
    <w:rsid w:val="00A1340E"/>
    <w:rsid w:val="00A138DA"/>
    <w:rsid w:val="00A3071F"/>
    <w:rsid w:val="00A30C8E"/>
    <w:rsid w:val="00A326AC"/>
    <w:rsid w:val="00A3309D"/>
    <w:rsid w:val="00A33417"/>
    <w:rsid w:val="00A44765"/>
    <w:rsid w:val="00A456F4"/>
    <w:rsid w:val="00A55BB8"/>
    <w:rsid w:val="00A56A9B"/>
    <w:rsid w:val="00A652E4"/>
    <w:rsid w:val="00A67D85"/>
    <w:rsid w:val="00A705F2"/>
    <w:rsid w:val="00A70DDA"/>
    <w:rsid w:val="00A749ED"/>
    <w:rsid w:val="00A74B73"/>
    <w:rsid w:val="00A74C89"/>
    <w:rsid w:val="00A75BB6"/>
    <w:rsid w:val="00A84698"/>
    <w:rsid w:val="00A86041"/>
    <w:rsid w:val="00A9169C"/>
    <w:rsid w:val="00A91E04"/>
    <w:rsid w:val="00A9650D"/>
    <w:rsid w:val="00AA464E"/>
    <w:rsid w:val="00AB7681"/>
    <w:rsid w:val="00AC154F"/>
    <w:rsid w:val="00AC2059"/>
    <w:rsid w:val="00AC3675"/>
    <w:rsid w:val="00AC39D6"/>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332D"/>
    <w:rsid w:val="00B578F3"/>
    <w:rsid w:val="00B63195"/>
    <w:rsid w:val="00B63703"/>
    <w:rsid w:val="00B63DA9"/>
    <w:rsid w:val="00B74071"/>
    <w:rsid w:val="00B816CF"/>
    <w:rsid w:val="00B82E85"/>
    <w:rsid w:val="00B85FF2"/>
    <w:rsid w:val="00B910EC"/>
    <w:rsid w:val="00B9722E"/>
    <w:rsid w:val="00BA0CEC"/>
    <w:rsid w:val="00BA2970"/>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6C0C"/>
    <w:rsid w:val="00C10E44"/>
    <w:rsid w:val="00C11486"/>
    <w:rsid w:val="00C115C4"/>
    <w:rsid w:val="00C23AF2"/>
    <w:rsid w:val="00C3021B"/>
    <w:rsid w:val="00C34701"/>
    <w:rsid w:val="00C36344"/>
    <w:rsid w:val="00C400C7"/>
    <w:rsid w:val="00C42C54"/>
    <w:rsid w:val="00C53E99"/>
    <w:rsid w:val="00C55404"/>
    <w:rsid w:val="00C557B7"/>
    <w:rsid w:val="00C6009E"/>
    <w:rsid w:val="00C61C2F"/>
    <w:rsid w:val="00C740A4"/>
    <w:rsid w:val="00C74303"/>
    <w:rsid w:val="00C77261"/>
    <w:rsid w:val="00C85825"/>
    <w:rsid w:val="00C875B3"/>
    <w:rsid w:val="00C946AF"/>
    <w:rsid w:val="00C9682B"/>
    <w:rsid w:val="00CA27BC"/>
    <w:rsid w:val="00CA2B94"/>
    <w:rsid w:val="00CA5CD9"/>
    <w:rsid w:val="00CB63B6"/>
    <w:rsid w:val="00CC1A2E"/>
    <w:rsid w:val="00CC247C"/>
    <w:rsid w:val="00CC7B1E"/>
    <w:rsid w:val="00CD0037"/>
    <w:rsid w:val="00CD0397"/>
    <w:rsid w:val="00CD5F98"/>
    <w:rsid w:val="00CE11B0"/>
    <w:rsid w:val="00CE1AFF"/>
    <w:rsid w:val="00CE1E8A"/>
    <w:rsid w:val="00CE34DF"/>
    <w:rsid w:val="00CE4055"/>
    <w:rsid w:val="00CF1A05"/>
    <w:rsid w:val="00CF41D8"/>
    <w:rsid w:val="00CF5C48"/>
    <w:rsid w:val="00D00E39"/>
    <w:rsid w:val="00D013A3"/>
    <w:rsid w:val="00D0400B"/>
    <w:rsid w:val="00D05C0E"/>
    <w:rsid w:val="00D10209"/>
    <w:rsid w:val="00D11B98"/>
    <w:rsid w:val="00D204DA"/>
    <w:rsid w:val="00D25A86"/>
    <w:rsid w:val="00D32A2C"/>
    <w:rsid w:val="00D43526"/>
    <w:rsid w:val="00D43BC1"/>
    <w:rsid w:val="00D442BF"/>
    <w:rsid w:val="00D52EC3"/>
    <w:rsid w:val="00D566E3"/>
    <w:rsid w:val="00D56D88"/>
    <w:rsid w:val="00D57E32"/>
    <w:rsid w:val="00D66A63"/>
    <w:rsid w:val="00D71223"/>
    <w:rsid w:val="00D82FD6"/>
    <w:rsid w:val="00DA483D"/>
    <w:rsid w:val="00DA60AF"/>
    <w:rsid w:val="00DA612D"/>
    <w:rsid w:val="00DB0CB9"/>
    <w:rsid w:val="00DC16A2"/>
    <w:rsid w:val="00DC597F"/>
    <w:rsid w:val="00DC7626"/>
    <w:rsid w:val="00DC7DB5"/>
    <w:rsid w:val="00DD52A4"/>
    <w:rsid w:val="00DD6F88"/>
    <w:rsid w:val="00DE086C"/>
    <w:rsid w:val="00DE329B"/>
    <w:rsid w:val="00DF337F"/>
    <w:rsid w:val="00DF4AC2"/>
    <w:rsid w:val="00E002DD"/>
    <w:rsid w:val="00E00B81"/>
    <w:rsid w:val="00E060B6"/>
    <w:rsid w:val="00E0662E"/>
    <w:rsid w:val="00E071D9"/>
    <w:rsid w:val="00E07785"/>
    <w:rsid w:val="00E14E07"/>
    <w:rsid w:val="00E221B2"/>
    <w:rsid w:val="00E226E1"/>
    <w:rsid w:val="00E300AA"/>
    <w:rsid w:val="00E30BA2"/>
    <w:rsid w:val="00E313F4"/>
    <w:rsid w:val="00E33BF2"/>
    <w:rsid w:val="00E405DC"/>
    <w:rsid w:val="00E503E5"/>
    <w:rsid w:val="00E51F63"/>
    <w:rsid w:val="00E53A4A"/>
    <w:rsid w:val="00E53A66"/>
    <w:rsid w:val="00E53F6C"/>
    <w:rsid w:val="00E6385B"/>
    <w:rsid w:val="00E668A0"/>
    <w:rsid w:val="00E7289C"/>
    <w:rsid w:val="00E74CD8"/>
    <w:rsid w:val="00E908C7"/>
    <w:rsid w:val="00E91D82"/>
    <w:rsid w:val="00E967F5"/>
    <w:rsid w:val="00EA2D4B"/>
    <w:rsid w:val="00EA2FC8"/>
    <w:rsid w:val="00EA6839"/>
    <w:rsid w:val="00EA6C2B"/>
    <w:rsid w:val="00EB13DA"/>
    <w:rsid w:val="00EB41A9"/>
    <w:rsid w:val="00EC226D"/>
    <w:rsid w:val="00EC4833"/>
    <w:rsid w:val="00EC6481"/>
    <w:rsid w:val="00EC6858"/>
    <w:rsid w:val="00EC7F8B"/>
    <w:rsid w:val="00ED0644"/>
    <w:rsid w:val="00ED24D2"/>
    <w:rsid w:val="00EE0587"/>
    <w:rsid w:val="00EE42D2"/>
    <w:rsid w:val="00EE5D2C"/>
    <w:rsid w:val="00EE5F2B"/>
    <w:rsid w:val="00EF0769"/>
    <w:rsid w:val="00EF3318"/>
    <w:rsid w:val="00EF6E26"/>
    <w:rsid w:val="00F07104"/>
    <w:rsid w:val="00F125B0"/>
    <w:rsid w:val="00F22F83"/>
    <w:rsid w:val="00F26AC6"/>
    <w:rsid w:val="00F27946"/>
    <w:rsid w:val="00F3010A"/>
    <w:rsid w:val="00F3032B"/>
    <w:rsid w:val="00F33D66"/>
    <w:rsid w:val="00F42E87"/>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2BD7"/>
    <w:rsid w:val="00FA3FE7"/>
    <w:rsid w:val="00FA5455"/>
    <w:rsid w:val="00FA550E"/>
    <w:rsid w:val="00FA5AC5"/>
    <w:rsid w:val="00FA5B88"/>
    <w:rsid w:val="00FB11F8"/>
    <w:rsid w:val="00FB1489"/>
    <w:rsid w:val="00FB2245"/>
    <w:rsid w:val="00FB6997"/>
    <w:rsid w:val="00FB7803"/>
    <w:rsid w:val="00FC5837"/>
    <w:rsid w:val="00FD18B3"/>
    <w:rsid w:val="00FD1C29"/>
    <w:rsid w:val="00FE258B"/>
    <w:rsid w:val="00FE2B0C"/>
    <w:rsid w:val="00FF1AE6"/>
    <w:rsid w:val="00FF2235"/>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styleId="NormalWeb">
    <w:name w:val="Normal (Web)"/>
    <w:basedOn w:val="Normal"/>
    <w:rsid w:val="007A20F2"/>
    <w:pPr>
      <w:spacing w:before="100" w:beforeAutospacing="1" w:after="100" w:afterAutospacing="1" w:line="240" w:lineRule="auto"/>
    </w:pPr>
    <w:rPr>
      <w:rFonts w:ascii="Times New Roman" w:hAnsi="Times New Roman"/>
      <w:sz w:val="24"/>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Strong">
    <w:name w:val="Strong"/>
    <w:qFormat/>
    <w:rsid w:val="007A20F2"/>
    <w:rPr>
      <w:b/>
      <w:bC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styleId="NormalWeb">
    <w:name w:val="Normal (Web)"/>
    <w:basedOn w:val="Normal"/>
    <w:rsid w:val="007A20F2"/>
    <w:pPr>
      <w:spacing w:before="100" w:beforeAutospacing="1" w:after="100" w:afterAutospacing="1" w:line="240" w:lineRule="auto"/>
    </w:pPr>
    <w:rPr>
      <w:rFonts w:ascii="Times New Roman" w:hAnsi="Times New Roman"/>
      <w:sz w:val="24"/>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Strong">
    <w:name w:val="Strong"/>
    <w:qFormat/>
    <w:rsid w:val="007A20F2"/>
    <w:rPr>
      <w:b/>
      <w:bC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1644">
      <w:bodyDiv w:val="1"/>
      <w:marLeft w:val="837"/>
      <w:marRight w:val="0"/>
      <w:marTop w:val="335"/>
      <w:marBottom w:val="0"/>
      <w:divBdr>
        <w:top w:val="none" w:sz="0" w:space="0" w:color="auto"/>
        <w:left w:val="none" w:sz="0" w:space="0" w:color="auto"/>
        <w:bottom w:val="none" w:sz="0" w:space="0" w:color="auto"/>
        <w:right w:val="none" w:sz="0" w:space="0" w:color="auto"/>
      </w:divBdr>
      <w:divsChild>
        <w:div w:id="22171800">
          <w:marLeft w:val="0"/>
          <w:marRight w:val="0"/>
          <w:marTop w:val="0"/>
          <w:marBottom w:val="0"/>
          <w:divBdr>
            <w:top w:val="none" w:sz="0" w:space="0" w:color="auto"/>
            <w:left w:val="none" w:sz="0" w:space="0" w:color="auto"/>
            <w:bottom w:val="none" w:sz="0" w:space="0" w:color="auto"/>
            <w:right w:val="none" w:sz="0" w:space="0" w:color="auto"/>
          </w:divBdr>
        </w:div>
        <w:div w:id="228225588">
          <w:marLeft w:val="0"/>
          <w:marRight w:val="0"/>
          <w:marTop w:val="0"/>
          <w:marBottom w:val="0"/>
          <w:divBdr>
            <w:top w:val="none" w:sz="0" w:space="0" w:color="auto"/>
            <w:left w:val="none" w:sz="0" w:space="0" w:color="auto"/>
            <w:bottom w:val="none" w:sz="0" w:space="0" w:color="auto"/>
            <w:right w:val="none" w:sz="0" w:space="0" w:color="auto"/>
          </w:divBdr>
        </w:div>
        <w:div w:id="277181196">
          <w:marLeft w:val="0"/>
          <w:marRight w:val="0"/>
          <w:marTop w:val="0"/>
          <w:marBottom w:val="0"/>
          <w:divBdr>
            <w:top w:val="none" w:sz="0" w:space="0" w:color="auto"/>
            <w:left w:val="none" w:sz="0" w:space="0" w:color="auto"/>
            <w:bottom w:val="none" w:sz="0" w:space="0" w:color="auto"/>
            <w:right w:val="none" w:sz="0" w:space="0" w:color="auto"/>
          </w:divBdr>
        </w:div>
        <w:div w:id="494615319">
          <w:marLeft w:val="0"/>
          <w:marRight w:val="0"/>
          <w:marTop w:val="0"/>
          <w:marBottom w:val="0"/>
          <w:divBdr>
            <w:top w:val="none" w:sz="0" w:space="0" w:color="auto"/>
            <w:left w:val="none" w:sz="0" w:space="0" w:color="auto"/>
            <w:bottom w:val="none" w:sz="0" w:space="0" w:color="auto"/>
            <w:right w:val="none" w:sz="0" w:space="0" w:color="auto"/>
          </w:divBdr>
        </w:div>
        <w:div w:id="877161777">
          <w:marLeft w:val="0"/>
          <w:marRight w:val="0"/>
          <w:marTop w:val="0"/>
          <w:marBottom w:val="0"/>
          <w:divBdr>
            <w:top w:val="none" w:sz="0" w:space="0" w:color="auto"/>
            <w:left w:val="none" w:sz="0" w:space="0" w:color="auto"/>
            <w:bottom w:val="none" w:sz="0" w:space="0" w:color="auto"/>
            <w:right w:val="none" w:sz="0" w:space="0" w:color="auto"/>
          </w:divBdr>
        </w:div>
        <w:div w:id="1096679526">
          <w:marLeft w:val="0"/>
          <w:marRight w:val="0"/>
          <w:marTop w:val="0"/>
          <w:marBottom w:val="0"/>
          <w:divBdr>
            <w:top w:val="none" w:sz="0" w:space="0" w:color="auto"/>
            <w:left w:val="none" w:sz="0" w:space="0" w:color="auto"/>
            <w:bottom w:val="none" w:sz="0" w:space="0" w:color="auto"/>
            <w:right w:val="none" w:sz="0" w:space="0" w:color="auto"/>
          </w:divBdr>
        </w:div>
        <w:div w:id="1295678242">
          <w:marLeft w:val="0"/>
          <w:marRight w:val="0"/>
          <w:marTop w:val="0"/>
          <w:marBottom w:val="0"/>
          <w:divBdr>
            <w:top w:val="none" w:sz="0" w:space="0" w:color="auto"/>
            <w:left w:val="none" w:sz="0" w:space="0" w:color="auto"/>
            <w:bottom w:val="none" w:sz="0" w:space="0" w:color="auto"/>
            <w:right w:val="none" w:sz="0" w:space="0" w:color="auto"/>
          </w:divBdr>
        </w:div>
        <w:div w:id="1559517548">
          <w:marLeft w:val="0"/>
          <w:marRight w:val="0"/>
          <w:marTop w:val="0"/>
          <w:marBottom w:val="0"/>
          <w:divBdr>
            <w:top w:val="none" w:sz="0" w:space="0" w:color="auto"/>
            <w:left w:val="none" w:sz="0" w:space="0" w:color="auto"/>
            <w:bottom w:val="none" w:sz="0" w:space="0" w:color="auto"/>
            <w:right w:val="none" w:sz="0" w:space="0" w:color="auto"/>
          </w:divBdr>
        </w:div>
        <w:div w:id="1755709632">
          <w:marLeft w:val="0"/>
          <w:marRight w:val="0"/>
          <w:marTop w:val="0"/>
          <w:marBottom w:val="0"/>
          <w:divBdr>
            <w:top w:val="none" w:sz="0" w:space="0" w:color="auto"/>
            <w:left w:val="none" w:sz="0" w:space="0" w:color="auto"/>
            <w:bottom w:val="none" w:sz="0" w:space="0" w:color="auto"/>
            <w:right w:val="none" w:sz="0" w:space="0" w:color="auto"/>
          </w:divBdr>
        </w:div>
        <w:div w:id="1802311191">
          <w:marLeft w:val="0"/>
          <w:marRight w:val="0"/>
          <w:marTop w:val="0"/>
          <w:marBottom w:val="0"/>
          <w:divBdr>
            <w:top w:val="none" w:sz="0" w:space="0" w:color="auto"/>
            <w:left w:val="none" w:sz="0" w:space="0" w:color="auto"/>
            <w:bottom w:val="none" w:sz="0" w:space="0" w:color="auto"/>
            <w:right w:val="none" w:sz="0" w:space="0" w:color="auto"/>
          </w:divBdr>
        </w:div>
        <w:div w:id="2059476578">
          <w:marLeft w:val="0"/>
          <w:marRight w:val="0"/>
          <w:marTop w:val="0"/>
          <w:marBottom w:val="0"/>
          <w:divBdr>
            <w:top w:val="none" w:sz="0" w:space="0" w:color="auto"/>
            <w:left w:val="none" w:sz="0" w:space="0" w:color="auto"/>
            <w:bottom w:val="none" w:sz="0" w:space="0" w:color="auto"/>
            <w:right w:val="none" w:sz="0" w:space="0" w:color="auto"/>
          </w:divBdr>
        </w:div>
      </w:divsChild>
    </w:div>
    <w:div w:id="1082988626">
      <w:bodyDiv w:val="1"/>
      <w:marLeft w:val="837"/>
      <w:marRight w:val="0"/>
      <w:marTop w:val="335"/>
      <w:marBottom w:val="0"/>
      <w:divBdr>
        <w:top w:val="none" w:sz="0" w:space="0" w:color="auto"/>
        <w:left w:val="none" w:sz="0" w:space="0" w:color="auto"/>
        <w:bottom w:val="none" w:sz="0" w:space="0" w:color="auto"/>
        <w:right w:val="none" w:sz="0" w:space="0" w:color="auto"/>
      </w:divBdr>
      <w:divsChild>
        <w:div w:id="39671859">
          <w:marLeft w:val="0"/>
          <w:marRight w:val="0"/>
          <w:marTop w:val="0"/>
          <w:marBottom w:val="0"/>
          <w:divBdr>
            <w:top w:val="none" w:sz="0" w:space="0" w:color="auto"/>
            <w:left w:val="none" w:sz="0" w:space="0" w:color="auto"/>
            <w:bottom w:val="none" w:sz="0" w:space="0" w:color="auto"/>
            <w:right w:val="none" w:sz="0" w:space="0" w:color="auto"/>
          </w:divBdr>
        </w:div>
        <w:div w:id="171772373">
          <w:marLeft w:val="0"/>
          <w:marRight w:val="0"/>
          <w:marTop w:val="0"/>
          <w:marBottom w:val="0"/>
          <w:divBdr>
            <w:top w:val="none" w:sz="0" w:space="0" w:color="auto"/>
            <w:left w:val="none" w:sz="0" w:space="0" w:color="auto"/>
            <w:bottom w:val="none" w:sz="0" w:space="0" w:color="auto"/>
            <w:right w:val="none" w:sz="0" w:space="0" w:color="auto"/>
          </w:divBdr>
        </w:div>
        <w:div w:id="248079031">
          <w:marLeft w:val="0"/>
          <w:marRight w:val="0"/>
          <w:marTop w:val="0"/>
          <w:marBottom w:val="0"/>
          <w:divBdr>
            <w:top w:val="none" w:sz="0" w:space="0" w:color="auto"/>
            <w:left w:val="none" w:sz="0" w:space="0" w:color="auto"/>
            <w:bottom w:val="none" w:sz="0" w:space="0" w:color="auto"/>
            <w:right w:val="none" w:sz="0" w:space="0" w:color="auto"/>
          </w:divBdr>
        </w:div>
        <w:div w:id="248392944">
          <w:marLeft w:val="0"/>
          <w:marRight w:val="0"/>
          <w:marTop w:val="0"/>
          <w:marBottom w:val="0"/>
          <w:divBdr>
            <w:top w:val="none" w:sz="0" w:space="0" w:color="auto"/>
            <w:left w:val="none" w:sz="0" w:space="0" w:color="auto"/>
            <w:bottom w:val="none" w:sz="0" w:space="0" w:color="auto"/>
            <w:right w:val="none" w:sz="0" w:space="0" w:color="auto"/>
          </w:divBdr>
        </w:div>
        <w:div w:id="325671812">
          <w:marLeft w:val="0"/>
          <w:marRight w:val="0"/>
          <w:marTop w:val="0"/>
          <w:marBottom w:val="0"/>
          <w:divBdr>
            <w:top w:val="none" w:sz="0" w:space="0" w:color="auto"/>
            <w:left w:val="none" w:sz="0" w:space="0" w:color="auto"/>
            <w:bottom w:val="none" w:sz="0" w:space="0" w:color="auto"/>
            <w:right w:val="none" w:sz="0" w:space="0" w:color="auto"/>
          </w:divBdr>
        </w:div>
        <w:div w:id="361787342">
          <w:marLeft w:val="0"/>
          <w:marRight w:val="0"/>
          <w:marTop w:val="0"/>
          <w:marBottom w:val="0"/>
          <w:divBdr>
            <w:top w:val="none" w:sz="0" w:space="0" w:color="auto"/>
            <w:left w:val="none" w:sz="0" w:space="0" w:color="auto"/>
            <w:bottom w:val="none" w:sz="0" w:space="0" w:color="auto"/>
            <w:right w:val="none" w:sz="0" w:space="0" w:color="auto"/>
          </w:divBdr>
        </w:div>
        <w:div w:id="482819904">
          <w:marLeft w:val="0"/>
          <w:marRight w:val="0"/>
          <w:marTop w:val="0"/>
          <w:marBottom w:val="0"/>
          <w:divBdr>
            <w:top w:val="none" w:sz="0" w:space="0" w:color="auto"/>
            <w:left w:val="none" w:sz="0" w:space="0" w:color="auto"/>
            <w:bottom w:val="none" w:sz="0" w:space="0" w:color="auto"/>
            <w:right w:val="none" w:sz="0" w:space="0" w:color="auto"/>
          </w:divBdr>
        </w:div>
        <w:div w:id="758451808">
          <w:marLeft w:val="0"/>
          <w:marRight w:val="0"/>
          <w:marTop w:val="0"/>
          <w:marBottom w:val="0"/>
          <w:divBdr>
            <w:top w:val="none" w:sz="0" w:space="0" w:color="auto"/>
            <w:left w:val="none" w:sz="0" w:space="0" w:color="auto"/>
            <w:bottom w:val="none" w:sz="0" w:space="0" w:color="auto"/>
            <w:right w:val="none" w:sz="0" w:space="0" w:color="auto"/>
          </w:divBdr>
        </w:div>
        <w:div w:id="810095730">
          <w:marLeft w:val="0"/>
          <w:marRight w:val="0"/>
          <w:marTop w:val="0"/>
          <w:marBottom w:val="0"/>
          <w:divBdr>
            <w:top w:val="none" w:sz="0" w:space="0" w:color="auto"/>
            <w:left w:val="none" w:sz="0" w:space="0" w:color="auto"/>
            <w:bottom w:val="none" w:sz="0" w:space="0" w:color="auto"/>
            <w:right w:val="none" w:sz="0" w:space="0" w:color="auto"/>
          </w:divBdr>
        </w:div>
        <w:div w:id="946080503">
          <w:marLeft w:val="0"/>
          <w:marRight w:val="0"/>
          <w:marTop w:val="0"/>
          <w:marBottom w:val="0"/>
          <w:divBdr>
            <w:top w:val="none" w:sz="0" w:space="0" w:color="auto"/>
            <w:left w:val="none" w:sz="0" w:space="0" w:color="auto"/>
            <w:bottom w:val="none" w:sz="0" w:space="0" w:color="auto"/>
            <w:right w:val="none" w:sz="0" w:space="0" w:color="auto"/>
          </w:divBdr>
        </w:div>
        <w:div w:id="1005084845">
          <w:marLeft w:val="0"/>
          <w:marRight w:val="0"/>
          <w:marTop w:val="0"/>
          <w:marBottom w:val="0"/>
          <w:divBdr>
            <w:top w:val="none" w:sz="0" w:space="0" w:color="auto"/>
            <w:left w:val="none" w:sz="0" w:space="0" w:color="auto"/>
            <w:bottom w:val="none" w:sz="0" w:space="0" w:color="auto"/>
            <w:right w:val="none" w:sz="0" w:space="0" w:color="auto"/>
          </w:divBdr>
        </w:div>
        <w:div w:id="1573852205">
          <w:marLeft w:val="0"/>
          <w:marRight w:val="0"/>
          <w:marTop w:val="0"/>
          <w:marBottom w:val="0"/>
          <w:divBdr>
            <w:top w:val="none" w:sz="0" w:space="0" w:color="auto"/>
            <w:left w:val="none" w:sz="0" w:space="0" w:color="auto"/>
            <w:bottom w:val="none" w:sz="0" w:space="0" w:color="auto"/>
            <w:right w:val="none" w:sz="0" w:space="0" w:color="auto"/>
          </w:divBdr>
        </w:div>
        <w:div w:id="1765108851">
          <w:marLeft w:val="0"/>
          <w:marRight w:val="0"/>
          <w:marTop w:val="0"/>
          <w:marBottom w:val="0"/>
          <w:divBdr>
            <w:top w:val="none" w:sz="0" w:space="0" w:color="auto"/>
            <w:left w:val="none" w:sz="0" w:space="0" w:color="auto"/>
            <w:bottom w:val="none" w:sz="0" w:space="0" w:color="auto"/>
            <w:right w:val="none" w:sz="0" w:space="0" w:color="auto"/>
          </w:divBdr>
        </w:div>
        <w:div w:id="1773740221">
          <w:marLeft w:val="0"/>
          <w:marRight w:val="0"/>
          <w:marTop w:val="0"/>
          <w:marBottom w:val="0"/>
          <w:divBdr>
            <w:top w:val="none" w:sz="0" w:space="0" w:color="auto"/>
            <w:left w:val="none" w:sz="0" w:space="0" w:color="auto"/>
            <w:bottom w:val="none" w:sz="0" w:space="0" w:color="auto"/>
            <w:right w:val="none" w:sz="0" w:space="0" w:color="auto"/>
          </w:divBdr>
        </w:div>
        <w:div w:id="1864631510">
          <w:marLeft w:val="0"/>
          <w:marRight w:val="0"/>
          <w:marTop w:val="0"/>
          <w:marBottom w:val="0"/>
          <w:divBdr>
            <w:top w:val="none" w:sz="0" w:space="0" w:color="auto"/>
            <w:left w:val="none" w:sz="0" w:space="0" w:color="auto"/>
            <w:bottom w:val="none" w:sz="0" w:space="0" w:color="auto"/>
            <w:right w:val="none" w:sz="0" w:space="0" w:color="auto"/>
          </w:divBdr>
        </w:div>
        <w:div w:id="2000494632">
          <w:marLeft w:val="0"/>
          <w:marRight w:val="0"/>
          <w:marTop w:val="0"/>
          <w:marBottom w:val="0"/>
          <w:divBdr>
            <w:top w:val="none" w:sz="0" w:space="0" w:color="auto"/>
            <w:left w:val="none" w:sz="0" w:space="0" w:color="auto"/>
            <w:bottom w:val="none" w:sz="0" w:space="0" w:color="auto"/>
            <w:right w:val="none" w:sz="0" w:space="0" w:color="auto"/>
          </w:divBdr>
        </w:div>
        <w:div w:id="2020233226">
          <w:marLeft w:val="0"/>
          <w:marRight w:val="0"/>
          <w:marTop w:val="0"/>
          <w:marBottom w:val="0"/>
          <w:divBdr>
            <w:top w:val="none" w:sz="0" w:space="0" w:color="auto"/>
            <w:left w:val="none" w:sz="0" w:space="0" w:color="auto"/>
            <w:bottom w:val="none" w:sz="0" w:space="0" w:color="auto"/>
            <w:right w:val="none" w:sz="0" w:space="0" w:color="auto"/>
          </w:divBdr>
        </w:div>
        <w:div w:id="2116097222">
          <w:marLeft w:val="0"/>
          <w:marRight w:val="0"/>
          <w:marTop w:val="0"/>
          <w:marBottom w:val="0"/>
          <w:divBdr>
            <w:top w:val="none" w:sz="0" w:space="0" w:color="auto"/>
            <w:left w:val="none" w:sz="0" w:space="0" w:color="auto"/>
            <w:bottom w:val="none" w:sz="0" w:space="0" w:color="auto"/>
            <w:right w:val="none" w:sz="0" w:space="0" w:color="auto"/>
          </w:divBdr>
        </w:div>
        <w:div w:id="2128694894">
          <w:marLeft w:val="0"/>
          <w:marRight w:val="0"/>
          <w:marTop w:val="0"/>
          <w:marBottom w:val="0"/>
          <w:divBdr>
            <w:top w:val="none" w:sz="0" w:space="0" w:color="auto"/>
            <w:left w:val="none" w:sz="0" w:space="0" w:color="auto"/>
            <w:bottom w:val="none" w:sz="0" w:space="0" w:color="auto"/>
            <w:right w:val="none" w:sz="0" w:space="0" w:color="auto"/>
          </w:divBdr>
        </w:div>
      </w:divsChild>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EA126-8253-4D10-8C83-0F362421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BD7AD8-E848-40FC-B51B-0E8976BCE4A7}">
  <ds:schemaRefs>
    <ds:schemaRef ds:uri="http://schemas.microsoft.com/sharepoint/v3/contenttype/forms"/>
  </ds:schemaRefs>
</ds:datastoreItem>
</file>

<file path=customXml/itemProps3.xml><?xml version="1.0" encoding="utf-8"?>
<ds:datastoreItem xmlns:ds="http://schemas.openxmlformats.org/officeDocument/2006/customXml" ds:itemID="{7BCC8CFC-259A-4CFD-9998-900B691B0A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Template_v4.dot</Template>
  <TotalTime>0</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Year 9 Health &amp; Physical Education assessment teacher guidelines | Health advertisement critique| Queensland Essential Learnings and Standards</vt:lpstr>
    </vt:vector>
  </TitlesOfParts>
  <Company>QSA</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Health &amp; Physical Education assessment teacher guidelines | Health advertisement critique | Queensland Essential Learnings and Standards</dc:title>
  <dc:subject/>
  <dc:creator>Queensland Studies Authority</dc:creator>
  <cp:keywords/>
  <dc:description>Students analyse a health advertisement and write a critique about it's effectiveness.</dc:description>
  <cp:lastModifiedBy>QSA</cp:lastModifiedBy>
  <cp:revision>2</cp:revision>
  <cp:lastPrinted>2007-11-30T05:27:00Z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English</vt:lpwstr>
  </property>
  <property fmtid="{D5CDD505-2E9C-101B-9397-08002B2CF9AE}" pid="6" name="MainYearLevel">
    <vt:lpwstr>1</vt:lpwstr>
  </property>
  <property fmtid="{D5CDD505-2E9C-101B-9397-08002B2CF9AE}" pid="7" name="QSADeveloped">
    <vt:lpwstr>QSA</vt:lpwstr>
  </property>
  <property fmtid="{D5CDD505-2E9C-101B-9397-08002B2CF9AE}" pid="8" name="AssessableItems">
    <vt:lpwstr/>
  </property>
  <property fmtid="{D5CDD505-2E9C-101B-9397-08002B2CF9AE}" pid="9" name="PackageStatus">
    <vt:lpwstr>01 - Creating</vt:lpwstr>
  </property>
  <property fmtid="{D5CDD505-2E9C-101B-9397-08002B2CF9AE}" pid="10" name="ContentTypeId">
    <vt:lpwstr>0x0101007022ECDCCE5AE04E9E31964A7D31288300CE88EAB03FA0F744B21A8F077F3D07CE</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