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w:t>
      </w:r>
      <w:r w:rsidR="00083099">
        <w:t>Italian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210630">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 xml:space="preserve">target language — </w:t>
      </w:r>
      <w:r w:rsidR="00083099">
        <w:t>Italian</w:t>
      </w:r>
      <w:r w:rsidR="00F73A9D">
        <w:t>.</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210630">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980C4B">
        <w:tc>
          <w:tcPr>
            <w:tcW w:w="9820" w:type="dxa"/>
            <w:shd w:val="clear" w:color="auto" w:fill="auto"/>
          </w:tcPr>
          <w:p w:rsidR="00DC35E4" w:rsidRPr="00980C4B" w:rsidRDefault="00DC35E4" w:rsidP="00980C4B">
            <w:pPr>
              <w:pStyle w:val="Bulletslevel1"/>
              <w:widowControl w:val="0"/>
              <w:numPr>
                <w:ilvl w:val="0"/>
                <w:numId w:val="0"/>
              </w:numPr>
              <w:rPr>
                <w:i/>
                <w:noProof/>
                <w:szCs w:val="22"/>
              </w:rPr>
            </w:pPr>
            <w:r w:rsidRPr="00980C4B">
              <w:rPr>
                <w:noProof/>
                <w:szCs w:val="22"/>
              </w:rPr>
              <w:t xml:space="preserve">Student language: identifying things: </w:t>
            </w:r>
            <w:r w:rsidRPr="00980C4B">
              <w:rPr>
                <w:i/>
                <w:noProof/>
                <w:szCs w:val="22"/>
              </w:rPr>
              <w:t>names of games, name, age, address</w:t>
            </w:r>
            <w:r w:rsidRPr="00980C4B">
              <w:rPr>
                <w:noProof/>
                <w:szCs w:val="22"/>
              </w:rPr>
              <w:t xml:space="preserve">; giving locations: </w:t>
            </w:r>
            <w:r w:rsidRPr="00980C4B">
              <w:rPr>
                <w:i/>
                <w:noProof/>
                <w:szCs w:val="22"/>
              </w:rPr>
              <w:t>inside/outside, straight ahead, left, right, on, under, beside</w:t>
            </w:r>
            <w:r w:rsidRPr="00980C4B">
              <w:rPr>
                <w:noProof/>
                <w:szCs w:val="22"/>
              </w:rPr>
              <w:t xml:space="preserve">; describing activities: </w:t>
            </w:r>
            <w:r w:rsidRPr="00980C4B">
              <w:rPr>
                <w:i/>
                <w:noProof/>
                <w:szCs w:val="22"/>
              </w:rPr>
              <w:t>games – noisy, quiet, fun, boring, safe, interesting, group, team, one person, two people</w:t>
            </w:r>
            <w:r w:rsidRPr="00980C4B">
              <w:rPr>
                <w:noProof/>
                <w:szCs w:val="22"/>
              </w:rPr>
              <w:t xml:space="preserve">; comparing: </w:t>
            </w:r>
            <w:r w:rsidRPr="00980C4B">
              <w:rPr>
                <w:i/>
                <w:noProof/>
                <w:szCs w:val="22"/>
              </w:rPr>
              <w:t xml:space="preserve">same, different; </w:t>
            </w:r>
            <w:r w:rsidRPr="00980C4B">
              <w:rPr>
                <w:noProof/>
                <w:szCs w:val="22"/>
              </w:rPr>
              <w:t xml:space="preserve">giving and responding to instructions: </w:t>
            </w:r>
            <w:r w:rsidRPr="00980C4B">
              <w:rPr>
                <w:i/>
                <w:noProof/>
                <w:szCs w:val="22"/>
              </w:rPr>
              <w:t>your turn, my turn, like this, you’re out</w:t>
            </w:r>
            <w:r w:rsidRPr="00980C4B">
              <w:rPr>
                <w:noProof/>
                <w:szCs w:val="22"/>
              </w:rPr>
              <w:t xml:space="preserve">; identifying and asking when: </w:t>
            </w:r>
            <w:r w:rsidRPr="00980C4B">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lastRenderedPageBreak/>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86"/>
        <w:gridCol w:w="8553"/>
      </w:tblGrid>
      <w:tr w:rsidR="00C61C2F" w:rsidRPr="008814B0">
        <w:trPr>
          <w:trHeight w:val="870"/>
        </w:trPr>
        <w:tc>
          <w:tcPr>
            <w:tcW w:w="556" w:type="pct"/>
          </w:tcPr>
          <w:p w:rsidR="00C61C2F" w:rsidRPr="000B2F55" w:rsidRDefault="00210630" w:rsidP="00DD0356">
            <w:pPr>
              <w:pageBreakBefore/>
              <w:spacing w:before="0" w:after="0" w:line="240" w:lineRule="auto"/>
            </w:pPr>
            <w:r>
              <w:rPr>
                <w:noProof/>
              </w:rPr>
              <w:drawing>
                <wp:inline distT="0" distB="0" distL="0" distR="0">
                  <wp:extent cx="546100" cy="546100"/>
                  <wp:effectExtent l="0" t="0" r="635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 xml:space="preserve">target language — </w:t>
      </w:r>
      <w:r w:rsidR="00083099">
        <w:t>Italian</w:t>
      </w:r>
      <w:r w:rsidR="00F73A9D">
        <w:t>.</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210630">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86"/>
        <w:gridCol w:w="8553"/>
        <w:tblGridChange w:id="1">
          <w:tblGrid>
            <w:gridCol w:w="1086"/>
            <w:gridCol w:w="8553"/>
          </w:tblGrid>
        </w:tblGridChange>
      </w:tblGrid>
      <w:tr w:rsidR="00BE2450" w:rsidRPr="008814B0">
        <w:trPr>
          <w:trHeight w:val="870"/>
        </w:trPr>
        <w:tc>
          <w:tcPr>
            <w:tcW w:w="523" w:type="pct"/>
          </w:tcPr>
          <w:p w:rsidR="00BE2450" w:rsidRPr="000B2F55" w:rsidRDefault="00210630" w:rsidP="00BE2450">
            <w:pPr>
              <w:spacing w:before="0" w:after="0" w:line="240" w:lineRule="auto"/>
            </w:pPr>
            <w:r>
              <w:rPr>
                <w:noProof/>
              </w:rPr>
              <w:drawing>
                <wp:inline distT="0" distB="0" distL="0" distR="0">
                  <wp:extent cx="546100" cy="546100"/>
                  <wp:effectExtent l="0" t="0" r="635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210630"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210630"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210630"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210630"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980C4B" w:rsidTr="00980C4B">
        <w:trPr>
          <w:trHeight w:val="522"/>
          <w:jc w:val="center"/>
        </w:trPr>
        <w:tc>
          <w:tcPr>
            <w:tcW w:w="9820" w:type="dxa"/>
            <w:shd w:val="clear" w:color="auto" w:fill="auto"/>
          </w:tcPr>
          <w:p w:rsidR="00572732" w:rsidRPr="00980C4B" w:rsidRDefault="00572732" w:rsidP="00980C4B">
            <w:pPr>
              <w:pStyle w:val="Header"/>
              <w:spacing w:after="0"/>
              <w:rPr>
                <w:lang w:val="en-US"/>
              </w:rPr>
            </w:pPr>
            <w:r w:rsidRPr="00980C4B">
              <w:rPr>
                <w:lang w:val="en-US"/>
              </w:rPr>
              <w:t xml:space="preserve">Appendix </w:t>
            </w:r>
            <w:r w:rsidR="00DD5A9C" w:rsidRPr="00980C4B">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980C4B">
        <w:trPr>
          <w:trHeight w:val="260"/>
          <w:jc w:val="center"/>
        </w:trPr>
        <w:tc>
          <w:tcPr>
            <w:tcW w:w="1858" w:type="dxa"/>
            <w:tcBorders>
              <w:bottom w:val="single" w:sz="4" w:space="0" w:color="auto"/>
            </w:tcBorders>
            <w:shd w:val="clear" w:color="auto" w:fill="E6E6E6"/>
          </w:tcPr>
          <w:p w:rsidR="008B56DD" w:rsidRPr="00980C4B" w:rsidRDefault="008B56DD" w:rsidP="00980C4B">
            <w:pPr>
              <w:pStyle w:val="Bulletslevel1"/>
              <w:widowControl w:val="0"/>
              <w:numPr>
                <w:ilvl w:val="0"/>
                <w:numId w:val="0"/>
              </w:numPr>
              <w:spacing w:after="80" w:line="240" w:lineRule="auto"/>
              <w:rPr>
                <w:b/>
                <w:szCs w:val="22"/>
              </w:rPr>
            </w:pPr>
            <w:r w:rsidRPr="00980C4B">
              <w:rPr>
                <w:b/>
                <w:szCs w:val="22"/>
              </w:rPr>
              <w:t>Name</w:t>
            </w:r>
          </w:p>
        </w:tc>
        <w:tc>
          <w:tcPr>
            <w:tcW w:w="1858" w:type="dxa"/>
            <w:tcBorders>
              <w:bottom w:val="single" w:sz="4" w:space="0" w:color="auto"/>
            </w:tcBorders>
            <w:shd w:val="clear" w:color="auto" w:fill="E6E6E6"/>
          </w:tcPr>
          <w:p w:rsidR="008B56DD" w:rsidRPr="00980C4B" w:rsidRDefault="008B56DD" w:rsidP="00980C4B">
            <w:pPr>
              <w:pStyle w:val="Bulletslevel1"/>
              <w:widowControl w:val="0"/>
              <w:numPr>
                <w:ilvl w:val="0"/>
                <w:numId w:val="0"/>
              </w:numPr>
              <w:spacing w:after="80" w:line="240" w:lineRule="auto"/>
              <w:rPr>
                <w:b/>
                <w:szCs w:val="22"/>
              </w:rPr>
            </w:pPr>
            <w:r w:rsidRPr="00980C4B">
              <w:rPr>
                <w:b/>
                <w:szCs w:val="22"/>
              </w:rPr>
              <w:t>Game</w:t>
            </w:r>
          </w:p>
        </w:tc>
        <w:tc>
          <w:tcPr>
            <w:tcW w:w="1887" w:type="dxa"/>
            <w:tcBorders>
              <w:bottom w:val="single" w:sz="4" w:space="0" w:color="auto"/>
            </w:tcBorders>
            <w:shd w:val="clear" w:color="auto" w:fill="E6E6E6"/>
          </w:tcPr>
          <w:p w:rsidR="008B56DD" w:rsidRPr="00980C4B" w:rsidRDefault="008B56DD" w:rsidP="00980C4B">
            <w:pPr>
              <w:pStyle w:val="Bulletslevel1"/>
              <w:widowControl w:val="0"/>
              <w:numPr>
                <w:ilvl w:val="0"/>
                <w:numId w:val="0"/>
              </w:numPr>
              <w:spacing w:after="80" w:line="240" w:lineRule="auto"/>
              <w:rPr>
                <w:b/>
                <w:szCs w:val="22"/>
              </w:rPr>
            </w:pPr>
            <w:r w:rsidRPr="00980C4B">
              <w:rPr>
                <w:b/>
                <w:szCs w:val="22"/>
              </w:rPr>
              <w:t>Location</w:t>
            </w:r>
          </w:p>
          <w:p w:rsidR="008B56DD" w:rsidRPr="00980C4B" w:rsidRDefault="008B56DD" w:rsidP="00980C4B">
            <w:pPr>
              <w:pStyle w:val="Bulletslevel1"/>
              <w:widowControl w:val="0"/>
              <w:numPr>
                <w:ilvl w:val="0"/>
                <w:numId w:val="0"/>
              </w:numPr>
              <w:spacing w:after="80" w:line="240" w:lineRule="auto"/>
              <w:rPr>
                <w:b/>
                <w:szCs w:val="22"/>
              </w:rPr>
            </w:pPr>
            <w:r w:rsidRPr="00980C4B">
              <w:rPr>
                <w:szCs w:val="22"/>
              </w:rPr>
              <w:t>(inside/outside)</w:t>
            </w:r>
          </w:p>
        </w:tc>
        <w:tc>
          <w:tcPr>
            <w:tcW w:w="4036" w:type="dxa"/>
            <w:tcBorders>
              <w:bottom w:val="single" w:sz="4" w:space="0" w:color="auto"/>
            </w:tcBorders>
            <w:shd w:val="clear" w:color="auto" w:fill="E6E6E6"/>
          </w:tcPr>
          <w:p w:rsidR="008B56DD" w:rsidRPr="00980C4B" w:rsidRDefault="008B56DD" w:rsidP="00980C4B">
            <w:pPr>
              <w:pStyle w:val="Bulletslevel1"/>
              <w:widowControl w:val="0"/>
              <w:numPr>
                <w:ilvl w:val="0"/>
                <w:numId w:val="0"/>
              </w:numPr>
              <w:spacing w:after="80" w:line="240" w:lineRule="auto"/>
              <w:rPr>
                <w:b/>
                <w:szCs w:val="22"/>
              </w:rPr>
            </w:pPr>
            <w:r w:rsidRPr="00980C4B">
              <w:rPr>
                <w:b/>
                <w:szCs w:val="22"/>
              </w:rPr>
              <w:t>Description</w:t>
            </w:r>
          </w:p>
          <w:p w:rsidR="008B56DD" w:rsidRPr="00980C4B" w:rsidRDefault="008B56DD" w:rsidP="00980C4B">
            <w:pPr>
              <w:pStyle w:val="Bulletslevel1"/>
              <w:widowControl w:val="0"/>
              <w:numPr>
                <w:ilvl w:val="0"/>
                <w:numId w:val="0"/>
              </w:numPr>
              <w:spacing w:after="80" w:line="240" w:lineRule="auto"/>
              <w:rPr>
                <w:szCs w:val="22"/>
              </w:rPr>
            </w:pPr>
            <w:r w:rsidRPr="00980C4B">
              <w:rPr>
                <w:szCs w:val="22"/>
              </w:rPr>
              <w:t>(no. of people, equipment needed)</w:t>
            </w: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r w:rsidR="008B56DD" w:rsidRPr="007F116D" w:rsidTr="00980C4B">
        <w:trPr>
          <w:trHeight w:val="259"/>
          <w:jc w:val="center"/>
        </w:trPr>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58" w:type="dxa"/>
            <w:shd w:val="clear" w:color="auto" w:fill="auto"/>
          </w:tcPr>
          <w:p w:rsidR="008B56DD" w:rsidRPr="00980C4B" w:rsidRDefault="008B56DD" w:rsidP="00980C4B">
            <w:pPr>
              <w:pStyle w:val="Bulletslevel1"/>
              <w:widowControl w:val="0"/>
              <w:numPr>
                <w:ilvl w:val="0"/>
                <w:numId w:val="0"/>
              </w:numPr>
              <w:rPr>
                <w:szCs w:val="22"/>
              </w:rPr>
            </w:pPr>
          </w:p>
        </w:tc>
        <w:tc>
          <w:tcPr>
            <w:tcW w:w="1887" w:type="dxa"/>
            <w:shd w:val="clear" w:color="auto" w:fill="auto"/>
          </w:tcPr>
          <w:p w:rsidR="008B56DD" w:rsidRPr="00980C4B" w:rsidRDefault="008B56DD" w:rsidP="00980C4B">
            <w:pPr>
              <w:pStyle w:val="Bulletslevel1"/>
              <w:widowControl w:val="0"/>
              <w:numPr>
                <w:ilvl w:val="0"/>
                <w:numId w:val="0"/>
              </w:numPr>
              <w:rPr>
                <w:szCs w:val="22"/>
              </w:rPr>
            </w:pPr>
          </w:p>
        </w:tc>
        <w:tc>
          <w:tcPr>
            <w:tcW w:w="4036" w:type="dxa"/>
            <w:shd w:val="clear" w:color="auto" w:fill="auto"/>
          </w:tcPr>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p w:rsidR="008B56DD" w:rsidRPr="00980C4B" w:rsidRDefault="008B56DD" w:rsidP="00980C4B">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A1" w:rsidRDefault="001D23A1">
      <w:r>
        <w:separator/>
      </w:r>
    </w:p>
    <w:p w:rsidR="001D23A1" w:rsidRDefault="001D23A1"/>
    <w:p w:rsidR="001D23A1" w:rsidRDefault="001D23A1"/>
    <w:p w:rsidR="001D23A1" w:rsidRDefault="001D23A1"/>
    <w:p w:rsidR="001D23A1" w:rsidRDefault="001D23A1"/>
    <w:p w:rsidR="001D23A1" w:rsidRDefault="001D23A1"/>
  </w:endnote>
  <w:endnote w:type="continuationSeparator" w:id="0">
    <w:p w:rsidR="001D23A1" w:rsidRDefault="001D23A1">
      <w:r>
        <w:continuationSeparator/>
      </w:r>
    </w:p>
    <w:p w:rsidR="001D23A1" w:rsidRDefault="001D23A1"/>
    <w:p w:rsidR="001D23A1" w:rsidRDefault="001D23A1"/>
    <w:p w:rsidR="001D23A1" w:rsidRDefault="001D23A1"/>
    <w:p w:rsidR="001D23A1" w:rsidRDefault="001D23A1"/>
    <w:p w:rsidR="001D23A1" w:rsidRDefault="001D23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210630">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210630">
            <w:rPr>
              <w:rStyle w:val="PageNumber"/>
              <w:noProof/>
            </w:rPr>
            <w:t>3</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210630" w:rsidP="00C85825">
          <w:pPr>
            <w:pStyle w:val="Footer"/>
            <w:framePr w:hSpace="0" w:wrap="auto" w:vAnchor="margin" w:yAlign="inline"/>
            <w:suppressOverlap w:val="0"/>
            <w:rPr>
              <w:rFonts w:ascii="Arial Narrow" w:hAnsi="Arial Narrow"/>
            </w:rPr>
          </w:pPr>
          <w:r>
            <w:drawing>
              <wp:inline distT="0" distB="0" distL="0" distR="0">
                <wp:extent cx="1536700" cy="660400"/>
                <wp:effectExtent l="0" t="0" r="6350" b="635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6700" cy="660400"/>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A1" w:rsidRDefault="001D23A1">
      <w:r>
        <w:separator/>
      </w:r>
    </w:p>
    <w:p w:rsidR="001D23A1" w:rsidRDefault="001D23A1"/>
    <w:p w:rsidR="001D23A1" w:rsidRDefault="001D23A1"/>
    <w:p w:rsidR="001D23A1" w:rsidRDefault="001D23A1"/>
    <w:p w:rsidR="001D23A1" w:rsidRDefault="001D23A1"/>
    <w:p w:rsidR="001D23A1" w:rsidRDefault="001D23A1"/>
  </w:footnote>
  <w:footnote w:type="continuationSeparator" w:id="0">
    <w:p w:rsidR="001D23A1" w:rsidRDefault="001D23A1">
      <w:r>
        <w:continuationSeparator/>
      </w:r>
    </w:p>
    <w:p w:rsidR="001D23A1" w:rsidRDefault="001D23A1"/>
    <w:p w:rsidR="001D23A1" w:rsidRDefault="001D23A1"/>
    <w:p w:rsidR="001D23A1" w:rsidRDefault="001D23A1"/>
    <w:p w:rsidR="001D23A1" w:rsidRDefault="001D23A1"/>
    <w:p w:rsidR="001D23A1" w:rsidRDefault="001D23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210630">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53E77"/>
    <w:rsid w:val="00054FB0"/>
    <w:rsid w:val="00061D89"/>
    <w:rsid w:val="000736CA"/>
    <w:rsid w:val="000825C6"/>
    <w:rsid w:val="00082765"/>
    <w:rsid w:val="00083099"/>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7A14"/>
    <w:rsid w:val="00130EFC"/>
    <w:rsid w:val="001315A3"/>
    <w:rsid w:val="00132BC2"/>
    <w:rsid w:val="00134F57"/>
    <w:rsid w:val="00137481"/>
    <w:rsid w:val="00140A51"/>
    <w:rsid w:val="00140F5D"/>
    <w:rsid w:val="00143742"/>
    <w:rsid w:val="00146EA2"/>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90075"/>
    <w:rsid w:val="00190C5F"/>
    <w:rsid w:val="00191133"/>
    <w:rsid w:val="00193E81"/>
    <w:rsid w:val="001971C2"/>
    <w:rsid w:val="00197498"/>
    <w:rsid w:val="001A299F"/>
    <w:rsid w:val="001A68E3"/>
    <w:rsid w:val="001A7398"/>
    <w:rsid w:val="001C2226"/>
    <w:rsid w:val="001C4D23"/>
    <w:rsid w:val="001C5BD9"/>
    <w:rsid w:val="001D1C88"/>
    <w:rsid w:val="001D23A1"/>
    <w:rsid w:val="001E43BD"/>
    <w:rsid w:val="001E563C"/>
    <w:rsid w:val="001E59F9"/>
    <w:rsid w:val="001F0901"/>
    <w:rsid w:val="001F2123"/>
    <w:rsid w:val="001F4A15"/>
    <w:rsid w:val="001F7B31"/>
    <w:rsid w:val="00204FE9"/>
    <w:rsid w:val="00205805"/>
    <w:rsid w:val="00207534"/>
    <w:rsid w:val="00210015"/>
    <w:rsid w:val="00210630"/>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F00FC"/>
    <w:rsid w:val="005F1A13"/>
    <w:rsid w:val="005F253C"/>
    <w:rsid w:val="005F3991"/>
    <w:rsid w:val="005F6D71"/>
    <w:rsid w:val="00604F68"/>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5A19"/>
    <w:rsid w:val="00706115"/>
    <w:rsid w:val="00710F10"/>
    <w:rsid w:val="00715381"/>
    <w:rsid w:val="0071550A"/>
    <w:rsid w:val="00720999"/>
    <w:rsid w:val="0072193E"/>
    <w:rsid w:val="00722074"/>
    <w:rsid w:val="00723832"/>
    <w:rsid w:val="00727BED"/>
    <w:rsid w:val="007335F1"/>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0C4B"/>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8236B"/>
    <w:rsid w:val="00C85825"/>
    <w:rsid w:val="00C875B3"/>
    <w:rsid w:val="00C91376"/>
    <w:rsid w:val="00C93CD6"/>
    <w:rsid w:val="00C946AF"/>
    <w:rsid w:val="00C953BD"/>
    <w:rsid w:val="00C9586F"/>
    <w:rsid w:val="00C958FF"/>
    <w:rsid w:val="00C9609F"/>
    <w:rsid w:val="00C9682B"/>
    <w:rsid w:val="00C96EE5"/>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7B2"/>
    <w:rsid w:val="00D156BC"/>
    <w:rsid w:val="00D15933"/>
    <w:rsid w:val="00D2016A"/>
    <w:rsid w:val="00D21D89"/>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1E42"/>
    <w:rsid w:val="00DD52A4"/>
    <w:rsid w:val="00DD5A9C"/>
    <w:rsid w:val="00DD6F88"/>
    <w:rsid w:val="00DE4277"/>
    <w:rsid w:val="00DE528C"/>
    <w:rsid w:val="00DF197F"/>
    <w:rsid w:val="00DF337F"/>
    <w:rsid w:val="00DF4AC2"/>
    <w:rsid w:val="00DF794E"/>
    <w:rsid w:val="00E002DD"/>
    <w:rsid w:val="00E00B81"/>
    <w:rsid w:val="00E03518"/>
    <w:rsid w:val="00E060B6"/>
    <w:rsid w:val="00E0662E"/>
    <w:rsid w:val="00E06831"/>
    <w:rsid w:val="00E071D9"/>
    <w:rsid w:val="00E07785"/>
    <w:rsid w:val="00E12558"/>
    <w:rsid w:val="00E14E07"/>
    <w:rsid w:val="00E16D95"/>
    <w:rsid w:val="00E21141"/>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7104"/>
    <w:rsid w:val="00F10515"/>
    <w:rsid w:val="00F125B0"/>
    <w:rsid w:val="00F132E5"/>
    <w:rsid w:val="00F22F83"/>
    <w:rsid w:val="00F26AC6"/>
    <w:rsid w:val="00F27946"/>
    <w:rsid w:val="00F3010A"/>
    <w:rsid w:val="00F3032B"/>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BFF077-68C5-4E4E-9D9E-C77D25ACDD02}">
  <ds:schemaRefs>
    <ds:schemaRef ds:uri="http://schemas.microsoft.com/sharepoint/v3/contenttype/forms"/>
  </ds:schemaRefs>
</ds:datastoreItem>
</file>

<file path=customXml/itemProps2.xml><?xml version="1.0" encoding="utf-8"?>
<ds:datastoreItem xmlns:ds="http://schemas.openxmlformats.org/officeDocument/2006/customXml" ds:itemID="{59868222-EB62-4757-9775-B690CB53E669}">
  <ds:schemaRefs>
    <ds:schemaRef ds:uri="http://schemas.microsoft.com/office/2006/metadata/longProperties"/>
  </ds:schemaRefs>
</ds:datastoreItem>
</file>

<file path=customXml/itemProps3.xml><?xml version="1.0" encoding="utf-8"?>
<ds:datastoreItem xmlns:ds="http://schemas.openxmlformats.org/officeDocument/2006/customXml" ds:itemID="{1A9C9B29-E7BD-4109-BA58-262DC81F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371D270-BCC0-4EFB-B152-1DFB27713F2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4</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Italian | Queensland Essential Learnings and Standards</vt:lpstr>
    </vt:vector>
  </TitlesOfParts>
  <Company>QSA</Company>
  <LinksUpToDate>false</LinksUpToDate>
  <CharactersWithSpaces>13957</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Italian | Queensland Essential Learnings and Standards</dc:title>
  <dc:subject/>
  <dc:creator>Queensland Studies Authority</dc:creator>
  <cp:keywords/>
  <dc:description>Students use the target language of Italian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