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Default="0048415B" w:rsidP="00BC58D9">
      <w:pPr>
        <w:pStyle w:val="CoverTitle"/>
        <w:rPr>
          <w:rFonts w:hint="eastAsia"/>
        </w:rPr>
      </w:pPr>
      <w:bookmarkStart w:id="0" w:name="_GoBack"/>
      <w:bookmarkEnd w:id="0"/>
      <w:r>
        <w:t>Farm to feast 3</w:t>
      </w:r>
      <w:r w:rsidR="00341084">
        <w:t xml:space="preserve"> </w:t>
      </w:r>
      <w:r w:rsidR="00341084">
        <w:rPr>
          <w:rFonts w:hint="eastAsia"/>
        </w:rPr>
        <w:t xml:space="preserve">— </w:t>
      </w:r>
      <w:r w:rsidR="00713C48">
        <w:t>m</w:t>
      </w:r>
      <w:r w:rsidR="00341084">
        <w:rPr>
          <w:rFonts w:hint="eastAsia"/>
        </w:rPr>
        <w:t>edia report</w:t>
      </w:r>
    </w:p>
    <w:tbl>
      <w:tblPr>
        <w:tblW w:w="0" w:type="auto"/>
        <w:tblLook w:val="01E0" w:firstRow="1" w:lastRow="1" w:firstColumn="1" w:lastColumn="1" w:noHBand="0" w:noVBand="0"/>
      </w:tblPr>
      <w:tblGrid>
        <w:gridCol w:w="1874"/>
        <w:gridCol w:w="6396"/>
      </w:tblGrid>
      <w:tr w:rsidR="00321DA5">
        <w:trPr>
          <w:trHeight w:val="614"/>
        </w:trPr>
        <w:tc>
          <w:tcPr>
            <w:tcW w:w="1874" w:type="dxa"/>
            <w:shd w:val="clear" w:color="auto" w:fill="B4A7C0"/>
            <w:tcMar>
              <w:top w:w="113" w:type="dxa"/>
              <w:left w:w="113" w:type="dxa"/>
              <w:bottom w:w="113" w:type="dxa"/>
              <w:right w:w="113" w:type="dxa"/>
            </w:tcMar>
            <w:vAlign w:val="center"/>
          </w:tcPr>
          <w:p w:rsidR="00321DA5" w:rsidRPr="00C557B7" w:rsidRDefault="00321DA5" w:rsidP="002F4C51">
            <w:pPr>
              <w:pStyle w:val="CoverYearKLAName"/>
              <w:spacing w:after="0"/>
            </w:pPr>
            <w:r w:rsidRPr="00C557B7">
              <w:t xml:space="preserve">Year </w:t>
            </w:r>
            <w:r w:rsidR="00F4120E">
              <w:t>9</w:t>
            </w:r>
          </w:p>
        </w:tc>
        <w:tc>
          <w:tcPr>
            <w:tcW w:w="6396" w:type="dxa"/>
            <w:shd w:val="clear" w:color="auto" w:fill="E3DEE8"/>
            <w:tcMar>
              <w:top w:w="113" w:type="dxa"/>
              <w:left w:w="113" w:type="dxa"/>
              <w:bottom w:w="113" w:type="dxa"/>
              <w:right w:w="113" w:type="dxa"/>
            </w:tcMar>
            <w:vAlign w:val="center"/>
          </w:tcPr>
          <w:p w:rsidR="00321DA5" w:rsidRDefault="00F4120E" w:rsidP="002F4C51">
            <w:pPr>
              <w:pStyle w:val="CoverYearKLAName"/>
              <w:spacing w:after="0"/>
            </w:pPr>
            <w:r>
              <w:t>Health &amp; Physical Education (HPE)</w:t>
            </w:r>
          </w:p>
        </w:tc>
      </w:tr>
      <w:tr w:rsidR="00321DA5">
        <w:tc>
          <w:tcPr>
            <w:tcW w:w="8270" w:type="dxa"/>
            <w:gridSpan w:val="2"/>
            <w:tcBorders>
              <w:bottom w:val="single" w:sz="12" w:space="0" w:color="E3DEE8"/>
            </w:tcBorders>
            <w:tcMar>
              <w:top w:w="113" w:type="dxa"/>
              <w:left w:w="113" w:type="dxa"/>
              <w:bottom w:w="113" w:type="dxa"/>
              <w:right w:w="113" w:type="dxa"/>
            </w:tcMar>
            <w:vAlign w:val="center"/>
          </w:tcPr>
          <w:p w:rsidR="00321DA5" w:rsidRPr="000E5445" w:rsidRDefault="00F4120E" w:rsidP="00CD0037">
            <w:pPr>
              <w:pStyle w:val="CoverOverview"/>
            </w:pPr>
            <w:r w:rsidRPr="004E7A01">
              <w:t xml:space="preserve">Students present a media report discussing health promotion action to ensure positive health outcomes from influences on food choices and eating behaviours. </w:t>
            </w:r>
          </w:p>
        </w:tc>
      </w:tr>
      <w:tr w:rsidR="00321DA5">
        <w:tc>
          <w:tcPr>
            <w:tcW w:w="8270" w:type="dxa"/>
            <w:gridSpan w:val="2"/>
            <w:tcBorders>
              <w:top w:val="single" w:sz="12" w:space="0" w:color="E3DEE8"/>
            </w:tcBorders>
            <w:tcMar>
              <w:top w:w="113" w:type="dxa"/>
              <w:left w:w="113" w:type="dxa"/>
              <w:bottom w:w="113" w:type="dxa"/>
              <w:right w:w="113" w:type="dxa"/>
            </w:tcMar>
            <w:vAlign w:val="center"/>
          </w:tcPr>
          <w:p w:rsidR="00321DA5" w:rsidRPr="005E1415" w:rsidRDefault="00321DA5" w:rsidP="00CD0037">
            <w:pPr>
              <w:pStyle w:val="CoverOverview"/>
            </w:pPr>
            <w:r w:rsidRPr="005E1415">
              <w:t>Context for assessment</w:t>
            </w:r>
          </w:p>
          <w:p w:rsidR="00321DA5" w:rsidRDefault="00FB2055" w:rsidP="00CD0037">
            <w:r>
              <w:t>Poor f</w:t>
            </w:r>
            <w:r w:rsidR="00F4120E" w:rsidRPr="004E7A01">
              <w:t xml:space="preserve">ood choices and eating behaviours are often </w:t>
            </w:r>
            <w:r>
              <w:t>regarded</w:t>
            </w:r>
            <w:r w:rsidR="00F4120E" w:rsidRPr="004E7A01">
              <w:t xml:space="preserve"> as the cause of disease and illness. People are</w:t>
            </w:r>
            <w:r w:rsidR="00702FDE">
              <w:t xml:space="preserve"> often</w:t>
            </w:r>
            <w:r w:rsidR="00F4120E" w:rsidRPr="004E7A01">
              <w:t xml:space="preserve"> encouraged to </w:t>
            </w:r>
            <w:r>
              <w:t xml:space="preserve">make healthier </w:t>
            </w:r>
            <w:r w:rsidR="00F4120E" w:rsidRPr="004E7A01">
              <w:t xml:space="preserve">food choices </w:t>
            </w:r>
            <w:r>
              <w:t xml:space="preserve">in order to increase the </w:t>
            </w:r>
            <w:r w:rsidR="00F4120E" w:rsidRPr="004E7A01">
              <w:t xml:space="preserve">likelihood of </w:t>
            </w:r>
            <w:r>
              <w:t>good</w:t>
            </w:r>
            <w:r w:rsidR="00F4120E" w:rsidRPr="004E7A01">
              <w:t xml:space="preserve"> health. But is it that simple?</w:t>
            </w:r>
          </w:p>
          <w:p w:rsidR="00713C48" w:rsidRPr="002057C6" w:rsidRDefault="00713C48" w:rsidP="00713C48">
            <w:r w:rsidRPr="002057C6">
              <w:t xml:space="preserve">This is the </w:t>
            </w:r>
            <w:r>
              <w:t xml:space="preserve">third of three “Farm to feast" packages. </w:t>
            </w:r>
            <w:r w:rsidRPr="002057C6">
              <w:t>The other packages are:</w:t>
            </w:r>
          </w:p>
          <w:p w:rsidR="00713C48" w:rsidRDefault="00713C48" w:rsidP="00713C48">
            <w:r>
              <w:t>Farm to feast 1 — investigation</w:t>
            </w:r>
          </w:p>
          <w:p w:rsidR="00713C48" w:rsidRDefault="00713C48" w:rsidP="00713C48">
            <w:r>
              <w:t>Farm to feast 2 — action plan</w:t>
            </w:r>
            <w:r w:rsidRPr="002057C6">
              <w:t>.</w:t>
            </w:r>
          </w:p>
        </w:tc>
      </w:tr>
    </w:tbl>
    <w:p w:rsidR="00B34779" w:rsidRPr="00A326AC" w:rsidRDefault="00DB5D06" w:rsidP="00750B88">
      <w:pPr>
        <w:pageBreakBefore/>
      </w:pPr>
      <w:r>
        <w:rPr>
          <w:b/>
          <w:i/>
          <w:noProof/>
          <w:color w:val="FF0000"/>
        </w:rPr>
        <w:lastRenderedPageBreak/>
        <w:drawing>
          <wp:anchor distT="0" distB="0" distL="114300" distR="114300" simplePos="0" relativeHeight="251657728"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CD0037">
        <w:t>This assessment gathers evidence of learning for the following</w:t>
      </w:r>
      <w:r w:rsidR="00B34779" w:rsidRPr="0034474F">
        <w:t xml:space="preserve"> </w:t>
      </w:r>
      <w:r w:rsidR="00B34779" w:rsidRPr="009D15D5">
        <w:rPr>
          <w:b/>
        </w:rPr>
        <w:t>Essential Learnings</w:t>
      </w:r>
      <w:r w:rsidR="0097160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1"/>
        <w:gridCol w:w="5318"/>
      </w:tblGrid>
      <w:tr w:rsidR="00CD0037" w:rsidRPr="00750B88" w:rsidTr="00E72810">
        <w:trPr>
          <w:trHeight w:val="76"/>
          <w:jc w:val="center"/>
        </w:trPr>
        <w:tc>
          <w:tcPr>
            <w:tcW w:w="9639" w:type="dxa"/>
            <w:gridSpan w:val="2"/>
            <w:shd w:val="clear" w:color="auto" w:fill="E6E6E6"/>
          </w:tcPr>
          <w:p w:rsidR="00CD0037" w:rsidRPr="00750B88" w:rsidRDefault="00E87F9D" w:rsidP="00C20914">
            <w:pPr>
              <w:pStyle w:val="Heading2Table"/>
            </w:pPr>
            <w:r>
              <w:t>HPE</w:t>
            </w:r>
            <w:r w:rsidR="00CD0037" w:rsidRPr="00750B88">
              <w:tab/>
              <w:t xml:space="preserve">Essential Learnings by the end of Year </w:t>
            </w:r>
            <w:r>
              <w:t>9</w:t>
            </w:r>
          </w:p>
        </w:tc>
      </w:tr>
      <w:tr w:rsidR="00934842" w:rsidTr="00E72810">
        <w:trPr>
          <w:trHeight w:val="3454"/>
          <w:jc w:val="center"/>
        </w:trPr>
        <w:tc>
          <w:tcPr>
            <w:tcW w:w="4321" w:type="dxa"/>
          </w:tcPr>
          <w:p w:rsidR="00934842" w:rsidRPr="00A67D85" w:rsidRDefault="00934842" w:rsidP="002C1299">
            <w:pPr>
              <w:pStyle w:val="Heading3"/>
              <w:keepLines/>
            </w:pPr>
            <w:r w:rsidRPr="00A67D85">
              <w:t>Ways of working</w:t>
            </w:r>
          </w:p>
          <w:p w:rsidR="00934842" w:rsidRPr="00750B88" w:rsidRDefault="00934842" w:rsidP="008A37AF">
            <w:pPr>
              <w:pStyle w:val="Stem"/>
              <w:rPr>
                <w:b/>
              </w:rPr>
            </w:pPr>
            <w:r w:rsidRPr="00750B88">
              <w:rPr>
                <w:b/>
              </w:rPr>
              <w:t>Students are able to:</w:t>
            </w:r>
          </w:p>
          <w:p w:rsidR="00C874AB" w:rsidRPr="004E7A01" w:rsidRDefault="00C874AB" w:rsidP="00C874AB">
            <w:pPr>
              <w:pStyle w:val="Bulletslevel1"/>
            </w:pPr>
            <w:r w:rsidRPr="004E7A01">
              <w:t>research, analyse and evaluate data, information and evidence</w:t>
            </w:r>
          </w:p>
          <w:p w:rsidR="00C874AB" w:rsidRPr="004E7A01" w:rsidRDefault="00C874AB" w:rsidP="00C874AB">
            <w:pPr>
              <w:pStyle w:val="Bulletslevel1"/>
            </w:pPr>
            <w:r w:rsidRPr="004E7A01">
              <w:t>draw conclusions and make decisions to construct arguments</w:t>
            </w:r>
          </w:p>
          <w:p w:rsidR="00934842" w:rsidRPr="00A67D85" w:rsidRDefault="00C874AB" w:rsidP="00C874AB">
            <w:pPr>
              <w:pStyle w:val="Bulletslevel1"/>
            </w:pPr>
            <w:r w:rsidRPr="004E7A01">
              <w:t>propose, justify, implement and monitor plans or actions to achieve goals, address inequities and promote health and wellbeing, movement capacities and personal development</w:t>
            </w:r>
            <w:r>
              <w:t>.</w:t>
            </w:r>
          </w:p>
        </w:tc>
        <w:tc>
          <w:tcPr>
            <w:tcW w:w="5318" w:type="dxa"/>
          </w:tcPr>
          <w:p w:rsidR="00934842" w:rsidRDefault="00934842" w:rsidP="002C1299">
            <w:pPr>
              <w:pStyle w:val="Heading3"/>
              <w:keepLines/>
            </w:pPr>
            <w:r>
              <w:t>Knowledge and understanding</w:t>
            </w:r>
          </w:p>
          <w:p w:rsidR="00C874AB" w:rsidRPr="004E7A01" w:rsidRDefault="00C874AB" w:rsidP="00C874AB">
            <w:pPr>
              <w:pStyle w:val="Organiser"/>
            </w:pPr>
            <w:r w:rsidRPr="004E7A01">
              <w:t>Health</w:t>
            </w:r>
          </w:p>
          <w:p w:rsidR="00C874AB" w:rsidRPr="00C874AB" w:rsidRDefault="00C874AB" w:rsidP="00C874AB">
            <w:pPr>
              <w:rPr>
                <w:b/>
              </w:rPr>
            </w:pPr>
            <w:r w:rsidRPr="00C874AB">
              <w:rPr>
                <w:b/>
              </w:rPr>
              <w:t>Health is multidimensional and dynamic, and influenced by actions and environments.</w:t>
            </w:r>
          </w:p>
          <w:p w:rsidR="00C874AB" w:rsidRPr="004E7A01" w:rsidRDefault="00C874AB" w:rsidP="00C874AB">
            <w:pPr>
              <w:pStyle w:val="Bulletslevel1"/>
            </w:pPr>
            <w:r w:rsidRPr="004E7A01">
              <w:t>The interaction between personal, social, cultural and environmental factors influences health behaviours, including nutrition and physical activity choices</w:t>
            </w:r>
            <w:r w:rsidR="00CA0F60">
              <w:t>.</w:t>
            </w:r>
          </w:p>
          <w:p w:rsidR="00934842" w:rsidRDefault="00C874AB" w:rsidP="00C874AB">
            <w:pPr>
              <w:pStyle w:val="Bulletslevel1"/>
            </w:pPr>
            <w:r w:rsidRPr="004E7A01">
              <w:t>Adolescents can meet their specific nutritional needs through eating foods that reflect the dietary guidelines</w:t>
            </w:r>
            <w:r w:rsidR="00CA0F60">
              <w:t>.</w:t>
            </w:r>
          </w:p>
        </w:tc>
      </w:tr>
      <w:tr w:rsidR="00B34779" w:rsidRPr="00AD12C7" w:rsidTr="00E72810">
        <w:trPr>
          <w:trHeight w:val="1559"/>
          <w:jc w:val="center"/>
        </w:trPr>
        <w:tc>
          <w:tcPr>
            <w:tcW w:w="9639" w:type="dxa"/>
            <w:gridSpan w:val="2"/>
          </w:tcPr>
          <w:p w:rsidR="00B34779" w:rsidRDefault="00B34779" w:rsidP="002C1299">
            <w:pPr>
              <w:pStyle w:val="Heading3"/>
              <w:keepLines/>
            </w:pPr>
            <w:r>
              <w:t xml:space="preserve">Assessable </w:t>
            </w:r>
            <w:r w:rsidRPr="00AD12C7">
              <w:t>el</w:t>
            </w:r>
            <w:r>
              <w:t>ements</w:t>
            </w:r>
          </w:p>
          <w:p w:rsidR="00B34779" w:rsidRDefault="00CA0F60" w:rsidP="00F70F2F">
            <w:pPr>
              <w:pStyle w:val="Bulletslevel1"/>
              <w:keepNext/>
              <w:keepLines/>
            </w:pPr>
            <w:r>
              <w:t>Knowledge and understanding</w:t>
            </w:r>
          </w:p>
          <w:p w:rsidR="00CA0F60" w:rsidRDefault="00CA0F60" w:rsidP="00F70F2F">
            <w:pPr>
              <w:pStyle w:val="Bulletslevel1"/>
              <w:keepNext/>
              <w:keepLines/>
            </w:pPr>
            <w:r>
              <w:t>Implementing and applying</w:t>
            </w:r>
          </w:p>
          <w:p w:rsidR="00CA0F60" w:rsidRPr="00AD12C7" w:rsidRDefault="00CA0F60" w:rsidP="00F70F2F">
            <w:pPr>
              <w:pStyle w:val="Bulletslevel1"/>
              <w:keepNext/>
              <w:keepLines/>
            </w:pPr>
            <w:r>
              <w:t>Reflecting</w:t>
            </w:r>
          </w:p>
        </w:tc>
      </w:tr>
      <w:tr w:rsidR="00B34779" w:rsidRPr="00474B75" w:rsidTr="00E72810">
        <w:trPr>
          <w:trHeight w:val="76"/>
          <w:jc w:val="center"/>
        </w:trPr>
        <w:tc>
          <w:tcPr>
            <w:tcW w:w="9639" w:type="dxa"/>
            <w:gridSpan w:val="2"/>
          </w:tcPr>
          <w:p w:rsidR="00B34779" w:rsidRPr="00474B75" w:rsidRDefault="00B34779" w:rsidP="00474B75">
            <w:pPr>
              <w:pStyle w:val="Source"/>
            </w:pPr>
            <w:r w:rsidRPr="00474B75">
              <w:t xml:space="preserve">Source: </w:t>
            </w:r>
            <w:smartTag w:uri="urn:schemas-microsoft-com:office:smarttags" w:element="State">
              <w:r w:rsidRPr="00474B75">
                <w:t>Queensland</w:t>
              </w:r>
            </w:smartTag>
            <w:r w:rsidRPr="00474B75">
              <w:t xml:space="preserve"> Studies Authority </w:t>
            </w:r>
            <w:r w:rsidRPr="0054418E">
              <w:t>2007</w:t>
            </w:r>
            <w:r w:rsidRPr="00750B88">
              <w:t xml:space="preserve">, </w:t>
            </w:r>
            <w:r w:rsidR="00E87F9D">
              <w:rPr>
                <w:rStyle w:val="SourceTitleChar"/>
              </w:rPr>
              <w:t>HPE</w:t>
            </w:r>
            <w:r w:rsidRPr="00750B88">
              <w:rPr>
                <w:rStyle w:val="SourceTitleChar"/>
              </w:rPr>
              <w:t xml:space="preserve"> Essential Learnings by the end of Year </w:t>
            </w:r>
            <w:r w:rsidR="00E87F9D">
              <w:rPr>
                <w:rStyle w:val="SourceTitleChar"/>
              </w:rPr>
              <w:t>9</w:t>
            </w:r>
            <w:r w:rsidRPr="00750B88">
              <w:t xml:space="preserve">, QSA, </w:t>
            </w:r>
            <w:smartTag w:uri="urn:schemas-microsoft-com:office:smarttags" w:element="place">
              <w:smartTag w:uri="urn:schemas-microsoft-com:office:smarttags" w:element="City">
                <w:r w:rsidRPr="00750B88">
                  <w:t>Brisbane</w:t>
                </w:r>
              </w:smartTag>
            </w:smartTag>
            <w:r w:rsidRPr="00474B75">
              <w:t>.</w:t>
            </w:r>
          </w:p>
        </w:tc>
      </w:tr>
    </w:tbl>
    <w:p w:rsidR="00E8667A" w:rsidRDefault="00E8667A" w:rsidP="00E935F6"/>
    <w:p w:rsidR="008F3048" w:rsidRDefault="00E8667A" w:rsidP="008A37AF">
      <w:pPr>
        <w:pStyle w:val="Stem"/>
      </w:pPr>
      <w:r>
        <w:br w:type="page"/>
      </w:r>
      <w:r w:rsidR="006651E7">
        <w:lastRenderedPageBreak/>
        <w:t>Listed here are s</w:t>
      </w:r>
      <w:r w:rsidR="008F3048">
        <w:t xml:space="preserve">uggested </w:t>
      </w:r>
      <w:r w:rsidR="008F3048" w:rsidRPr="009D15D5">
        <w:t>learning experiences</w:t>
      </w:r>
      <w:r w:rsidR="008F3048">
        <w:t xml:space="preserve"> for students be</w:t>
      </w:r>
      <w:r w:rsidR="00D43BC1">
        <w:t>fore attempting this assessment.</w:t>
      </w:r>
    </w:p>
    <w:p w:rsidR="00780680" w:rsidRPr="004E7A01" w:rsidRDefault="00DB5D06" w:rsidP="00780680">
      <w:pPr>
        <w:pStyle w:val="Bulletslevel1"/>
      </w:pPr>
      <w:r>
        <w:rPr>
          <w:noProof/>
        </w:rPr>
        <w:drawing>
          <wp:anchor distT="0" distB="0" distL="114300" distR="114300" simplePos="0" relativeHeight="251659776"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45" name="Picture 45"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edesign headings_sequ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E1A5D">
        <w:t>Investigate</w:t>
      </w:r>
      <w:r w:rsidR="00BE1A5D" w:rsidRPr="00812702">
        <w:t xml:space="preserve"> the social, cultural and environmental influences on what happens to one food from primary sourc</w:t>
      </w:r>
      <w:r w:rsidR="00BE1A5D">
        <w:t xml:space="preserve">e (farm) to consumption (feast), for example, </w:t>
      </w:r>
      <w:r w:rsidR="00BE1A5D" w:rsidRPr="00812702">
        <w:t>milk to milk products</w:t>
      </w:r>
      <w:r w:rsidR="00BE1A5D">
        <w:t>,</w:t>
      </w:r>
      <w:r w:rsidR="00BE1A5D" w:rsidRPr="00812702">
        <w:t xml:space="preserve"> or peanuts to peanut products</w:t>
      </w:r>
      <w:r w:rsidR="00BE1A5D">
        <w:t>.</w:t>
      </w:r>
      <w:r w:rsidR="00780680" w:rsidRPr="004E7A01">
        <w:t xml:space="preserve"> If the students </w:t>
      </w:r>
      <w:r w:rsidR="00BE1A5D">
        <w:t xml:space="preserve">have </w:t>
      </w:r>
      <w:r w:rsidR="00780680" w:rsidRPr="004E7A01">
        <w:t xml:space="preserve">completed </w:t>
      </w:r>
      <w:r w:rsidR="00BE1A5D">
        <w:t>“F</w:t>
      </w:r>
      <w:r w:rsidR="00780680" w:rsidRPr="004E7A01">
        <w:t xml:space="preserve">arm to feast 1 </w:t>
      </w:r>
      <w:r w:rsidR="00BE1A5D">
        <w:t xml:space="preserve">— </w:t>
      </w:r>
      <w:r w:rsidR="00780680" w:rsidRPr="004E7A01">
        <w:t>investigation</w:t>
      </w:r>
      <w:r w:rsidR="00BE1A5D">
        <w:t>”</w:t>
      </w:r>
      <w:r w:rsidR="00780680" w:rsidRPr="004E7A01">
        <w:t xml:space="preserve">, they can use the information they researched for </w:t>
      </w:r>
      <w:r w:rsidR="007226A3">
        <w:t xml:space="preserve">this </w:t>
      </w:r>
      <w:r w:rsidR="00780680" w:rsidRPr="004E7A01">
        <w:t>assessment.</w:t>
      </w:r>
    </w:p>
    <w:p w:rsidR="00780680" w:rsidRPr="004E7A01" w:rsidRDefault="002D65BA" w:rsidP="00780680">
      <w:pPr>
        <w:pStyle w:val="Bulletslevel1"/>
      </w:pPr>
      <w:r>
        <w:t>Discuss s</w:t>
      </w:r>
      <w:r w:rsidR="00780680" w:rsidRPr="004E7A01">
        <w:t>pecific research for the</w:t>
      </w:r>
      <w:r w:rsidR="007226A3">
        <w:t xml:space="preserve"> assessment</w:t>
      </w:r>
      <w:r>
        <w:t xml:space="preserve">, such as </w:t>
      </w:r>
      <w:r w:rsidR="00780680" w:rsidRPr="004E7A01">
        <w:t>narrowing the search field and finding relevant information</w:t>
      </w:r>
      <w:r w:rsidR="00780680">
        <w:t>.</w:t>
      </w:r>
    </w:p>
    <w:p w:rsidR="00780680" w:rsidRPr="004E7A01" w:rsidRDefault="00780680" w:rsidP="00780680">
      <w:pPr>
        <w:pStyle w:val="Bulletslevel1"/>
      </w:pPr>
      <w:r w:rsidRPr="004E7A01">
        <w:t xml:space="preserve">Research the Australian Guide to Healthy Eating and the Healthy Active Campaign </w:t>
      </w:r>
      <w:r>
        <w:t>to gather essential information.</w:t>
      </w:r>
    </w:p>
    <w:p w:rsidR="00780680" w:rsidRPr="004E7A01" w:rsidRDefault="002D65BA" w:rsidP="00780680">
      <w:pPr>
        <w:pStyle w:val="Bulletslevel1"/>
      </w:pPr>
      <w:r>
        <w:t>Revise g</w:t>
      </w:r>
      <w:r w:rsidR="00780680" w:rsidRPr="004E7A01">
        <w:t>enre and formatting for a media report</w:t>
      </w:r>
      <w:r w:rsidR="00780680">
        <w:t>.</w:t>
      </w:r>
    </w:p>
    <w:p w:rsidR="00780680" w:rsidRPr="004E7A01" w:rsidRDefault="002D65BA" w:rsidP="00780680">
      <w:pPr>
        <w:pStyle w:val="Bulletslevel1"/>
      </w:pPr>
      <w:r>
        <w:t xml:space="preserve">Examine </w:t>
      </w:r>
      <w:r w:rsidR="00780680" w:rsidRPr="004E7A01">
        <w:t xml:space="preserve">The Ottawa Charter for Health Promotion </w:t>
      </w:r>
      <w:r w:rsidR="00BE1A5D">
        <w:t xml:space="preserve">to provide </w:t>
      </w:r>
      <w:r w:rsidR="00780680" w:rsidRPr="004E7A01">
        <w:t>students wi</w:t>
      </w:r>
      <w:r w:rsidR="00BE1A5D">
        <w:t xml:space="preserve">th </w:t>
      </w:r>
      <w:r w:rsidR="00780680" w:rsidRPr="004E7A01">
        <w:t>a basic understanding of the social view of health and the five areas for action in health promotion</w:t>
      </w:r>
      <w:r w:rsidR="00780680">
        <w:t>.</w:t>
      </w:r>
    </w:p>
    <w:p w:rsidR="00780680" w:rsidRDefault="002D65BA" w:rsidP="00780680">
      <w:pPr>
        <w:pStyle w:val="Bulletslevel1"/>
      </w:pPr>
      <w:r>
        <w:t xml:space="preserve">Guide students on how to ask </w:t>
      </w:r>
      <w:r w:rsidR="00780680" w:rsidRPr="004E7A01">
        <w:t xml:space="preserve">productive questions </w:t>
      </w:r>
      <w:r>
        <w:t>i</w:t>
      </w:r>
      <w:r w:rsidR="00780680" w:rsidRPr="004E7A01">
        <w:t>n an interview</w:t>
      </w:r>
      <w:r>
        <w:t>, including open-</w:t>
      </w:r>
      <w:r w:rsidR="00780680" w:rsidRPr="004E7A01">
        <w:t xml:space="preserve">ended </w:t>
      </w:r>
      <w:r w:rsidRPr="004E7A01">
        <w:t>questions that</w:t>
      </w:r>
      <w:r w:rsidR="00780680" w:rsidRPr="004E7A01">
        <w:t xml:space="preserve"> </w:t>
      </w:r>
      <w:r>
        <w:t>elicit</w:t>
      </w:r>
      <w:r w:rsidR="00780680" w:rsidRPr="004E7A01">
        <w:t xml:space="preserve"> the information the students need to inform their research. The students will use this technique for suggested field reporting segments of their </w:t>
      </w:r>
      <w:r w:rsidR="007226A3">
        <w:t>media</w:t>
      </w:r>
      <w:r w:rsidR="00780680" w:rsidRPr="004E7A01">
        <w:t xml:space="preserve"> report.</w:t>
      </w:r>
    </w:p>
    <w:tbl>
      <w:tblPr>
        <w:tblW w:w="9639" w:type="dxa"/>
        <w:tblLook w:val="01E0" w:firstRow="1" w:lastRow="1" w:firstColumn="1" w:lastColumn="1" w:noHBand="0" w:noVBand="0"/>
      </w:tblPr>
      <w:tblGrid>
        <w:gridCol w:w="1086"/>
        <w:gridCol w:w="8553"/>
      </w:tblGrid>
      <w:tr w:rsidR="00C61C2F" w:rsidRPr="008814B0" w:rsidTr="00780680">
        <w:trPr>
          <w:trHeight w:val="870"/>
        </w:trPr>
        <w:tc>
          <w:tcPr>
            <w:tcW w:w="557" w:type="pct"/>
          </w:tcPr>
          <w:p w:rsidR="00C61C2F" w:rsidRPr="000B2F55" w:rsidRDefault="00DB5D06" w:rsidP="00C20914">
            <w:pPr>
              <w:spacing w:before="0" w:after="0" w:line="240" w:lineRule="auto"/>
            </w:pPr>
            <w:r>
              <w:rPr>
                <w:noProof/>
              </w:rPr>
              <w:drawing>
                <wp:inline distT="0" distB="0" distL="0" distR="0">
                  <wp:extent cx="542925" cy="542925"/>
                  <wp:effectExtent l="0" t="0" r="9525" b="0"/>
                  <wp:docPr id="2"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3" w:type="pct"/>
            <w:vAlign w:val="center"/>
          </w:tcPr>
          <w:p w:rsidR="00C61C2F" w:rsidRPr="008814B0" w:rsidRDefault="00C61C2F" w:rsidP="00AB2C0A">
            <w:pPr>
              <w:pStyle w:val="Heading2"/>
              <w:spacing w:before="0" w:after="0"/>
            </w:pPr>
            <w:r w:rsidRPr="00B03C83">
              <w:rPr>
                <w:noProof/>
              </w:rPr>
              <w:t>Teacher resources</w:t>
            </w:r>
          </w:p>
        </w:tc>
      </w:tr>
    </w:tbl>
    <w:p w:rsidR="00B777E9" w:rsidRDefault="00BE1A5D" w:rsidP="00B777E9">
      <w:pPr>
        <w:rPr>
          <w:rStyle w:val="Publishingnote"/>
          <w:b w:val="0"/>
          <w:i w:val="0"/>
          <w:color w:val="auto"/>
        </w:rPr>
      </w:pPr>
      <w:r>
        <w:t>“</w:t>
      </w:r>
      <w:r w:rsidR="00B777E9" w:rsidRPr="00B777E9">
        <w:t>The Ottawa Charter on Health Promotion</w:t>
      </w:r>
      <w:r>
        <w:t xml:space="preserve">”, </w:t>
      </w:r>
      <w:r w:rsidRPr="00B777E9">
        <w:t>The World Health Organisation</w:t>
      </w:r>
      <w:r>
        <w:t xml:space="preserve">, </w:t>
      </w:r>
      <w:r w:rsidR="00B777E9" w:rsidRPr="00B777E9">
        <w:t>accessed 24 March 2008</w:t>
      </w:r>
      <w:r w:rsidR="007226A3">
        <w:t>,</w:t>
      </w:r>
      <w:r w:rsidR="00B777E9" w:rsidRPr="00B777E9">
        <w:t xml:space="preserve"> </w:t>
      </w:r>
      <w:r w:rsidR="00B777E9">
        <w:t>&lt;</w:t>
      </w:r>
      <w:r w:rsidR="00B777E9" w:rsidRPr="00B777E9">
        <w:t>www.wpro.who.int/NR/rdonlyres/798A711D-DC30-4E27-8DD6-19561EB969CC/0/</w:t>
      </w:r>
      <w:r w:rsidR="00B777E9">
        <w:br/>
      </w:r>
      <w:r w:rsidR="00B777E9" w:rsidRPr="00B777E9">
        <w:t>ottawa_charter.pdf</w:t>
      </w:r>
      <w:r w:rsidR="00B777E9">
        <w:t>&gt;.</w:t>
      </w:r>
    </w:p>
    <w:p w:rsidR="00233FC0" w:rsidRDefault="00DB5D06" w:rsidP="007226A3">
      <w:pPr>
        <w:pStyle w:val="Heading2"/>
        <w:pageBreakBefore/>
        <w:spacing w:before="0" w:after="80"/>
      </w:pPr>
      <w:r>
        <w:rPr>
          <w:noProof/>
        </w:rPr>
        <w:drawing>
          <wp:anchor distT="0" distB="0" distL="114300" distR="114300" simplePos="0" relativeHeight="251655680" behindDoc="0" locked="0" layoutInCell="1" allowOverlap="1">
            <wp:simplePos x="0" y="0"/>
            <wp:positionH relativeFrom="page">
              <wp:posOffset>491490</wp:posOffset>
            </wp:positionH>
            <wp:positionV relativeFrom="paragraph">
              <wp:posOffset>-128270</wp:posOffset>
            </wp:positionV>
            <wp:extent cx="6713220" cy="1319530"/>
            <wp:effectExtent l="0" t="0" r="0" b="0"/>
            <wp:wrapSquare wrapText="bothSides"/>
            <wp:docPr id="17" name="Picture 17"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design headings_develo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33FC0">
        <w:t>Sample implementation plan</w:t>
      </w:r>
    </w:p>
    <w:p w:rsidR="00216C8D" w:rsidRDefault="00216C8D" w:rsidP="007226A3">
      <w:pPr>
        <w:spacing w:before="40" w:after="80"/>
      </w:pPr>
      <w:r>
        <w:t xml:space="preserve">This table shows one way that this </w:t>
      </w:r>
      <w:r w:rsidR="00233FC0">
        <w:t>assessment</w:t>
      </w:r>
      <w:r>
        <w:t xml:space="preserve"> can be implemented. It is a guide only — </w:t>
      </w:r>
      <w:r w:rsidR="00233FC0">
        <w:t>you</w:t>
      </w:r>
      <w:r>
        <w:t xml:space="preserve"> may choose to use all, part, or none of the table. </w:t>
      </w:r>
      <w:r w:rsidR="00233FC0">
        <w:t>You</w:t>
      </w:r>
      <w:r>
        <w:t xml:space="preserve"> may customise the table to suit </w:t>
      </w:r>
      <w:r w:rsidR="00233FC0">
        <w:t>your</w:t>
      </w:r>
      <w:r>
        <w:t xml:space="preserve"> studen</w:t>
      </w:r>
      <w:r w:rsidR="00233FC0">
        <w:t>ts and their school environment.</w:t>
      </w:r>
    </w:p>
    <w:p w:rsidR="00913D2F" w:rsidRPr="00913D2F" w:rsidRDefault="007226A3" w:rsidP="007226A3">
      <w:pPr>
        <w:spacing w:before="0"/>
        <w:rPr>
          <w:b/>
        </w:rPr>
      </w:pPr>
      <w:r>
        <w:rPr>
          <w:b/>
        </w:rPr>
        <w:t>Suggest</w:t>
      </w:r>
      <w:r w:rsidR="00913D2F" w:rsidRPr="00913D2F">
        <w:rPr>
          <w:b/>
        </w:rPr>
        <w:t xml:space="preserve">ed </w:t>
      </w:r>
      <w:r w:rsidR="00913D2F">
        <w:rPr>
          <w:b/>
        </w:rPr>
        <w:t>i</w:t>
      </w:r>
      <w:r w:rsidR="00913D2F" w:rsidRPr="00913D2F">
        <w:rPr>
          <w:b/>
        </w:rPr>
        <w:t xml:space="preserve">mplementation if using this assessment as part of the </w:t>
      </w:r>
      <w:r w:rsidR="002D65BA">
        <w:rPr>
          <w:b/>
        </w:rPr>
        <w:t>“</w:t>
      </w:r>
      <w:r w:rsidR="00913D2F" w:rsidRPr="00913D2F">
        <w:rPr>
          <w:b/>
        </w:rPr>
        <w:t>Farm to feast</w:t>
      </w:r>
      <w:r w:rsidR="002D65BA">
        <w:rPr>
          <w:b/>
        </w:rPr>
        <w:t>” suite</w:t>
      </w:r>
      <w:r>
        <w:rPr>
          <w:b/>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1"/>
        <w:gridCol w:w="4860"/>
        <w:gridCol w:w="2798"/>
      </w:tblGrid>
      <w:tr w:rsidR="00216C8D" w:rsidRPr="009D15D5" w:rsidTr="007226A3">
        <w:trPr>
          <w:jc w:val="center"/>
        </w:trPr>
        <w:tc>
          <w:tcPr>
            <w:tcW w:w="1981" w:type="dxa"/>
            <w:shd w:val="clear" w:color="auto" w:fill="CCCCCC"/>
          </w:tcPr>
          <w:p w:rsidR="00216C8D" w:rsidRPr="009D15D5" w:rsidRDefault="00216C8D" w:rsidP="00C11F18">
            <w:pPr>
              <w:keepNext/>
              <w:spacing w:before="120" w:after="120"/>
              <w:rPr>
                <w:b/>
              </w:rPr>
            </w:pPr>
            <w:r w:rsidRPr="009D15D5">
              <w:rPr>
                <w:b/>
              </w:rPr>
              <w:t>Suggested time</w:t>
            </w:r>
          </w:p>
        </w:tc>
        <w:tc>
          <w:tcPr>
            <w:tcW w:w="4860" w:type="dxa"/>
            <w:shd w:val="clear" w:color="auto" w:fill="CCCCCC"/>
          </w:tcPr>
          <w:p w:rsidR="00216C8D" w:rsidRPr="009D15D5" w:rsidRDefault="00216C8D" w:rsidP="00C11F18">
            <w:pPr>
              <w:keepNext/>
              <w:spacing w:before="120" w:after="120"/>
              <w:rPr>
                <w:b/>
              </w:rPr>
            </w:pPr>
            <w:r w:rsidRPr="009D15D5">
              <w:rPr>
                <w:b/>
              </w:rPr>
              <w:t>Student activity</w:t>
            </w:r>
          </w:p>
        </w:tc>
        <w:tc>
          <w:tcPr>
            <w:tcW w:w="2798" w:type="dxa"/>
            <w:shd w:val="clear" w:color="auto" w:fill="CCCCCC"/>
          </w:tcPr>
          <w:p w:rsidR="00216C8D" w:rsidRPr="009D15D5" w:rsidRDefault="00216C8D" w:rsidP="00C11F18">
            <w:pPr>
              <w:keepNext/>
              <w:spacing w:before="120" w:after="120"/>
              <w:rPr>
                <w:b/>
              </w:rPr>
            </w:pPr>
            <w:r w:rsidRPr="009D15D5">
              <w:rPr>
                <w:b/>
              </w:rPr>
              <w:t>Teacher role</w:t>
            </w:r>
          </w:p>
        </w:tc>
      </w:tr>
      <w:tr w:rsidR="00C11F18" w:rsidRPr="009D15D5">
        <w:trPr>
          <w:jc w:val="center"/>
        </w:trPr>
        <w:tc>
          <w:tcPr>
            <w:tcW w:w="9639" w:type="dxa"/>
            <w:gridSpan w:val="3"/>
            <w:shd w:val="clear" w:color="auto" w:fill="E6E6E6"/>
          </w:tcPr>
          <w:p w:rsidR="00C11F18" w:rsidRPr="009D15D5" w:rsidRDefault="00C11F18" w:rsidP="00C11F18">
            <w:pPr>
              <w:keepNext/>
              <w:spacing w:before="120" w:after="120"/>
              <w:rPr>
                <w:b/>
              </w:rPr>
            </w:pPr>
            <w:r w:rsidRPr="009D15D5">
              <w:rPr>
                <w:b/>
              </w:rPr>
              <w:t xml:space="preserve">Section 1. </w:t>
            </w:r>
            <w:r w:rsidR="00120B6F">
              <w:rPr>
                <w:b/>
              </w:rPr>
              <w:t>Media report</w:t>
            </w:r>
          </w:p>
        </w:tc>
      </w:tr>
      <w:tr w:rsidR="00CC30D1" w:rsidTr="007226A3">
        <w:trPr>
          <w:jc w:val="center"/>
        </w:trPr>
        <w:tc>
          <w:tcPr>
            <w:tcW w:w="1981" w:type="dxa"/>
          </w:tcPr>
          <w:p w:rsidR="00CC30D1" w:rsidRPr="00D83069" w:rsidRDefault="00CC30D1" w:rsidP="008611BE">
            <w:r w:rsidRPr="00D83069">
              <w:t xml:space="preserve">30 minute </w:t>
            </w:r>
          </w:p>
        </w:tc>
        <w:tc>
          <w:tcPr>
            <w:tcW w:w="4860" w:type="dxa"/>
          </w:tcPr>
          <w:p w:rsidR="00CC30D1" w:rsidRPr="00D83069" w:rsidRDefault="00CC30D1" w:rsidP="008611BE">
            <w:r>
              <w:t>Review</w:t>
            </w:r>
            <w:r w:rsidRPr="00D83069">
              <w:t xml:space="preserve"> influences on food choices and eating behaviours and health promotion action</w:t>
            </w:r>
            <w:r w:rsidR="00021C5F">
              <w:t>.</w:t>
            </w:r>
          </w:p>
        </w:tc>
        <w:tc>
          <w:tcPr>
            <w:tcW w:w="2798" w:type="dxa"/>
          </w:tcPr>
          <w:p w:rsidR="00CC30D1" w:rsidRPr="00D83069" w:rsidRDefault="00CC30D1" w:rsidP="008611BE">
            <w:r w:rsidRPr="00D83069">
              <w:t>Facilitate, support, guide</w:t>
            </w:r>
            <w:r w:rsidR="00D94C7C">
              <w:t>.</w:t>
            </w:r>
          </w:p>
        </w:tc>
      </w:tr>
      <w:tr w:rsidR="00CC30D1" w:rsidTr="007226A3">
        <w:trPr>
          <w:jc w:val="center"/>
        </w:trPr>
        <w:tc>
          <w:tcPr>
            <w:tcW w:w="1981" w:type="dxa"/>
          </w:tcPr>
          <w:p w:rsidR="00CC30D1" w:rsidRPr="00D83069" w:rsidRDefault="00CC30D1" w:rsidP="008611BE">
            <w:r w:rsidRPr="00D83069">
              <w:t>45 minutes</w:t>
            </w:r>
          </w:p>
        </w:tc>
        <w:tc>
          <w:tcPr>
            <w:tcW w:w="4860" w:type="dxa"/>
          </w:tcPr>
          <w:p w:rsidR="00CC30D1" w:rsidRPr="00D83069" w:rsidRDefault="00CC30D1" w:rsidP="008611BE">
            <w:r>
              <w:t>P</w:t>
            </w:r>
            <w:r w:rsidR="007226A3">
              <w:t>repare media report</w:t>
            </w:r>
            <w:r w:rsidRPr="00D83069">
              <w:t xml:space="preserve"> </w:t>
            </w:r>
            <w:r>
              <w:t>—</w:t>
            </w:r>
            <w:r w:rsidRPr="00D83069">
              <w:t xml:space="preserve"> could be completed under exam conditions with research notes permitted</w:t>
            </w:r>
            <w:r w:rsidR="00021C5F">
              <w:t>.</w:t>
            </w:r>
          </w:p>
        </w:tc>
        <w:tc>
          <w:tcPr>
            <w:tcW w:w="2798" w:type="dxa"/>
          </w:tcPr>
          <w:p w:rsidR="00CC30D1" w:rsidRPr="00D83069" w:rsidRDefault="00CC30D1" w:rsidP="008611BE">
            <w:r w:rsidRPr="00D83069">
              <w:t>Facilitate, support, guide</w:t>
            </w:r>
            <w:r w:rsidR="00D94C7C">
              <w:t>.</w:t>
            </w:r>
          </w:p>
        </w:tc>
      </w:tr>
      <w:tr w:rsidR="00CC30D1" w:rsidTr="007226A3">
        <w:trPr>
          <w:jc w:val="center"/>
        </w:trPr>
        <w:tc>
          <w:tcPr>
            <w:tcW w:w="1981" w:type="dxa"/>
          </w:tcPr>
          <w:p w:rsidR="00CC30D1" w:rsidRPr="00D83069" w:rsidRDefault="00CC30D1" w:rsidP="008611BE">
            <w:r w:rsidRPr="00D83069">
              <w:t xml:space="preserve">3 minutes </w:t>
            </w:r>
            <w:r w:rsidR="007226A3">
              <w:t xml:space="preserve">per student </w:t>
            </w:r>
            <w:r w:rsidRPr="00D83069">
              <w:t>maximum</w:t>
            </w:r>
          </w:p>
        </w:tc>
        <w:tc>
          <w:tcPr>
            <w:tcW w:w="4860" w:type="dxa"/>
          </w:tcPr>
          <w:p w:rsidR="00CC30D1" w:rsidRPr="00D83069" w:rsidRDefault="00CC30D1" w:rsidP="008611BE">
            <w:r>
              <w:t>P</w:t>
            </w:r>
            <w:r w:rsidR="007226A3">
              <w:t>resent the</w:t>
            </w:r>
            <w:r w:rsidRPr="00D83069">
              <w:t xml:space="preserve"> media report</w:t>
            </w:r>
            <w:r w:rsidR="00021C5F">
              <w:t>.</w:t>
            </w:r>
          </w:p>
        </w:tc>
        <w:tc>
          <w:tcPr>
            <w:tcW w:w="2798" w:type="dxa"/>
          </w:tcPr>
          <w:p w:rsidR="00CC30D1" w:rsidRPr="00D83069" w:rsidRDefault="00CC30D1" w:rsidP="008611BE">
            <w:r w:rsidRPr="00D83069">
              <w:t>Facilitate</w:t>
            </w:r>
            <w:r w:rsidR="00D94C7C">
              <w:t>.</w:t>
            </w:r>
          </w:p>
        </w:tc>
      </w:tr>
      <w:tr w:rsidR="00C11F18" w:rsidRPr="009D15D5">
        <w:trPr>
          <w:jc w:val="center"/>
        </w:trPr>
        <w:tc>
          <w:tcPr>
            <w:tcW w:w="9639" w:type="dxa"/>
            <w:gridSpan w:val="3"/>
            <w:shd w:val="clear" w:color="auto" w:fill="E6E6E6"/>
          </w:tcPr>
          <w:p w:rsidR="00C11F18" w:rsidRPr="009D15D5" w:rsidRDefault="00C11F18" w:rsidP="00C11F18">
            <w:pPr>
              <w:keepNext/>
              <w:spacing w:before="120" w:after="120"/>
              <w:rPr>
                <w:b/>
              </w:rPr>
            </w:pPr>
            <w:r w:rsidRPr="009D15D5">
              <w:rPr>
                <w:b/>
              </w:rPr>
              <w:t xml:space="preserve">Section 2. </w:t>
            </w:r>
            <w:r w:rsidR="00120B6F">
              <w:rPr>
                <w:b/>
              </w:rPr>
              <w:t>Reflection</w:t>
            </w:r>
          </w:p>
        </w:tc>
      </w:tr>
      <w:tr w:rsidR="00CC30D1" w:rsidTr="007226A3">
        <w:trPr>
          <w:jc w:val="center"/>
        </w:trPr>
        <w:tc>
          <w:tcPr>
            <w:tcW w:w="1981" w:type="dxa"/>
          </w:tcPr>
          <w:p w:rsidR="00CC30D1" w:rsidRPr="00D83069" w:rsidRDefault="00CC30D1" w:rsidP="008611BE">
            <w:r w:rsidRPr="00D83069">
              <w:t>15 to 20</w:t>
            </w:r>
            <w:r w:rsidR="00D94C7C">
              <w:t xml:space="preserve"> </w:t>
            </w:r>
            <w:r w:rsidRPr="00D83069">
              <w:t xml:space="preserve">minutes </w:t>
            </w:r>
          </w:p>
        </w:tc>
        <w:tc>
          <w:tcPr>
            <w:tcW w:w="4860" w:type="dxa"/>
          </w:tcPr>
          <w:p w:rsidR="00CC30D1" w:rsidRPr="00D83069" w:rsidRDefault="00021C5F" w:rsidP="008611BE">
            <w:r>
              <w:t>C</w:t>
            </w:r>
            <w:r w:rsidR="00CC30D1" w:rsidRPr="00D83069">
              <w:t>omplete a written or oral reflection</w:t>
            </w:r>
            <w:r w:rsidR="007226A3">
              <w:t>.</w:t>
            </w:r>
          </w:p>
        </w:tc>
        <w:tc>
          <w:tcPr>
            <w:tcW w:w="2798" w:type="dxa"/>
          </w:tcPr>
          <w:p w:rsidR="00CC30D1" w:rsidRPr="00D83069" w:rsidRDefault="00CC30D1" w:rsidP="008611BE">
            <w:r w:rsidRPr="00D83069">
              <w:t>Facilitate, support, guide</w:t>
            </w:r>
            <w:r w:rsidR="00D94C7C">
              <w:t>.</w:t>
            </w:r>
          </w:p>
        </w:tc>
      </w:tr>
    </w:tbl>
    <w:p w:rsidR="00913D2F" w:rsidRPr="00913D2F" w:rsidRDefault="007226A3" w:rsidP="007226A3">
      <w:pPr>
        <w:spacing w:before="160" w:after="80"/>
        <w:rPr>
          <w:b/>
        </w:rPr>
      </w:pPr>
      <w:r>
        <w:rPr>
          <w:b/>
        </w:rPr>
        <w:t>Suggest</w:t>
      </w:r>
      <w:r w:rsidR="00913D2F" w:rsidRPr="00913D2F">
        <w:rPr>
          <w:b/>
        </w:rPr>
        <w:t xml:space="preserve">ed </w:t>
      </w:r>
      <w:r w:rsidR="00913D2F">
        <w:rPr>
          <w:b/>
        </w:rPr>
        <w:t>i</w:t>
      </w:r>
      <w:r w:rsidR="00913D2F" w:rsidRPr="00913D2F">
        <w:rPr>
          <w:b/>
        </w:rPr>
        <w:t xml:space="preserve">mplementation </w:t>
      </w:r>
      <w:r w:rsidR="002D65BA">
        <w:rPr>
          <w:b/>
        </w:rPr>
        <w:t>as a stand-alone assessment</w:t>
      </w:r>
      <w:r>
        <w:rPr>
          <w:b/>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1"/>
        <w:gridCol w:w="4860"/>
        <w:gridCol w:w="2798"/>
      </w:tblGrid>
      <w:tr w:rsidR="00913D2F" w:rsidRPr="009D15D5" w:rsidTr="007226A3">
        <w:trPr>
          <w:jc w:val="center"/>
        </w:trPr>
        <w:tc>
          <w:tcPr>
            <w:tcW w:w="1981" w:type="dxa"/>
            <w:shd w:val="clear" w:color="auto" w:fill="CCCCCC"/>
          </w:tcPr>
          <w:p w:rsidR="00913D2F" w:rsidRPr="009D15D5" w:rsidRDefault="00913D2F" w:rsidP="008611BE">
            <w:pPr>
              <w:keepNext/>
              <w:spacing w:before="120" w:after="120"/>
              <w:rPr>
                <w:b/>
              </w:rPr>
            </w:pPr>
            <w:r w:rsidRPr="009D15D5">
              <w:rPr>
                <w:b/>
              </w:rPr>
              <w:t>Suggested time</w:t>
            </w:r>
          </w:p>
        </w:tc>
        <w:tc>
          <w:tcPr>
            <w:tcW w:w="4860" w:type="dxa"/>
            <w:shd w:val="clear" w:color="auto" w:fill="CCCCCC"/>
          </w:tcPr>
          <w:p w:rsidR="00913D2F" w:rsidRPr="009D15D5" w:rsidRDefault="00913D2F" w:rsidP="008611BE">
            <w:pPr>
              <w:keepNext/>
              <w:spacing w:before="120" w:after="120"/>
              <w:rPr>
                <w:b/>
              </w:rPr>
            </w:pPr>
            <w:r w:rsidRPr="009D15D5">
              <w:rPr>
                <w:b/>
              </w:rPr>
              <w:t>Student activity</w:t>
            </w:r>
          </w:p>
        </w:tc>
        <w:tc>
          <w:tcPr>
            <w:tcW w:w="2798" w:type="dxa"/>
            <w:shd w:val="clear" w:color="auto" w:fill="CCCCCC"/>
          </w:tcPr>
          <w:p w:rsidR="00913D2F" w:rsidRPr="009D15D5" w:rsidRDefault="00913D2F" w:rsidP="008611BE">
            <w:pPr>
              <w:keepNext/>
              <w:spacing w:before="120" w:after="120"/>
              <w:rPr>
                <w:b/>
              </w:rPr>
            </w:pPr>
            <w:r w:rsidRPr="009D15D5">
              <w:rPr>
                <w:b/>
              </w:rPr>
              <w:t>Teacher role</w:t>
            </w:r>
          </w:p>
        </w:tc>
      </w:tr>
      <w:tr w:rsidR="00913D2F" w:rsidRPr="009D15D5" w:rsidTr="008611BE">
        <w:trPr>
          <w:jc w:val="center"/>
        </w:trPr>
        <w:tc>
          <w:tcPr>
            <w:tcW w:w="9639" w:type="dxa"/>
            <w:gridSpan w:val="3"/>
            <w:shd w:val="clear" w:color="auto" w:fill="E6E6E6"/>
          </w:tcPr>
          <w:p w:rsidR="00913D2F" w:rsidRPr="009D15D5" w:rsidRDefault="00913D2F" w:rsidP="008611BE">
            <w:pPr>
              <w:keepNext/>
              <w:spacing w:before="120" w:after="120"/>
              <w:rPr>
                <w:b/>
              </w:rPr>
            </w:pPr>
            <w:r w:rsidRPr="009D15D5">
              <w:rPr>
                <w:b/>
              </w:rPr>
              <w:t xml:space="preserve">Section 1. </w:t>
            </w:r>
            <w:r>
              <w:rPr>
                <w:b/>
              </w:rPr>
              <w:t>Media report</w:t>
            </w:r>
          </w:p>
        </w:tc>
      </w:tr>
      <w:tr w:rsidR="00D70407" w:rsidTr="007226A3">
        <w:trPr>
          <w:jc w:val="center"/>
        </w:trPr>
        <w:tc>
          <w:tcPr>
            <w:tcW w:w="1981" w:type="dxa"/>
          </w:tcPr>
          <w:p w:rsidR="00D70407" w:rsidRPr="00D83069" w:rsidRDefault="00D70407" w:rsidP="008611BE">
            <w:r w:rsidRPr="00D83069">
              <w:t>60</w:t>
            </w:r>
            <w:r w:rsidR="00D94C7C">
              <w:t xml:space="preserve"> </w:t>
            </w:r>
            <w:r w:rsidRPr="00D83069">
              <w:t>minutes</w:t>
            </w:r>
          </w:p>
        </w:tc>
        <w:tc>
          <w:tcPr>
            <w:tcW w:w="4860" w:type="dxa"/>
          </w:tcPr>
          <w:p w:rsidR="00D70407" w:rsidRPr="00D83069" w:rsidRDefault="00D70407" w:rsidP="008611BE">
            <w:r>
              <w:t>Research or review</w:t>
            </w:r>
            <w:r w:rsidRPr="00D83069">
              <w:t xml:space="preserve"> influences on food choices and eating behaviours</w:t>
            </w:r>
            <w:r>
              <w:t>.</w:t>
            </w:r>
          </w:p>
        </w:tc>
        <w:tc>
          <w:tcPr>
            <w:tcW w:w="2798" w:type="dxa"/>
          </w:tcPr>
          <w:p w:rsidR="00D70407" w:rsidRPr="00D83069" w:rsidRDefault="00D70407" w:rsidP="008611BE">
            <w:r w:rsidRPr="00D83069">
              <w:t>Facilitate, support, guide</w:t>
            </w:r>
            <w:r w:rsidR="00D94C7C">
              <w:t>.</w:t>
            </w:r>
          </w:p>
        </w:tc>
      </w:tr>
      <w:tr w:rsidR="00D70407" w:rsidTr="007226A3">
        <w:trPr>
          <w:jc w:val="center"/>
        </w:trPr>
        <w:tc>
          <w:tcPr>
            <w:tcW w:w="1981" w:type="dxa"/>
          </w:tcPr>
          <w:p w:rsidR="00D70407" w:rsidRPr="00D83069" w:rsidRDefault="00D70407" w:rsidP="008611BE">
            <w:r w:rsidRPr="00D83069">
              <w:t>60 minutes</w:t>
            </w:r>
          </w:p>
        </w:tc>
        <w:tc>
          <w:tcPr>
            <w:tcW w:w="4860" w:type="dxa"/>
          </w:tcPr>
          <w:p w:rsidR="00D70407" w:rsidRPr="00D83069" w:rsidRDefault="00D70407" w:rsidP="008611BE">
            <w:r>
              <w:t>Research and learn</w:t>
            </w:r>
            <w:r w:rsidRPr="00D83069">
              <w:t xml:space="preserve"> about health promotion action</w:t>
            </w:r>
            <w:r>
              <w:t>.</w:t>
            </w:r>
          </w:p>
        </w:tc>
        <w:tc>
          <w:tcPr>
            <w:tcW w:w="2798" w:type="dxa"/>
          </w:tcPr>
          <w:p w:rsidR="00D70407" w:rsidRPr="00D83069" w:rsidRDefault="00710220" w:rsidP="008611BE">
            <w:r>
              <w:t>S</w:t>
            </w:r>
            <w:r w:rsidR="00D70407" w:rsidRPr="00D83069">
              <w:t>upport</w:t>
            </w:r>
            <w:r>
              <w:t>, g</w:t>
            </w:r>
            <w:r w:rsidRPr="00D83069">
              <w:t>uide</w:t>
            </w:r>
            <w:r>
              <w:t>.</w:t>
            </w:r>
          </w:p>
        </w:tc>
      </w:tr>
      <w:tr w:rsidR="00D70407" w:rsidTr="007226A3">
        <w:trPr>
          <w:jc w:val="center"/>
        </w:trPr>
        <w:tc>
          <w:tcPr>
            <w:tcW w:w="1981" w:type="dxa"/>
          </w:tcPr>
          <w:p w:rsidR="00D70407" w:rsidRPr="00D83069" w:rsidRDefault="00D70407" w:rsidP="008611BE">
            <w:r w:rsidRPr="00D83069">
              <w:t>45 minutes</w:t>
            </w:r>
          </w:p>
        </w:tc>
        <w:tc>
          <w:tcPr>
            <w:tcW w:w="4860" w:type="dxa"/>
          </w:tcPr>
          <w:p w:rsidR="00D70407" w:rsidRPr="00D83069" w:rsidRDefault="00D70407" w:rsidP="008611BE">
            <w:r>
              <w:t>P</w:t>
            </w:r>
            <w:r w:rsidR="007226A3">
              <w:t>repare media report</w:t>
            </w:r>
            <w:r w:rsidRPr="00D83069">
              <w:t xml:space="preserve"> </w:t>
            </w:r>
            <w:r w:rsidR="008C651C">
              <w:t>—</w:t>
            </w:r>
            <w:r w:rsidRPr="00D83069">
              <w:t xml:space="preserve"> could be completed under exam conditions with research notes permitted</w:t>
            </w:r>
            <w:r>
              <w:t>.</w:t>
            </w:r>
          </w:p>
        </w:tc>
        <w:tc>
          <w:tcPr>
            <w:tcW w:w="2798" w:type="dxa"/>
          </w:tcPr>
          <w:p w:rsidR="00D70407" w:rsidRPr="00D83069" w:rsidRDefault="00D70407" w:rsidP="008611BE">
            <w:r w:rsidRPr="00D83069">
              <w:t>Facilitate, support, guide</w:t>
            </w:r>
            <w:r w:rsidR="00D94C7C">
              <w:t>.</w:t>
            </w:r>
          </w:p>
        </w:tc>
      </w:tr>
      <w:tr w:rsidR="00D70407" w:rsidTr="007226A3">
        <w:trPr>
          <w:jc w:val="center"/>
        </w:trPr>
        <w:tc>
          <w:tcPr>
            <w:tcW w:w="1981" w:type="dxa"/>
          </w:tcPr>
          <w:p w:rsidR="00D70407" w:rsidRPr="00D83069" w:rsidRDefault="00D70407" w:rsidP="008611BE">
            <w:r w:rsidRPr="00D83069">
              <w:t xml:space="preserve">3 minutes </w:t>
            </w:r>
            <w:r w:rsidR="007226A3">
              <w:t xml:space="preserve">per student </w:t>
            </w:r>
            <w:r w:rsidRPr="00D83069">
              <w:t>maximum</w:t>
            </w:r>
          </w:p>
        </w:tc>
        <w:tc>
          <w:tcPr>
            <w:tcW w:w="4860" w:type="dxa"/>
          </w:tcPr>
          <w:p w:rsidR="00D70407" w:rsidRPr="00D83069" w:rsidRDefault="00D70407" w:rsidP="008611BE">
            <w:r>
              <w:t>P</w:t>
            </w:r>
            <w:r w:rsidRPr="00D83069">
              <w:t>resent the news media report</w:t>
            </w:r>
            <w:r>
              <w:t>.</w:t>
            </w:r>
          </w:p>
        </w:tc>
        <w:tc>
          <w:tcPr>
            <w:tcW w:w="2798" w:type="dxa"/>
          </w:tcPr>
          <w:p w:rsidR="00D70407" w:rsidRPr="00D83069" w:rsidRDefault="00D70407" w:rsidP="008611BE">
            <w:r w:rsidRPr="00D83069">
              <w:t>Facilitate</w:t>
            </w:r>
            <w:r w:rsidR="00D94C7C">
              <w:t>.</w:t>
            </w:r>
          </w:p>
        </w:tc>
      </w:tr>
      <w:tr w:rsidR="00913D2F" w:rsidRPr="009D15D5" w:rsidTr="008611BE">
        <w:trPr>
          <w:jc w:val="center"/>
        </w:trPr>
        <w:tc>
          <w:tcPr>
            <w:tcW w:w="9639" w:type="dxa"/>
            <w:gridSpan w:val="3"/>
            <w:shd w:val="clear" w:color="auto" w:fill="E6E6E6"/>
          </w:tcPr>
          <w:p w:rsidR="00913D2F" w:rsidRPr="009D15D5" w:rsidRDefault="00913D2F" w:rsidP="008611BE">
            <w:pPr>
              <w:keepNext/>
              <w:spacing w:before="120" w:after="120"/>
              <w:rPr>
                <w:b/>
              </w:rPr>
            </w:pPr>
            <w:r w:rsidRPr="009D15D5">
              <w:rPr>
                <w:b/>
              </w:rPr>
              <w:t xml:space="preserve">Section 2. </w:t>
            </w:r>
            <w:r>
              <w:rPr>
                <w:b/>
              </w:rPr>
              <w:t>Reflection</w:t>
            </w:r>
          </w:p>
        </w:tc>
      </w:tr>
      <w:tr w:rsidR="00D70407" w:rsidTr="007226A3">
        <w:trPr>
          <w:jc w:val="center"/>
        </w:trPr>
        <w:tc>
          <w:tcPr>
            <w:tcW w:w="1981" w:type="dxa"/>
          </w:tcPr>
          <w:p w:rsidR="00D70407" w:rsidRPr="00D83069" w:rsidRDefault="00D70407" w:rsidP="008611BE">
            <w:r w:rsidRPr="00D83069">
              <w:t>15 to 20</w:t>
            </w:r>
            <w:r w:rsidR="00D94C7C">
              <w:t xml:space="preserve"> </w:t>
            </w:r>
            <w:r w:rsidRPr="00D83069">
              <w:t xml:space="preserve">minutes </w:t>
            </w:r>
          </w:p>
        </w:tc>
        <w:tc>
          <w:tcPr>
            <w:tcW w:w="4860" w:type="dxa"/>
          </w:tcPr>
          <w:p w:rsidR="00D70407" w:rsidRPr="00D83069" w:rsidRDefault="00D70407" w:rsidP="008611BE">
            <w:r>
              <w:t>C</w:t>
            </w:r>
            <w:r w:rsidRPr="00D83069">
              <w:t>omplete a written or oral reflection</w:t>
            </w:r>
            <w:r w:rsidR="007226A3">
              <w:t>.</w:t>
            </w:r>
          </w:p>
        </w:tc>
        <w:tc>
          <w:tcPr>
            <w:tcW w:w="2798" w:type="dxa"/>
          </w:tcPr>
          <w:p w:rsidR="00D70407" w:rsidRPr="00D83069" w:rsidRDefault="00D70407" w:rsidP="008611BE">
            <w:r w:rsidRPr="00D83069">
              <w:t>Facilitate, support, guide</w:t>
            </w:r>
            <w:r w:rsidR="00D94C7C">
              <w:t>.</w:t>
            </w:r>
          </w:p>
        </w:tc>
      </w:tr>
    </w:tbl>
    <w:p w:rsidR="00913D2F" w:rsidRDefault="00913D2F"/>
    <w:p w:rsidR="00FA5455" w:rsidRDefault="00DB5D06" w:rsidP="00F778BB">
      <w:pPr>
        <w:spacing w:line="240" w:lineRule="auto"/>
      </w:pPr>
      <w:r>
        <w:rPr>
          <w:noProof/>
        </w:rPr>
        <w:drawing>
          <wp:anchor distT="0" distB="0" distL="114300" distR="114300" simplePos="0" relativeHeight="251656704"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 xml:space="preserve">During the learning process, you and your students should have developed a shared understanding of the curriculum expectations identified as part of the planning process. </w:t>
      </w:r>
    </w:p>
    <w:p w:rsidR="00FA5455" w:rsidRDefault="00FA5455" w:rsidP="00F778BB">
      <w:pPr>
        <w:spacing w:line="240" w:lineRule="auto"/>
      </w:pPr>
      <w:r>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5571B4" w:rsidRDefault="00FA5455" w:rsidP="00F778BB">
      <w:pPr>
        <w:pStyle w:val="Bulletslevel1"/>
        <w:spacing w:line="240" w:lineRule="auto"/>
        <w:rPr>
          <w:i/>
        </w:rPr>
      </w:pPr>
      <w:r w:rsidRPr="005571B4">
        <w:rPr>
          <w:i/>
        </w:rPr>
        <w:t>Guide to making judgments</w:t>
      </w:r>
    </w:p>
    <w:p w:rsidR="00FA5455" w:rsidRPr="005571B4" w:rsidRDefault="00FA5455" w:rsidP="00F778BB">
      <w:pPr>
        <w:pStyle w:val="Bulletslevel1"/>
        <w:spacing w:line="240" w:lineRule="auto"/>
        <w:rPr>
          <w:i/>
        </w:rPr>
      </w:pPr>
      <w:r w:rsidRPr="005571B4">
        <w:rPr>
          <w:i/>
        </w:rPr>
        <w:t>Indicative A response</w:t>
      </w:r>
    </w:p>
    <w:p w:rsidR="00F778BB" w:rsidRPr="007226A3" w:rsidRDefault="00FA5455" w:rsidP="007226A3">
      <w:pPr>
        <w:pStyle w:val="Bulletslevel1"/>
        <w:spacing w:line="240" w:lineRule="auto"/>
        <w:rPr>
          <w:i/>
        </w:rPr>
      </w:pPr>
      <w:r w:rsidRPr="005571B4">
        <w:rPr>
          <w:i/>
        </w:rPr>
        <w:t xml:space="preserve">Sample responses </w:t>
      </w:r>
      <w:r w:rsidRPr="009F1EAE">
        <w:t>(where available).</w:t>
      </w:r>
    </w:p>
    <w:tbl>
      <w:tblPr>
        <w:tblW w:w="9639" w:type="dxa"/>
        <w:tblLook w:val="01E0" w:firstRow="1" w:lastRow="1" w:firstColumn="1" w:lastColumn="1" w:noHBand="0" w:noVBand="0"/>
      </w:tblPr>
      <w:tblGrid>
        <w:gridCol w:w="1072"/>
        <w:gridCol w:w="8567"/>
      </w:tblGrid>
      <w:tr w:rsidR="00FA5455" w:rsidRPr="008814B0" w:rsidTr="00F778BB">
        <w:trPr>
          <w:trHeight w:val="870"/>
        </w:trPr>
        <w:tc>
          <w:tcPr>
            <w:tcW w:w="556" w:type="pct"/>
            <w:vAlign w:val="bottom"/>
          </w:tcPr>
          <w:p w:rsidR="00FA5455" w:rsidRPr="000B2F55" w:rsidRDefault="00DB5D06" w:rsidP="00F778BB">
            <w:pPr>
              <w:spacing w:before="0" w:after="0" w:line="240" w:lineRule="auto"/>
            </w:pPr>
            <w:r>
              <w:rPr>
                <w:noProof/>
              </w:rPr>
              <w:drawing>
                <wp:inline distT="0" distB="0" distL="0" distR="0">
                  <wp:extent cx="542925" cy="542925"/>
                  <wp:effectExtent l="0" t="0" r="0" b="9525"/>
                  <wp:docPr id="3" name="Picture 3"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4" w:type="pct"/>
            <w:vAlign w:val="center"/>
          </w:tcPr>
          <w:p w:rsidR="00FA5455" w:rsidRPr="008814B0" w:rsidRDefault="00FA5455" w:rsidP="00F778BB">
            <w:pPr>
              <w:spacing w:line="240" w:lineRule="auto"/>
            </w:pPr>
            <w:r w:rsidRPr="008814B0">
              <w:t xml:space="preserve">For </w:t>
            </w:r>
            <w:r>
              <w:t xml:space="preserve">further information, refer to </w:t>
            </w:r>
            <w:r w:rsidRPr="008814B0">
              <w:t xml:space="preserve">the resource </w:t>
            </w:r>
            <w:r w:rsidRPr="00630422">
              <w:rPr>
                <w:i/>
              </w:rPr>
              <w:t>Using a Guide to making judgments</w:t>
            </w:r>
            <w:r>
              <w:t>, available in the Resources section of the Assessment Bank website.</w:t>
            </w:r>
          </w:p>
        </w:tc>
      </w:tr>
    </w:tbl>
    <w:p w:rsidR="00FA5455" w:rsidRDefault="00DB5D06" w:rsidP="00F778BB">
      <w:pPr>
        <w:spacing w:line="240" w:lineRule="auto"/>
      </w:pPr>
      <w:r>
        <w:rPr>
          <w:noProof/>
        </w:rPr>
        <w:drawing>
          <wp:anchor distT="0" distB="0" distL="114300" distR="114300" simplePos="0" relativeHeight="251658752" behindDoc="0" locked="0" layoutInCell="1" allowOverlap="1">
            <wp:simplePos x="0" y="0"/>
            <wp:positionH relativeFrom="page">
              <wp:align>center</wp:align>
            </wp:positionH>
            <wp:positionV relativeFrom="paragraph">
              <wp:posOffset>180340</wp:posOffset>
            </wp:positionV>
            <wp:extent cx="6710680" cy="1321435"/>
            <wp:effectExtent l="0" t="0" r="0" b="0"/>
            <wp:wrapSquare wrapText="bothSides"/>
            <wp:docPr id="41" name="Picture 41"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esign headings_us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Evaluate the information gathered from the assessment to inform teaching and learning strategies.</w:t>
      </w:r>
    </w:p>
    <w:p w:rsidR="00FA5455" w:rsidRDefault="00FA5455" w:rsidP="00F778BB">
      <w:pPr>
        <w:spacing w:line="240" w:lineRule="auto"/>
      </w:pPr>
      <w:r>
        <w:t>Involve students in the feedback process. Give students opportunities to ask follow-up questions and share their learning observations or experiences</w:t>
      </w:r>
      <w:r w:rsidR="00B25C0D">
        <w:t>.</w:t>
      </w:r>
    </w:p>
    <w:p w:rsidR="00F778BB" w:rsidRPr="00F778BB" w:rsidRDefault="00FA5455" w:rsidP="00F778BB">
      <w:pPr>
        <w:spacing w:line="240" w:lineRule="auto"/>
      </w:pPr>
      <w:r>
        <w:t xml:space="preserve">Focus feedback on the student’s personal progress. Emphasise continuous progress relative to </w:t>
      </w:r>
      <w:r w:rsidR="00171987">
        <w:t>their</w:t>
      </w:r>
      <w:r>
        <w:t xml:space="preserve"> previous achievement and to the learning expectations — avoid comparing a student with their classmates.</w:t>
      </w:r>
    </w:p>
    <w:tbl>
      <w:tblPr>
        <w:tblW w:w="9639" w:type="dxa"/>
        <w:tblLook w:val="01E0" w:firstRow="1" w:lastRow="1" w:firstColumn="1" w:lastColumn="1" w:noHBand="0" w:noVBand="0"/>
      </w:tblPr>
      <w:tblGrid>
        <w:gridCol w:w="1072"/>
        <w:gridCol w:w="8567"/>
      </w:tblGrid>
      <w:tr w:rsidR="006774B8" w:rsidRPr="008814B0" w:rsidTr="00F778BB">
        <w:tc>
          <w:tcPr>
            <w:tcW w:w="556" w:type="pct"/>
            <w:shd w:val="clear" w:color="auto" w:fill="auto"/>
          </w:tcPr>
          <w:p w:rsidR="006774B8" w:rsidRPr="000B2F55" w:rsidRDefault="00DB5D06" w:rsidP="00F778BB">
            <w:pPr>
              <w:spacing w:before="0" w:after="0" w:line="240" w:lineRule="auto"/>
            </w:pPr>
            <w:r>
              <w:rPr>
                <w:noProof/>
              </w:rPr>
              <w:drawing>
                <wp:inline distT="0" distB="0" distL="0" distR="0">
                  <wp:extent cx="542925" cy="542925"/>
                  <wp:effectExtent l="0" t="0" r="0" b="9525"/>
                  <wp:docPr id="4" name="Picture 4"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4" w:type="pct"/>
            <w:shd w:val="clear" w:color="auto" w:fill="auto"/>
            <w:vAlign w:val="center"/>
          </w:tcPr>
          <w:p w:rsidR="006774B8" w:rsidRPr="008814B0" w:rsidRDefault="006774B8" w:rsidP="00F778BB">
            <w:pPr>
              <w:spacing w:line="240" w:lineRule="auto"/>
            </w:pPr>
            <w:r w:rsidRPr="008814B0">
              <w:t xml:space="preserve">For </w:t>
            </w:r>
            <w:r>
              <w:t xml:space="preserve">further information, refer to </w:t>
            </w:r>
            <w:r w:rsidRPr="008814B0">
              <w:t xml:space="preserve">the resource </w:t>
            </w:r>
            <w:r w:rsidRPr="00630422">
              <w:rPr>
                <w:i/>
              </w:rPr>
              <w:t>Using feedback</w:t>
            </w:r>
            <w:r>
              <w:t>, available in the Resources section of the Assessment Bank website.</w:t>
            </w:r>
          </w:p>
        </w:tc>
      </w:tr>
    </w:tbl>
    <w:p w:rsidR="002F45D0" w:rsidRPr="002F45D0" w:rsidRDefault="002F45D0" w:rsidP="002F45D0">
      <w:pPr>
        <w:sectPr w:rsidR="002F45D0" w:rsidRPr="002F45D0" w:rsidSect="00F778BB">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134" w:right="1134" w:bottom="567" w:left="1134" w:header="709" w:footer="510" w:gutter="0"/>
          <w:cols w:space="708"/>
          <w:titlePg/>
          <w:docGrid w:linePitch="360"/>
        </w:sectPr>
      </w:pPr>
    </w:p>
    <w:p w:rsidR="00D61E66" w:rsidRPr="002F45D0" w:rsidRDefault="00D61E66" w:rsidP="00F778BB">
      <w:pPr>
        <w:pStyle w:val="smallspace"/>
      </w:pPr>
    </w:p>
    <w:sectPr w:rsidR="00D61E66" w:rsidRPr="002F45D0" w:rsidSect="00F778BB">
      <w:headerReference w:type="even" r:id="rId24"/>
      <w:headerReference w:type="default" r:id="rId25"/>
      <w:footerReference w:type="even" r:id="rId26"/>
      <w:footerReference w:type="default" r:id="rId27"/>
      <w:type w:val="continuous"/>
      <w:pgSz w:w="11906" w:h="16838" w:code="9"/>
      <w:pgMar w:top="1134" w:right="1134" w:bottom="567" w:left="1134" w:header="709" w:footer="510"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926" w:rsidRDefault="001D4926">
      <w:r>
        <w:separator/>
      </w:r>
    </w:p>
    <w:p w:rsidR="001D4926" w:rsidRDefault="001D4926"/>
    <w:p w:rsidR="001D4926" w:rsidRDefault="001D4926"/>
    <w:p w:rsidR="001D4926" w:rsidRDefault="001D4926"/>
    <w:p w:rsidR="001D4926" w:rsidRDefault="001D4926"/>
    <w:p w:rsidR="001D4926" w:rsidRDefault="001D4926"/>
  </w:endnote>
  <w:endnote w:type="continuationSeparator" w:id="0">
    <w:p w:rsidR="001D4926" w:rsidRDefault="001D4926">
      <w:r>
        <w:continuationSeparator/>
      </w:r>
    </w:p>
    <w:p w:rsidR="001D4926" w:rsidRDefault="001D4926"/>
    <w:p w:rsidR="001D4926" w:rsidRDefault="001D4926"/>
    <w:p w:rsidR="001D4926" w:rsidRDefault="001D4926"/>
    <w:p w:rsidR="001D4926" w:rsidRDefault="001D4926"/>
    <w:p w:rsidR="001D4926" w:rsidRDefault="001D49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51C" w:rsidRDefault="008C651C" w:rsidP="00C20914">
    <w:pPr>
      <w:pStyle w:val="Footereven"/>
    </w:pPr>
    <w:r w:rsidRPr="00EA7134">
      <w:fldChar w:fldCharType="begin"/>
    </w:r>
    <w:r w:rsidRPr="00EA7134">
      <w:instrText xml:space="preserve">PAGE  </w:instrText>
    </w:r>
    <w:r w:rsidRPr="00EA7134">
      <w:fldChar w:fldCharType="separate"/>
    </w:r>
    <w:r w:rsidR="00DB5D06">
      <w:t>2</w:t>
    </w:r>
    <w:r w:rsidRPr="00EA713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51C" w:rsidRDefault="008C651C" w:rsidP="00C20914">
    <w:pPr>
      <w:pStyle w:val="Footerodd"/>
    </w:pPr>
    <w:r>
      <w:fldChar w:fldCharType="begin"/>
    </w:r>
    <w:r>
      <w:instrText xml:space="preserve">PAGE  </w:instrText>
    </w:r>
    <w:r>
      <w:fldChar w:fldCharType="separate"/>
    </w:r>
    <w:r w:rsidR="008375A9">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8C651C" w:rsidRPr="0090603A">
      <w:trPr>
        <w:trHeight w:hRule="exact" w:val="1043"/>
        <w:jc w:val="right"/>
      </w:trPr>
      <w:tc>
        <w:tcPr>
          <w:tcW w:w="1800" w:type="dxa"/>
          <w:tcBorders>
            <w:top w:val="nil"/>
            <w:left w:val="nil"/>
            <w:bottom w:val="nil"/>
            <w:right w:val="nil"/>
          </w:tcBorders>
          <w:vAlign w:val="bottom"/>
        </w:tcPr>
        <w:p w:rsidR="008C651C" w:rsidRPr="00FA3FE7" w:rsidRDefault="008C651C" w:rsidP="00C85825">
          <w:pPr>
            <w:spacing w:after="0"/>
          </w:pPr>
        </w:p>
      </w:tc>
      <w:tc>
        <w:tcPr>
          <w:tcW w:w="5040" w:type="dxa"/>
          <w:tcBorders>
            <w:top w:val="nil"/>
            <w:left w:val="nil"/>
            <w:bottom w:val="nil"/>
            <w:right w:val="nil"/>
          </w:tcBorders>
          <w:shd w:val="clear" w:color="auto" w:fill="auto"/>
          <w:vAlign w:val="bottom"/>
        </w:tcPr>
        <w:p w:rsidR="008C651C" w:rsidRPr="000875B8" w:rsidRDefault="008C651C" w:rsidP="00C85825">
          <w:pPr>
            <w:pStyle w:val="Footer"/>
            <w:rPr>
              <w:szCs w:val="17"/>
            </w:rPr>
          </w:pPr>
          <w:r w:rsidRPr="000875B8">
            <w:t xml:space="preserve">© The State of </w:t>
          </w:r>
          <w:smartTag w:uri="urn:schemas-microsoft-com:office:smarttags" w:element="place">
            <w:smartTag w:uri="urn:schemas-microsoft-com:office:smarttags" w:element="State">
              <w:r w:rsidRPr="000875B8">
                <w:t>Queensland</w:t>
              </w:r>
            </w:smartTag>
          </w:smartTag>
          <w:r w:rsidRPr="000875B8">
            <w:t xml:space="preserve"> (Queensland Studies Authority) and its licensors 200</w:t>
          </w:r>
          <w:r>
            <w:t>8</w:t>
          </w:r>
          <w:r w:rsidRPr="000875B8">
            <w:t>.</w:t>
          </w:r>
          <w:r w:rsidRPr="000875B8">
            <w:br/>
            <w:t>All rights reserved. Please read the copyright notice on our website: www.qsa.qld.edu.au</w:t>
          </w:r>
        </w:p>
      </w:tc>
      <w:tc>
        <w:tcPr>
          <w:tcW w:w="2722" w:type="dxa"/>
          <w:tcBorders>
            <w:top w:val="nil"/>
            <w:left w:val="nil"/>
            <w:bottom w:val="nil"/>
            <w:right w:val="nil"/>
          </w:tcBorders>
          <w:vAlign w:val="bottom"/>
        </w:tcPr>
        <w:p w:rsidR="008C651C" w:rsidRPr="0090603A" w:rsidRDefault="00DB5D06" w:rsidP="00C85825">
          <w:pPr>
            <w:pStyle w:val="Footer"/>
            <w:rPr>
              <w:rFonts w:ascii="Arial Narrow" w:hAnsi="Arial Narrow"/>
            </w:rPr>
          </w:pPr>
          <w:r>
            <w:drawing>
              <wp:inline distT="0" distB="0" distL="0" distR="0">
                <wp:extent cx="1533525" cy="657225"/>
                <wp:effectExtent l="0" t="0" r="9525" b="9525"/>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57225"/>
                        </a:xfrm>
                        <a:prstGeom prst="rect">
                          <a:avLst/>
                        </a:prstGeom>
                        <a:noFill/>
                        <a:ln>
                          <a:noFill/>
                        </a:ln>
                      </pic:spPr>
                    </pic:pic>
                  </a:graphicData>
                </a:graphic>
              </wp:inline>
            </w:drawing>
          </w:r>
        </w:p>
      </w:tc>
    </w:tr>
  </w:tbl>
  <w:p w:rsidR="008C651C" w:rsidRPr="0054418E" w:rsidRDefault="008C651C" w:rsidP="0054418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51C" w:rsidRDefault="008C651C" w:rsidP="00364F3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51C" w:rsidRDefault="008C651C" w:rsidP="000875B8">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926" w:rsidRDefault="001D4926">
      <w:r>
        <w:separator/>
      </w:r>
    </w:p>
    <w:p w:rsidR="001D4926" w:rsidRDefault="001D4926"/>
    <w:p w:rsidR="001D4926" w:rsidRDefault="001D4926"/>
    <w:p w:rsidR="001D4926" w:rsidRDefault="001D4926"/>
    <w:p w:rsidR="001D4926" w:rsidRDefault="001D4926"/>
    <w:p w:rsidR="001D4926" w:rsidRDefault="001D4926"/>
  </w:footnote>
  <w:footnote w:type="continuationSeparator" w:id="0">
    <w:p w:rsidR="001D4926" w:rsidRDefault="001D4926">
      <w:r>
        <w:continuationSeparator/>
      </w:r>
    </w:p>
    <w:p w:rsidR="001D4926" w:rsidRDefault="001D4926"/>
    <w:p w:rsidR="001D4926" w:rsidRDefault="001D4926"/>
    <w:p w:rsidR="001D4926" w:rsidRDefault="001D4926"/>
    <w:p w:rsidR="001D4926" w:rsidRDefault="001D4926"/>
    <w:p w:rsidR="001D4926" w:rsidRDefault="001D49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51C" w:rsidRDefault="008C651C" w:rsidP="000E4E18">
    <w:pPr>
      <w:pStyle w:val="Headerleft"/>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51C" w:rsidRPr="00784506" w:rsidRDefault="008C651C" w:rsidP="00E8667A">
    <w:pPr>
      <w:pStyle w:val="Headerright"/>
    </w:pPr>
    <w:r w:rsidRPr="00784506">
      <w:t xml:space="preserve">Year </w:t>
    </w:r>
    <w:r>
      <w:t>9 HPE: Farm to feast 3 — media report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51C" w:rsidRDefault="00DB5D06">
    <w:r>
      <w:rPr>
        <w:noProof/>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51C" w:rsidRPr="00D61E66" w:rsidRDefault="008C651C" w:rsidP="00D61E66">
    <w:pPr>
      <w:rPr>
        <w:lang w:val="en-US"/>
      </w:rPr>
    </w:pPr>
    <w:r>
      <w:rPr>
        <w:lang w:val="en-US"/>
      </w:rPr>
      <w:t xml:space="preserve">Appendix </w:t>
    </w:r>
    <w:r>
      <w:fldChar w:fldCharType="begin"/>
    </w:r>
    <w:r>
      <w:instrText xml:space="preserve"> PAGE </w:instrText>
    </w:r>
    <w:r>
      <w:fldChar w:fldCharType="separate"/>
    </w:r>
    <w:r>
      <w:rPr>
        <w:noProof/>
      </w:rPr>
      <w:t>F</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51C" w:rsidRPr="002F45D0" w:rsidRDefault="008C651C" w:rsidP="003A5656">
    <w:pPr>
      <w:pStyle w:val="Headerleft"/>
      <w:rPr>
        <w:lang w:val="en-US"/>
      </w:rPr>
    </w:pPr>
    <w:r>
      <w:rPr>
        <w:lang w:val="en-US"/>
      </w:rPr>
      <w:t xml:space="preserve">Appendix </w:t>
    </w:r>
    <w:r>
      <w:fldChar w:fldCharType="begin"/>
    </w:r>
    <w:r>
      <w:instrText xml:space="preserve"> PAGE </w:instrText>
    </w:r>
    <w:r>
      <w:fldChar w:fldCharType="separate"/>
    </w:r>
    <w:r>
      <w:rPr>
        <w:noProof/>
      </w:rPr>
      <w:t>A</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9BB5CB2"/>
    <w:multiLevelType w:val="multilevel"/>
    <w:tmpl w:val="D4FAF8C0"/>
    <w:styleLink w:val="Outline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E9C106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E827FA2"/>
    <w:multiLevelType w:val="hybridMultilevel"/>
    <w:tmpl w:val="3EA80DC6"/>
    <w:lvl w:ilvl="0" w:tplc="78C6E312">
      <w:start w:val="1"/>
      <w:numFmt w:val="bullet"/>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7BD7A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09B2F2B"/>
    <w:multiLevelType w:val="hybridMultilevel"/>
    <w:tmpl w:val="67ACB87C"/>
    <w:lvl w:ilvl="0" w:tplc="92288EB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4AC81C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0842FB4"/>
    <w:multiLevelType w:val="hybridMultilevel"/>
    <w:tmpl w:val="0D0CE172"/>
    <w:lvl w:ilvl="0" w:tplc="23F2616A">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4197BBA"/>
    <w:multiLevelType w:val="hybridMultilevel"/>
    <w:tmpl w:val="CF84B1AE"/>
    <w:lvl w:ilvl="0" w:tplc="5FB07F4A">
      <w:start w:val="1"/>
      <w:numFmt w:val="bullet"/>
      <w:lvlText w:val=""/>
      <w:lvlJc w:val="left"/>
      <w:pPr>
        <w:tabs>
          <w:tab w:val="num" w:pos="284"/>
        </w:tabs>
        <w:ind w:left="28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A8A2D28"/>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62953C41"/>
    <w:multiLevelType w:val="hybridMultilevel"/>
    <w:tmpl w:val="0746783C"/>
    <w:lvl w:ilvl="0" w:tplc="DB3C49E6">
      <w:start w:val="1"/>
      <w:numFmt w:val="decimal"/>
      <w:pStyle w:val="Heading1"/>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629828B0"/>
    <w:multiLevelType w:val="hybridMultilevel"/>
    <w:tmpl w:val="C57EEA28"/>
    <w:lvl w:ilvl="0" w:tplc="82F0B26C">
      <w:start w:val="1"/>
      <w:numFmt w:val="bullet"/>
      <w:pStyle w:val="Bulletslevel1"/>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6">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53A3A1D"/>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D99594E"/>
    <w:multiLevelType w:val="multilevel"/>
    <w:tmpl w:val="67ACB87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FD21F53"/>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A527B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F245BB1"/>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7"/>
  </w:num>
  <w:num w:numId="2">
    <w:abstractNumId w:val="13"/>
  </w:num>
  <w:num w:numId="3">
    <w:abstractNumId w:val="3"/>
  </w:num>
  <w:num w:numId="4">
    <w:abstractNumId w:val="13"/>
  </w:num>
  <w:num w:numId="5">
    <w:abstractNumId w:val="11"/>
  </w:num>
  <w:num w:numId="6">
    <w:abstractNumId w:val="12"/>
  </w:num>
  <w:num w:numId="7">
    <w:abstractNumId w:val="7"/>
  </w:num>
  <w:num w:numId="8">
    <w:abstractNumId w:val="2"/>
  </w:num>
  <w:num w:numId="9">
    <w:abstractNumId w:val="16"/>
  </w:num>
  <w:num w:numId="10">
    <w:abstractNumId w:val="1"/>
  </w:num>
  <w:num w:numId="11">
    <w:abstractNumId w:val="19"/>
  </w:num>
  <w:num w:numId="12">
    <w:abstractNumId w:val="17"/>
  </w:num>
  <w:num w:numId="13">
    <w:abstractNumId w:val="8"/>
  </w:num>
  <w:num w:numId="14">
    <w:abstractNumId w:val="10"/>
  </w:num>
  <w:num w:numId="15">
    <w:abstractNumId w:val="20"/>
  </w:num>
  <w:num w:numId="16">
    <w:abstractNumId w:val="0"/>
  </w:num>
  <w:num w:numId="17">
    <w:abstractNumId w:val="9"/>
  </w:num>
  <w:num w:numId="18">
    <w:abstractNumId w:val="18"/>
  </w:num>
  <w:num w:numId="19">
    <w:abstractNumId w:val="15"/>
  </w:num>
  <w:num w:numId="20">
    <w:abstractNumId w:val="7"/>
  </w:num>
  <w:num w:numId="21">
    <w:abstractNumId w:val="2"/>
  </w:num>
  <w:num w:numId="22">
    <w:abstractNumId w:val="16"/>
  </w:num>
  <w:num w:numId="23">
    <w:abstractNumId w:val="3"/>
  </w:num>
  <w:num w:numId="24">
    <w:abstractNumId w:val="13"/>
  </w:num>
  <w:num w:numId="25">
    <w:abstractNumId w:val="5"/>
  </w:num>
  <w:num w:numId="26">
    <w:abstractNumId w:val="15"/>
  </w:num>
  <w:num w:numId="27">
    <w:abstractNumId w:val="7"/>
  </w:num>
  <w:num w:numId="28">
    <w:abstractNumId w:val="2"/>
  </w:num>
  <w:num w:numId="29">
    <w:abstractNumId w:val="16"/>
  </w:num>
  <w:num w:numId="30">
    <w:abstractNumId w:val="15"/>
  </w:num>
  <w:num w:numId="31">
    <w:abstractNumId w:val="7"/>
  </w:num>
  <w:num w:numId="32">
    <w:abstractNumId w:val="2"/>
  </w:num>
  <w:num w:numId="33">
    <w:abstractNumId w:val="16"/>
  </w:num>
  <w:num w:numId="34">
    <w:abstractNumId w:val="6"/>
  </w:num>
  <w:num w:numId="35">
    <w:abstractNumId w:val="15"/>
  </w:num>
  <w:num w:numId="36">
    <w:abstractNumId w:val="15"/>
  </w:num>
  <w:num w:numId="37">
    <w:abstractNumId w:val="15"/>
  </w:num>
  <w:num w:numId="38">
    <w:abstractNumId w:val="15"/>
  </w:num>
  <w:num w:numId="39">
    <w:abstractNumId w:val="14"/>
  </w:num>
  <w:num w:numId="40">
    <w:abstractNumId w:val="14"/>
  </w:num>
  <w:num w:numId="41">
    <w:abstractNumId w:val="4"/>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0"/>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15B"/>
    <w:rsid w:val="000022FF"/>
    <w:rsid w:val="00003280"/>
    <w:rsid w:val="000040CE"/>
    <w:rsid w:val="000043A4"/>
    <w:rsid w:val="00007DBF"/>
    <w:rsid w:val="00021C5F"/>
    <w:rsid w:val="00026548"/>
    <w:rsid w:val="0004134C"/>
    <w:rsid w:val="00042BF3"/>
    <w:rsid w:val="000517C2"/>
    <w:rsid w:val="00061D89"/>
    <w:rsid w:val="00066520"/>
    <w:rsid w:val="000736CA"/>
    <w:rsid w:val="000825C6"/>
    <w:rsid w:val="00082765"/>
    <w:rsid w:val="00083BFA"/>
    <w:rsid w:val="00083EF5"/>
    <w:rsid w:val="00085CFC"/>
    <w:rsid w:val="000875B8"/>
    <w:rsid w:val="00095960"/>
    <w:rsid w:val="000A0660"/>
    <w:rsid w:val="000A1635"/>
    <w:rsid w:val="000A6147"/>
    <w:rsid w:val="000A7071"/>
    <w:rsid w:val="000A779D"/>
    <w:rsid w:val="000B7AA0"/>
    <w:rsid w:val="000C0E6D"/>
    <w:rsid w:val="000D2039"/>
    <w:rsid w:val="000D6A12"/>
    <w:rsid w:val="000E0E12"/>
    <w:rsid w:val="000E3AB2"/>
    <w:rsid w:val="000E4E18"/>
    <w:rsid w:val="000E6EA3"/>
    <w:rsid w:val="000F0DAD"/>
    <w:rsid w:val="000F52B5"/>
    <w:rsid w:val="000F5EF5"/>
    <w:rsid w:val="001019F0"/>
    <w:rsid w:val="00101CF6"/>
    <w:rsid w:val="001103BE"/>
    <w:rsid w:val="00120B6F"/>
    <w:rsid w:val="00120E4C"/>
    <w:rsid w:val="00123E4E"/>
    <w:rsid w:val="001247D8"/>
    <w:rsid w:val="00127A14"/>
    <w:rsid w:val="00130EFC"/>
    <w:rsid w:val="00132BC2"/>
    <w:rsid w:val="00137481"/>
    <w:rsid w:val="00140F5D"/>
    <w:rsid w:val="00155056"/>
    <w:rsid w:val="001574F9"/>
    <w:rsid w:val="001627BF"/>
    <w:rsid w:val="00162F40"/>
    <w:rsid w:val="001634B0"/>
    <w:rsid w:val="001659AA"/>
    <w:rsid w:val="00170657"/>
    <w:rsid w:val="00171987"/>
    <w:rsid w:val="00171A8D"/>
    <w:rsid w:val="00173489"/>
    <w:rsid w:val="0017388F"/>
    <w:rsid w:val="00173B46"/>
    <w:rsid w:val="00174197"/>
    <w:rsid w:val="0017557A"/>
    <w:rsid w:val="001769B4"/>
    <w:rsid w:val="001839CC"/>
    <w:rsid w:val="00184DFB"/>
    <w:rsid w:val="00186CDA"/>
    <w:rsid w:val="001871B3"/>
    <w:rsid w:val="00190075"/>
    <w:rsid w:val="00190C5F"/>
    <w:rsid w:val="00191133"/>
    <w:rsid w:val="00193E81"/>
    <w:rsid w:val="001971C2"/>
    <w:rsid w:val="001C4D23"/>
    <w:rsid w:val="001C5BD9"/>
    <w:rsid w:val="001D07D3"/>
    <w:rsid w:val="001D4926"/>
    <w:rsid w:val="001E43BD"/>
    <w:rsid w:val="001F0901"/>
    <w:rsid w:val="00205805"/>
    <w:rsid w:val="00207534"/>
    <w:rsid w:val="00210015"/>
    <w:rsid w:val="00216C8D"/>
    <w:rsid w:val="002170E0"/>
    <w:rsid w:val="00227363"/>
    <w:rsid w:val="002303A7"/>
    <w:rsid w:val="00232959"/>
    <w:rsid w:val="00233FC0"/>
    <w:rsid w:val="0024509A"/>
    <w:rsid w:val="002450D1"/>
    <w:rsid w:val="0024608E"/>
    <w:rsid w:val="002466C7"/>
    <w:rsid w:val="00253D87"/>
    <w:rsid w:val="00254350"/>
    <w:rsid w:val="00264F51"/>
    <w:rsid w:val="00271371"/>
    <w:rsid w:val="002723C2"/>
    <w:rsid w:val="002734E6"/>
    <w:rsid w:val="00273DE2"/>
    <w:rsid w:val="00274767"/>
    <w:rsid w:val="0027478D"/>
    <w:rsid w:val="00276D36"/>
    <w:rsid w:val="00284B38"/>
    <w:rsid w:val="002859A3"/>
    <w:rsid w:val="002865DA"/>
    <w:rsid w:val="002A79B9"/>
    <w:rsid w:val="002B30EB"/>
    <w:rsid w:val="002B5BFC"/>
    <w:rsid w:val="002C0261"/>
    <w:rsid w:val="002C1299"/>
    <w:rsid w:val="002C1C04"/>
    <w:rsid w:val="002C1E49"/>
    <w:rsid w:val="002C4CB3"/>
    <w:rsid w:val="002D621B"/>
    <w:rsid w:val="002D65BA"/>
    <w:rsid w:val="002D7C5D"/>
    <w:rsid w:val="002E18AD"/>
    <w:rsid w:val="002E2F03"/>
    <w:rsid w:val="002F135D"/>
    <w:rsid w:val="002F1520"/>
    <w:rsid w:val="002F3677"/>
    <w:rsid w:val="002F45D0"/>
    <w:rsid w:val="002F4C51"/>
    <w:rsid w:val="002F69A3"/>
    <w:rsid w:val="00300F05"/>
    <w:rsid w:val="00302E5C"/>
    <w:rsid w:val="00314E3C"/>
    <w:rsid w:val="0032073F"/>
    <w:rsid w:val="00321DA5"/>
    <w:rsid w:val="00327D43"/>
    <w:rsid w:val="00330421"/>
    <w:rsid w:val="00331E85"/>
    <w:rsid w:val="003347CE"/>
    <w:rsid w:val="0033529F"/>
    <w:rsid w:val="00341084"/>
    <w:rsid w:val="00343C39"/>
    <w:rsid w:val="00352347"/>
    <w:rsid w:val="00354B41"/>
    <w:rsid w:val="003573C7"/>
    <w:rsid w:val="00357A2A"/>
    <w:rsid w:val="00360CDA"/>
    <w:rsid w:val="00361735"/>
    <w:rsid w:val="0036290B"/>
    <w:rsid w:val="00363611"/>
    <w:rsid w:val="00364F37"/>
    <w:rsid w:val="0036766B"/>
    <w:rsid w:val="00386B43"/>
    <w:rsid w:val="00391A20"/>
    <w:rsid w:val="003931E0"/>
    <w:rsid w:val="0039605F"/>
    <w:rsid w:val="003A0CE3"/>
    <w:rsid w:val="003A1874"/>
    <w:rsid w:val="003A5656"/>
    <w:rsid w:val="003A5964"/>
    <w:rsid w:val="003B3B98"/>
    <w:rsid w:val="003C105A"/>
    <w:rsid w:val="003C1342"/>
    <w:rsid w:val="003C1DE1"/>
    <w:rsid w:val="003C302E"/>
    <w:rsid w:val="003C61E5"/>
    <w:rsid w:val="003C702A"/>
    <w:rsid w:val="003E105B"/>
    <w:rsid w:val="003E217B"/>
    <w:rsid w:val="003E33A5"/>
    <w:rsid w:val="003E3A3A"/>
    <w:rsid w:val="003E500C"/>
    <w:rsid w:val="003E7321"/>
    <w:rsid w:val="003F089F"/>
    <w:rsid w:val="003F5E8A"/>
    <w:rsid w:val="00411E67"/>
    <w:rsid w:val="00416BAF"/>
    <w:rsid w:val="004172A0"/>
    <w:rsid w:val="00421645"/>
    <w:rsid w:val="00424A51"/>
    <w:rsid w:val="004316D0"/>
    <w:rsid w:val="004423A4"/>
    <w:rsid w:val="004475A2"/>
    <w:rsid w:val="00453F95"/>
    <w:rsid w:val="00457A26"/>
    <w:rsid w:val="004605DF"/>
    <w:rsid w:val="00474B75"/>
    <w:rsid w:val="00480A76"/>
    <w:rsid w:val="00483E6B"/>
    <w:rsid w:val="0048415B"/>
    <w:rsid w:val="0048671D"/>
    <w:rsid w:val="00486DDE"/>
    <w:rsid w:val="004876A9"/>
    <w:rsid w:val="004928CF"/>
    <w:rsid w:val="0049389D"/>
    <w:rsid w:val="00494EB0"/>
    <w:rsid w:val="00495D94"/>
    <w:rsid w:val="004A1033"/>
    <w:rsid w:val="004B2135"/>
    <w:rsid w:val="004B69C7"/>
    <w:rsid w:val="004B7E94"/>
    <w:rsid w:val="004C3EC8"/>
    <w:rsid w:val="004D42F2"/>
    <w:rsid w:val="004E0F30"/>
    <w:rsid w:val="004F20BA"/>
    <w:rsid w:val="004F68EC"/>
    <w:rsid w:val="0050177D"/>
    <w:rsid w:val="0051005F"/>
    <w:rsid w:val="005110F5"/>
    <w:rsid w:val="00515192"/>
    <w:rsid w:val="0052094C"/>
    <w:rsid w:val="00526090"/>
    <w:rsid w:val="00526544"/>
    <w:rsid w:val="0052799A"/>
    <w:rsid w:val="00530616"/>
    <w:rsid w:val="0053141F"/>
    <w:rsid w:val="005336D0"/>
    <w:rsid w:val="00535835"/>
    <w:rsid w:val="00540C1B"/>
    <w:rsid w:val="005429DB"/>
    <w:rsid w:val="0054355A"/>
    <w:rsid w:val="005438C6"/>
    <w:rsid w:val="0054418E"/>
    <w:rsid w:val="005446DD"/>
    <w:rsid w:val="005459CF"/>
    <w:rsid w:val="005500EE"/>
    <w:rsid w:val="00550B85"/>
    <w:rsid w:val="00551A8A"/>
    <w:rsid w:val="00552AAD"/>
    <w:rsid w:val="0055357B"/>
    <w:rsid w:val="00555205"/>
    <w:rsid w:val="005571B4"/>
    <w:rsid w:val="00565216"/>
    <w:rsid w:val="00570656"/>
    <w:rsid w:val="00574599"/>
    <w:rsid w:val="005759C7"/>
    <w:rsid w:val="00575DED"/>
    <w:rsid w:val="00577012"/>
    <w:rsid w:val="00577F68"/>
    <w:rsid w:val="00585563"/>
    <w:rsid w:val="005A0AA4"/>
    <w:rsid w:val="005A1C09"/>
    <w:rsid w:val="005A52BC"/>
    <w:rsid w:val="005A7039"/>
    <w:rsid w:val="005A7940"/>
    <w:rsid w:val="005A7C02"/>
    <w:rsid w:val="005B710F"/>
    <w:rsid w:val="005C19CD"/>
    <w:rsid w:val="005C207A"/>
    <w:rsid w:val="005D0C9A"/>
    <w:rsid w:val="005D5C4E"/>
    <w:rsid w:val="005E138A"/>
    <w:rsid w:val="005F00FC"/>
    <w:rsid w:val="005F1A13"/>
    <w:rsid w:val="005F253C"/>
    <w:rsid w:val="005F25C9"/>
    <w:rsid w:val="005F2FBA"/>
    <w:rsid w:val="00605CB5"/>
    <w:rsid w:val="00612547"/>
    <w:rsid w:val="00612611"/>
    <w:rsid w:val="0062663E"/>
    <w:rsid w:val="00630422"/>
    <w:rsid w:val="00635253"/>
    <w:rsid w:val="00636670"/>
    <w:rsid w:val="006432CE"/>
    <w:rsid w:val="00643803"/>
    <w:rsid w:val="0064612E"/>
    <w:rsid w:val="00646423"/>
    <w:rsid w:val="00657BB0"/>
    <w:rsid w:val="00661055"/>
    <w:rsid w:val="00664FEE"/>
    <w:rsid w:val="006651E7"/>
    <w:rsid w:val="00666387"/>
    <w:rsid w:val="006732D0"/>
    <w:rsid w:val="0067452E"/>
    <w:rsid w:val="006760FA"/>
    <w:rsid w:val="00676DF3"/>
    <w:rsid w:val="006774B8"/>
    <w:rsid w:val="0068018A"/>
    <w:rsid w:val="00683EB7"/>
    <w:rsid w:val="00691536"/>
    <w:rsid w:val="006A24FF"/>
    <w:rsid w:val="006A3901"/>
    <w:rsid w:val="006B383C"/>
    <w:rsid w:val="006B3EA5"/>
    <w:rsid w:val="006C196E"/>
    <w:rsid w:val="006C1A10"/>
    <w:rsid w:val="006C7ECA"/>
    <w:rsid w:val="006D1DD0"/>
    <w:rsid w:val="006D394C"/>
    <w:rsid w:val="006D3F19"/>
    <w:rsid w:val="006D5672"/>
    <w:rsid w:val="006D7994"/>
    <w:rsid w:val="006E3C63"/>
    <w:rsid w:val="006E3CD1"/>
    <w:rsid w:val="006E4BEF"/>
    <w:rsid w:val="006E59A5"/>
    <w:rsid w:val="006F03B7"/>
    <w:rsid w:val="006F543A"/>
    <w:rsid w:val="00702FDE"/>
    <w:rsid w:val="00710220"/>
    <w:rsid w:val="00710F10"/>
    <w:rsid w:val="00713C48"/>
    <w:rsid w:val="00715381"/>
    <w:rsid w:val="0071550A"/>
    <w:rsid w:val="00720999"/>
    <w:rsid w:val="00722074"/>
    <w:rsid w:val="007226A3"/>
    <w:rsid w:val="00723832"/>
    <w:rsid w:val="00727BED"/>
    <w:rsid w:val="007335F1"/>
    <w:rsid w:val="007412EC"/>
    <w:rsid w:val="00746761"/>
    <w:rsid w:val="00747A3A"/>
    <w:rsid w:val="00750B88"/>
    <w:rsid w:val="00753936"/>
    <w:rsid w:val="00760840"/>
    <w:rsid w:val="00764F67"/>
    <w:rsid w:val="00770160"/>
    <w:rsid w:val="00780680"/>
    <w:rsid w:val="00781794"/>
    <w:rsid w:val="007825B7"/>
    <w:rsid w:val="0078406C"/>
    <w:rsid w:val="00784611"/>
    <w:rsid w:val="007856A2"/>
    <w:rsid w:val="0079630D"/>
    <w:rsid w:val="007A04D1"/>
    <w:rsid w:val="007A1D95"/>
    <w:rsid w:val="007A43AE"/>
    <w:rsid w:val="007B2CAD"/>
    <w:rsid w:val="007C17CD"/>
    <w:rsid w:val="007C2383"/>
    <w:rsid w:val="007C4A0C"/>
    <w:rsid w:val="007C4A1E"/>
    <w:rsid w:val="007D2A71"/>
    <w:rsid w:val="007E3A33"/>
    <w:rsid w:val="007E7600"/>
    <w:rsid w:val="007F02DC"/>
    <w:rsid w:val="007F1688"/>
    <w:rsid w:val="007F3983"/>
    <w:rsid w:val="007F4428"/>
    <w:rsid w:val="007F75E1"/>
    <w:rsid w:val="00800240"/>
    <w:rsid w:val="008005A0"/>
    <w:rsid w:val="00801AAF"/>
    <w:rsid w:val="00802189"/>
    <w:rsid w:val="008034C1"/>
    <w:rsid w:val="008039CA"/>
    <w:rsid w:val="00805863"/>
    <w:rsid w:val="0080650D"/>
    <w:rsid w:val="00806622"/>
    <w:rsid w:val="00807761"/>
    <w:rsid w:val="00810137"/>
    <w:rsid w:val="008111E2"/>
    <w:rsid w:val="00834B4C"/>
    <w:rsid w:val="008375A9"/>
    <w:rsid w:val="00852BF6"/>
    <w:rsid w:val="00854A12"/>
    <w:rsid w:val="00855D90"/>
    <w:rsid w:val="0085648F"/>
    <w:rsid w:val="0085683B"/>
    <w:rsid w:val="008611BE"/>
    <w:rsid w:val="00861FF7"/>
    <w:rsid w:val="0087211E"/>
    <w:rsid w:val="00872798"/>
    <w:rsid w:val="0087318E"/>
    <w:rsid w:val="00874902"/>
    <w:rsid w:val="00876869"/>
    <w:rsid w:val="0087711E"/>
    <w:rsid w:val="00886C72"/>
    <w:rsid w:val="00886F0C"/>
    <w:rsid w:val="00890972"/>
    <w:rsid w:val="0089203C"/>
    <w:rsid w:val="008930E2"/>
    <w:rsid w:val="008A0612"/>
    <w:rsid w:val="008A37AF"/>
    <w:rsid w:val="008A37E1"/>
    <w:rsid w:val="008A6C51"/>
    <w:rsid w:val="008A6EB3"/>
    <w:rsid w:val="008B58C8"/>
    <w:rsid w:val="008C0A2B"/>
    <w:rsid w:val="008C2C52"/>
    <w:rsid w:val="008C4341"/>
    <w:rsid w:val="008C550A"/>
    <w:rsid w:val="008C6405"/>
    <w:rsid w:val="008C651C"/>
    <w:rsid w:val="008D78D6"/>
    <w:rsid w:val="008E1BD2"/>
    <w:rsid w:val="008F1AA2"/>
    <w:rsid w:val="008F3048"/>
    <w:rsid w:val="008F4790"/>
    <w:rsid w:val="008F4B4C"/>
    <w:rsid w:val="008F6176"/>
    <w:rsid w:val="008F70A1"/>
    <w:rsid w:val="00900DA6"/>
    <w:rsid w:val="00902DE5"/>
    <w:rsid w:val="00904640"/>
    <w:rsid w:val="00910369"/>
    <w:rsid w:val="0091354C"/>
    <w:rsid w:val="00913D2F"/>
    <w:rsid w:val="009146FA"/>
    <w:rsid w:val="0092016E"/>
    <w:rsid w:val="0092172B"/>
    <w:rsid w:val="009239B7"/>
    <w:rsid w:val="00926820"/>
    <w:rsid w:val="0092782A"/>
    <w:rsid w:val="00931054"/>
    <w:rsid w:val="00932B1D"/>
    <w:rsid w:val="00934842"/>
    <w:rsid w:val="00934DA2"/>
    <w:rsid w:val="00943157"/>
    <w:rsid w:val="00943DC9"/>
    <w:rsid w:val="00946FB9"/>
    <w:rsid w:val="009611E2"/>
    <w:rsid w:val="00961B9F"/>
    <w:rsid w:val="00964264"/>
    <w:rsid w:val="00964AFA"/>
    <w:rsid w:val="00971609"/>
    <w:rsid w:val="0097215D"/>
    <w:rsid w:val="00972963"/>
    <w:rsid w:val="009738DE"/>
    <w:rsid w:val="0098016C"/>
    <w:rsid w:val="009809B4"/>
    <w:rsid w:val="009814CC"/>
    <w:rsid w:val="00986690"/>
    <w:rsid w:val="00987A0A"/>
    <w:rsid w:val="009935D7"/>
    <w:rsid w:val="009A1A6E"/>
    <w:rsid w:val="009B7248"/>
    <w:rsid w:val="009C02F6"/>
    <w:rsid w:val="009C2FE1"/>
    <w:rsid w:val="009C3444"/>
    <w:rsid w:val="009C5022"/>
    <w:rsid w:val="009D15D5"/>
    <w:rsid w:val="009E1352"/>
    <w:rsid w:val="009F0A5B"/>
    <w:rsid w:val="009F1EAE"/>
    <w:rsid w:val="009F4C61"/>
    <w:rsid w:val="00A004E1"/>
    <w:rsid w:val="00A05F30"/>
    <w:rsid w:val="00A1340E"/>
    <w:rsid w:val="00A138DA"/>
    <w:rsid w:val="00A14EA8"/>
    <w:rsid w:val="00A3071F"/>
    <w:rsid w:val="00A30C8E"/>
    <w:rsid w:val="00A326AC"/>
    <w:rsid w:val="00A3309D"/>
    <w:rsid w:val="00A33417"/>
    <w:rsid w:val="00A425D7"/>
    <w:rsid w:val="00A44765"/>
    <w:rsid w:val="00A456F4"/>
    <w:rsid w:val="00A55BB8"/>
    <w:rsid w:val="00A56A9B"/>
    <w:rsid w:val="00A652E4"/>
    <w:rsid w:val="00A67D85"/>
    <w:rsid w:val="00A705F2"/>
    <w:rsid w:val="00A70DDA"/>
    <w:rsid w:val="00A74B73"/>
    <w:rsid w:val="00A74C89"/>
    <w:rsid w:val="00A75BB6"/>
    <w:rsid w:val="00A84698"/>
    <w:rsid w:val="00A86041"/>
    <w:rsid w:val="00A9169C"/>
    <w:rsid w:val="00A91E04"/>
    <w:rsid w:val="00A9650D"/>
    <w:rsid w:val="00AA464E"/>
    <w:rsid w:val="00AA4B06"/>
    <w:rsid w:val="00AB2C0A"/>
    <w:rsid w:val="00AB7681"/>
    <w:rsid w:val="00AC154F"/>
    <w:rsid w:val="00AC2048"/>
    <w:rsid w:val="00AC2059"/>
    <w:rsid w:val="00AC3675"/>
    <w:rsid w:val="00AC4581"/>
    <w:rsid w:val="00AC6F7A"/>
    <w:rsid w:val="00AD34F1"/>
    <w:rsid w:val="00AD547B"/>
    <w:rsid w:val="00AD709F"/>
    <w:rsid w:val="00AD7BF7"/>
    <w:rsid w:val="00AE1FEC"/>
    <w:rsid w:val="00AE4DC8"/>
    <w:rsid w:val="00AE67F3"/>
    <w:rsid w:val="00AE766C"/>
    <w:rsid w:val="00AE79A1"/>
    <w:rsid w:val="00AF079D"/>
    <w:rsid w:val="00AF5ABE"/>
    <w:rsid w:val="00B03C83"/>
    <w:rsid w:val="00B0620A"/>
    <w:rsid w:val="00B07D01"/>
    <w:rsid w:val="00B13E44"/>
    <w:rsid w:val="00B15D35"/>
    <w:rsid w:val="00B207F1"/>
    <w:rsid w:val="00B20A68"/>
    <w:rsid w:val="00B25C0D"/>
    <w:rsid w:val="00B27069"/>
    <w:rsid w:val="00B339DD"/>
    <w:rsid w:val="00B34779"/>
    <w:rsid w:val="00B429CB"/>
    <w:rsid w:val="00B461DC"/>
    <w:rsid w:val="00B52BB3"/>
    <w:rsid w:val="00B578F3"/>
    <w:rsid w:val="00B63195"/>
    <w:rsid w:val="00B63703"/>
    <w:rsid w:val="00B63DA9"/>
    <w:rsid w:val="00B64349"/>
    <w:rsid w:val="00B74071"/>
    <w:rsid w:val="00B777E9"/>
    <w:rsid w:val="00B82E85"/>
    <w:rsid w:val="00B85FF2"/>
    <w:rsid w:val="00B910EC"/>
    <w:rsid w:val="00B9722E"/>
    <w:rsid w:val="00BA2970"/>
    <w:rsid w:val="00BA3082"/>
    <w:rsid w:val="00BA3968"/>
    <w:rsid w:val="00BC0903"/>
    <w:rsid w:val="00BC3009"/>
    <w:rsid w:val="00BC58D9"/>
    <w:rsid w:val="00BC7D49"/>
    <w:rsid w:val="00BC7DDE"/>
    <w:rsid w:val="00BD0732"/>
    <w:rsid w:val="00BD2618"/>
    <w:rsid w:val="00BD47BB"/>
    <w:rsid w:val="00BD6C92"/>
    <w:rsid w:val="00BE1A5D"/>
    <w:rsid w:val="00BE57E2"/>
    <w:rsid w:val="00BE70B3"/>
    <w:rsid w:val="00BF314E"/>
    <w:rsid w:val="00BF5C32"/>
    <w:rsid w:val="00BF6FFA"/>
    <w:rsid w:val="00C00CCD"/>
    <w:rsid w:val="00C02529"/>
    <w:rsid w:val="00C0441E"/>
    <w:rsid w:val="00C0583B"/>
    <w:rsid w:val="00C06C0C"/>
    <w:rsid w:val="00C10E44"/>
    <w:rsid w:val="00C11486"/>
    <w:rsid w:val="00C115C4"/>
    <w:rsid w:val="00C11F18"/>
    <w:rsid w:val="00C20914"/>
    <w:rsid w:val="00C23AF2"/>
    <w:rsid w:val="00C3021B"/>
    <w:rsid w:val="00C34701"/>
    <w:rsid w:val="00C36344"/>
    <w:rsid w:val="00C36D29"/>
    <w:rsid w:val="00C400C7"/>
    <w:rsid w:val="00C42C54"/>
    <w:rsid w:val="00C443D0"/>
    <w:rsid w:val="00C53E99"/>
    <w:rsid w:val="00C55404"/>
    <w:rsid w:val="00C557B7"/>
    <w:rsid w:val="00C6009E"/>
    <w:rsid w:val="00C61C2F"/>
    <w:rsid w:val="00C740A4"/>
    <w:rsid w:val="00C74303"/>
    <w:rsid w:val="00C85825"/>
    <w:rsid w:val="00C874AB"/>
    <w:rsid w:val="00C875B3"/>
    <w:rsid w:val="00C946AF"/>
    <w:rsid w:val="00C96592"/>
    <w:rsid w:val="00C9682B"/>
    <w:rsid w:val="00CA0F60"/>
    <w:rsid w:val="00CA27BC"/>
    <w:rsid w:val="00CA2B94"/>
    <w:rsid w:val="00CA4D62"/>
    <w:rsid w:val="00CA5CD9"/>
    <w:rsid w:val="00CA5D9D"/>
    <w:rsid w:val="00CB63B6"/>
    <w:rsid w:val="00CB6E33"/>
    <w:rsid w:val="00CC247C"/>
    <w:rsid w:val="00CC30D1"/>
    <w:rsid w:val="00CD0037"/>
    <w:rsid w:val="00CD0397"/>
    <w:rsid w:val="00CD5F98"/>
    <w:rsid w:val="00CD6CF7"/>
    <w:rsid w:val="00CE11B0"/>
    <w:rsid w:val="00CE1AFF"/>
    <w:rsid w:val="00CE1E8A"/>
    <w:rsid w:val="00CE3336"/>
    <w:rsid w:val="00CE34DF"/>
    <w:rsid w:val="00CE4055"/>
    <w:rsid w:val="00CE563C"/>
    <w:rsid w:val="00CF1A05"/>
    <w:rsid w:val="00CF41D8"/>
    <w:rsid w:val="00CF5C48"/>
    <w:rsid w:val="00D00E39"/>
    <w:rsid w:val="00D013A3"/>
    <w:rsid w:val="00D0400B"/>
    <w:rsid w:val="00D05C0E"/>
    <w:rsid w:val="00D10209"/>
    <w:rsid w:val="00D11B98"/>
    <w:rsid w:val="00D25A86"/>
    <w:rsid w:val="00D32A2C"/>
    <w:rsid w:val="00D43526"/>
    <w:rsid w:val="00D43BC1"/>
    <w:rsid w:val="00D442BF"/>
    <w:rsid w:val="00D52EC3"/>
    <w:rsid w:val="00D566E3"/>
    <w:rsid w:val="00D56D88"/>
    <w:rsid w:val="00D57E32"/>
    <w:rsid w:val="00D61E66"/>
    <w:rsid w:val="00D6560C"/>
    <w:rsid w:val="00D66A63"/>
    <w:rsid w:val="00D70407"/>
    <w:rsid w:val="00D71223"/>
    <w:rsid w:val="00D82FD6"/>
    <w:rsid w:val="00D94C7C"/>
    <w:rsid w:val="00DA483D"/>
    <w:rsid w:val="00DA60AF"/>
    <w:rsid w:val="00DA612D"/>
    <w:rsid w:val="00DB0CB9"/>
    <w:rsid w:val="00DB5D06"/>
    <w:rsid w:val="00DC16A2"/>
    <w:rsid w:val="00DC597F"/>
    <w:rsid w:val="00DC5D0F"/>
    <w:rsid w:val="00DC7626"/>
    <w:rsid w:val="00DC7DB5"/>
    <w:rsid w:val="00DD52A4"/>
    <w:rsid w:val="00DD6F88"/>
    <w:rsid w:val="00DE4277"/>
    <w:rsid w:val="00DF337F"/>
    <w:rsid w:val="00DF4AC2"/>
    <w:rsid w:val="00E002DD"/>
    <w:rsid w:val="00E00B81"/>
    <w:rsid w:val="00E01ABA"/>
    <w:rsid w:val="00E060B6"/>
    <w:rsid w:val="00E0662E"/>
    <w:rsid w:val="00E071D9"/>
    <w:rsid w:val="00E07785"/>
    <w:rsid w:val="00E14E07"/>
    <w:rsid w:val="00E17B94"/>
    <w:rsid w:val="00E221B2"/>
    <w:rsid w:val="00E226E1"/>
    <w:rsid w:val="00E300AA"/>
    <w:rsid w:val="00E33BF2"/>
    <w:rsid w:val="00E37F43"/>
    <w:rsid w:val="00E503E5"/>
    <w:rsid w:val="00E51F63"/>
    <w:rsid w:val="00E53A4A"/>
    <w:rsid w:val="00E53A66"/>
    <w:rsid w:val="00E53F6C"/>
    <w:rsid w:val="00E602B7"/>
    <w:rsid w:val="00E6385B"/>
    <w:rsid w:val="00E668A0"/>
    <w:rsid w:val="00E72810"/>
    <w:rsid w:val="00E7289C"/>
    <w:rsid w:val="00E74CD8"/>
    <w:rsid w:val="00E8667A"/>
    <w:rsid w:val="00E87F9D"/>
    <w:rsid w:val="00E908C7"/>
    <w:rsid w:val="00E91D82"/>
    <w:rsid w:val="00E935F6"/>
    <w:rsid w:val="00EA2D4B"/>
    <w:rsid w:val="00EA2FC8"/>
    <w:rsid w:val="00EA6839"/>
    <w:rsid w:val="00EA6C2B"/>
    <w:rsid w:val="00EA7134"/>
    <w:rsid w:val="00EB13DA"/>
    <w:rsid w:val="00EB41A9"/>
    <w:rsid w:val="00EB68B7"/>
    <w:rsid w:val="00EC226D"/>
    <w:rsid w:val="00EC4833"/>
    <w:rsid w:val="00EC6481"/>
    <w:rsid w:val="00EC6858"/>
    <w:rsid w:val="00EC7F8B"/>
    <w:rsid w:val="00ED0644"/>
    <w:rsid w:val="00ED24D2"/>
    <w:rsid w:val="00ED405F"/>
    <w:rsid w:val="00EE0587"/>
    <w:rsid w:val="00EE42D2"/>
    <w:rsid w:val="00EE5D2C"/>
    <w:rsid w:val="00EF0769"/>
    <w:rsid w:val="00EF3318"/>
    <w:rsid w:val="00EF6E26"/>
    <w:rsid w:val="00F07104"/>
    <w:rsid w:val="00F125B0"/>
    <w:rsid w:val="00F22F83"/>
    <w:rsid w:val="00F26AC6"/>
    <w:rsid w:val="00F27946"/>
    <w:rsid w:val="00F3010A"/>
    <w:rsid w:val="00F3032B"/>
    <w:rsid w:val="00F33D66"/>
    <w:rsid w:val="00F4120E"/>
    <w:rsid w:val="00F4324A"/>
    <w:rsid w:val="00F446C1"/>
    <w:rsid w:val="00F52581"/>
    <w:rsid w:val="00F52C39"/>
    <w:rsid w:val="00F536F4"/>
    <w:rsid w:val="00F632C1"/>
    <w:rsid w:val="00F65244"/>
    <w:rsid w:val="00F66CF9"/>
    <w:rsid w:val="00F70F2F"/>
    <w:rsid w:val="00F71307"/>
    <w:rsid w:val="00F754EE"/>
    <w:rsid w:val="00F778BB"/>
    <w:rsid w:val="00F80C7B"/>
    <w:rsid w:val="00F924E5"/>
    <w:rsid w:val="00F945F2"/>
    <w:rsid w:val="00F9534A"/>
    <w:rsid w:val="00F97082"/>
    <w:rsid w:val="00FA0019"/>
    <w:rsid w:val="00FA0483"/>
    <w:rsid w:val="00FA3FE7"/>
    <w:rsid w:val="00FA5455"/>
    <w:rsid w:val="00FA550E"/>
    <w:rsid w:val="00FA5AC5"/>
    <w:rsid w:val="00FA5B88"/>
    <w:rsid w:val="00FA7BE2"/>
    <w:rsid w:val="00FB0779"/>
    <w:rsid w:val="00FB11F8"/>
    <w:rsid w:val="00FB1489"/>
    <w:rsid w:val="00FB2055"/>
    <w:rsid w:val="00FB2245"/>
    <w:rsid w:val="00FB6997"/>
    <w:rsid w:val="00FB6E93"/>
    <w:rsid w:val="00FB7803"/>
    <w:rsid w:val="00FC5837"/>
    <w:rsid w:val="00FD18B3"/>
    <w:rsid w:val="00FD1C29"/>
    <w:rsid w:val="00FD34EC"/>
    <w:rsid w:val="00FD7AFE"/>
    <w:rsid w:val="00FE258B"/>
    <w:rsid w:val="00FE2B0C"/>
    <w:rsid w:val="00FE5E2B"/>
    <w:rsid w:val="00FE75EB"/>
    <w:rsid w:val="00FF1AE6"/>
    <w:rsid w:val="00FF2A25"/>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character" w:styleId="CommentReference">
    <w:name w:val="annotation reference"/>
    <w:semiHidden/>
    <w:rsid w:val="00802189"/>
    <w:rPr>
      <w:sz w:val="16"/>
      <w:szCs w:val="16"/>
    </w:r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0E4E18"/>
    <w:pPr>
      <w:pageBreakBefore/>
      <w:numPr>
        <w:numId w:val="0"/>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link w:val="StemChar"/>
    <w:rsid w:val="00343C39"/>
    <w:pPr>
      <w:keepNext/>
      <w:keepLines/>
      <w:spacing w:before="80" w:line="280" w:lineRule="exact"/>
    </w:pPr>
    <w:rPr>
      <w:rFonts w:ascii="Arial" w:hAnsi="Arial"/>
      <w:sz w:val="22"/>
      <w:szCs w:val="24"/>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C20914"/>
    <w:pPr>
      <w:spacing w:before="240" w:after="0"/>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paragraph" w:styleId="CommentText">
    <w:name w:val="annotation text"/>
    <w:basedOn w:val="Normal"/>
    <w:semiHidden/>
    <w:rsid w:val="00802189"/>
    <w:rPr>
      <w:sz w:val="20"/>
      <w:szCs w:val="20"/>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next w:val="Normal"/>
    <w:rsid w:val="000E4E18"/>
    <w:pPr>
      <w:pageBreakBefore/>
      <w:spacing w:before="0"/>
    </w:pPr>
  </w:style>
  <w:style w:type="paragraph" w:styleId="CommentSubject">
    <w:name w:val="annotation subject"/>
    <w:basedOn w:val="CommentText"/>
    <w:next w:val="CommentText"/>
    <w:semiHidden/>
    <w:rsid w:val="00802189"/>
    <w:rPr>
      <w:b/>
      <w:bCs/>
    </w:r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character" w:customStyle="1" w:styleId="StemChar">
    <w:name w:val="Stem Char"/>
    <w:link w:val="Stem"/>
    <w:rsid w:val="00343C39"/>
    <w:rPr>
      <w:rFonts w:ascii="Arial" w:hAnsi="Arial"/>
      <w:sz w:val="22"/>
      <w:szCs w:val="24"/>
      <w:lang w:val="en-AU" w:eastAsia="en-AU" w:bidi="ar-SA"/>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Stem"/>
    <w:rsid w:val="009809B4"/>
    <w:rPr>
      <w:b/>
      <w:i/>
    </w:rPr>
  </w:style>
  <w:style w:type="numbering" w:customStyle="1" w:styleId="Outlinenumbered">
    <w:name w:val="Outline numbered"/>
    <w:basedOn w:val="NoList"/>
    <w:rsid w:val="000E4E18"/>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character" w:styleId="CommentReference">
    <w:name w:val="annotation reference"/>
    <w:semiHidden/>
    <w:rsid w:val="00802189"/>
    <w:rPr>
      <w:sz w:val="16"/>
      <w:szCs w:val="16"/>
    </w:r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0E4E18"/>
    <w:pPr>
      <w:pageBreakBefore/>
      <w:numPr>
        <w:numId w:val="0"/>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link w:val="StemChar"/>
    <w:rsid w:val="00343C39"/>
    <w:pPr>
      <w:keepNext/>
      <w:keepLines/>
      <w:spacing w:before="80" w:line="280" w:lineRule="exact"/>
    </w:pPr>
    <w:rPr>
      <w:rFonts w:ascii="Arial" w:hAnsi="Arial"/>
      <w:sz w:val="22"/>
      <w:szCs w:val="24"/>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C20914"/>
    <w:pPr>
      <w:spacing w:before="240" w:after="0"/>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paragraph" w:styleId="CommentText">
    <w:name w:val="annotation text"/>
    <w:basedOn w:val="Normal"/>
    <w:semiHidden/>
    <w:rsid w:val="00802189"/>
    <w:rPr>
      <w:sz w:val="20"/>
      <w:szCs w:val="20"/>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next w:val="Normal"/>
    <w:rsid w:val="000E4E18"/>
    <w:pPr>
      <w:pageBreakBefore/>
      <w:spacing w:before="0"/>
    </w:pPr>
  </w:style>
  <w:style w:type="paragraph" w:styleId="CommentSubject">
    <w:name w:val="annotation subject"/>
    <w:basedOn w:val="CommentText"/>
    <w:next w:val="CommentText"/>
    <w:semiHidden/>
    <w:rsid w:val="00802189"/>
    <w:rPr>
      <w:b/>
      <w:bCs/>
    </w:r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character" w:customStyle="1" w:styleId="StemChar">
    <w:name w:val="Stem Char"/>
    <w:link w:val="Stem"/>
    <w:rsid w:val="00343C39"/>
    <w:rPr>
      <w:rFonts w:ascii="Arial" w:hAnsi="Arial"/>
      <w:sz w:val="22"/>
      <w:szCs w:val="24"/>
      <w:lang w:val="en-AU" w:eastAsia="en-AU" w:bidi="ar-SA"/>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Stem"/>
    <w:rsid w:val="009809B4"/>
    <w:rPr>
      <w:b/>
      <w:i/>
    </w:rPr>
  </w:style>
  <w:style w:type="numbering" w:customStyle="1" w:styleId="Outlinenumbered">
    <w:name w:val="Outline numbered"/>
    <w:basedOn w:val="NoList"/>
    <w:rsid w:val="000E4E18"/>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4%20to%209%20v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684064-9437-47F3-B361-5F7E14B5D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EF3F3EA-8FC5-4FAD-A027-19B39459EDF1}">
  <ds:schemaRefs>
    <ds:schemaRef ds:uri="http://schemas.microsoft.com/sharepoint/v3/contenttype/forms"/>
  </ds:schemaRefs>
</ds:datastoreItem>
</file>

<file path=customXml/itemProps3.xml><?xml version="1.0" encoding="utf-8"?>
<ds:datastoreItem xmlns:ds="http://schemas.openxmlformats.org/officeDocument/2006/customXml" ds:itemID="{BF3B55A0-81BC-4AE6-9072-49C8C5D7F8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4 to 9 v7.dot</Template>
  <TotalTime>0</TotalTime>
  <Pages>3</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Year 9 Health &amp; Physical Education assessment teacher guidelines | Farm to feast 3 — media report| Queensland Essential Learnings and Standards</vt:lpstr>
    </vt:vector>
  </TitlesOfParts>
  <Company>Queensland Studies Authority</Company>
  <LinksUpToDate>false</LinksUpToDate>
  <CharactersWithSpaces>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9 Health &amp; Physical Education assessment teacher guidelines | Farm to feast 3 - media report | Queensland Essential Learnings and Standards</dc:title>
  <dc:subject/>
  <dc:creator>Queensland Studies Authority</dc:creator>
  <cp:keywords/>
  <dc:description>Students present a media report discussing health promotion action to ensure positive health outcomes on food choices and eating behaviours. </dc:description>
  <cp:lastModifiedBy>QSA</cp:lastModifiedBy>
  <cp:revision>2</cp:revision>
  <cp:lastPrinted>2008-06-05T04:30:00Z</cp:lastPrinted>
  <dcterms:created xsi:type="dcterms:W3CDTF">2014-06-18T06:12:00Z</dcterms:created>
  <dcterms:modified xsi:type="dcterms:W3CDTF">2014-06-18T06:12:00Z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0x0101007022ECDCCE5AE04E9E31964A7D31288300CE88EAB03FA0F744B21A8F077F3D07CE</vt:lpwstr>
  </property>
  <property fmtid="{D5CDD505-2E9C-101B-9397-08002B2CF9AE}" pid="3" name="AdditionalKLAs">
    <vt:lpwstr/>
  </property>
  <property fmtid="{D5CDD505-2E9C-101B-9397-08002B2CF9AE}" pid="4" name="ContentType">
    <vt:lpwstr>Assessment-related resource [new]</vt:lpwstr>
  </property>
  <property fmtid="{D5CDD505-2E9C-101B-9397-08002B2CF9AE}" pid="5" name="AdditionalYearLevels">
    <vt:lpwstr/>
  </property>
  <property fmtid="{D5CDD505-2E9C-101B-9397-08002B2CF9AE}" pid="6" name="MainKLA">
    <vt:lpwstr/>
  </property>
  <property fmtid="{D5CDD505-2E9C-101B-9397-08002B2CF9AE}" pid="7" name="MainYearLevel">
    <vt:lpwstr/>
  </property>
  <property fmtid="{D5CDD505-2E9C-101B-9397-08002B2CF9AE}" pid="8" name="QSADeveloped">
    <vt:lpwstr/>
  </property>
  <property fmtid="{D5CDD505-2E9C-101B-9397-08002B2CF9AE}" pid="9" name="AssessableItems">
    <vt:lpwstr/>
  </property>
  <property fmtid="{D5CDD505-2E9C-101B-9397-08002B2CF9AE}" pid="10" name="PackageOwner">
    <vt:lpwstr/>
  </property>
  <property fmtid="{D5CDD505-2E9C-101B-9397-08002B2CF9AE}" pid="11" name="PackageVersion">
    <vt:lpwstr/>
  </property>
  <property fmtid="{D5CDD505-2E9C-101B-9397-08002B2CF9AE}" pid="12" name="ContextForAssessment">
    <vt:lpwstr/>
  </property>
  <property fmtid="{D5CDD505-2E9C-101B-9397-08002B2CF9AE}" pid="13" name="PackageOverview">
    <vt:lpwstr/>
  </property>
  <property fmtid="{D5CDD505-2E9C-101B-9397-08002B2CF9AE}" pid="14" name="PackageKeywords">
    <vt:lpwstr/>
  </property>
  <property fmtid="{D5CDD505-2E9C-101B-9397-08002B2CF9AE}" pid="15" name="OrganiserEnglish">
    <vt:lpwstr/>
  </property>
  <property fmtid="{D5CDD505-2E9C-101B-9397-08002B2CF9AE}" pid="16" name="OrganiserHPE">
    <vt:lpwstr/>
  </property>
  <property fmtid="{D5CDD505-2E9C-101B-9397-08002B2CF9AE}" pid="17" name="OrganiserLanguages">
    <vt:lpwstr/>
  </property>
  <property fmtid="{D5CDD505-2E9C-101B-9397-08002B2CF9AE}" pid="18" name="OrganiserMathematics">
    <vt:lpwstr/>
  </property>
  <property fmtid="{D5CDD505-2E9C-101B-9397-08002B2CF9AE}" pid="19" name="OrganiserScience">
    <vt:lpwstr/>
  </property>
  <property fmtid="{D5CDD505-2E9C-101B-9397-08002B2CF9AE}" pid="20" name="OrganiserSOSE">
    <vt:lpwstr/>
  </property>
  <property fmtid="{D5CDD505-2E9C-101B-9397-08002B2CF9AE}" pid="21" name="OrganiserTechnology">
    <vt:lpwstr/>
  </property>
  <property fmtid="{D5CDD505-2E9C-101B-9397-08002B2CF9AE}" pid="22" name="OrganiserTheArts">
    <vt:lpwstr/>
  </property>
  <property fmtid="{D5CDD505-2E9C-101B-9397-08002B2CF9AE}" pid="23" name="EssentialLearnings">
    <vt:lpwstr/>
  </property>
  <property fmtid="{D5CDD505-2E9C-101B-9397-08002B2CF9AE}" pid="24" name="PackageStatus0">
    <vt:lpwstr/>
  </property>
</Properties>
</file>