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3B201A" w:rsidP="00BC58D9">
      <w:pPr>
        <w:pStyle w:val="CoverTitle"/>
      </w:pPr>
      <w:bookmarkStart w:id="0" w:name="_GoBack"/>
      <w:bookmarkEnd w:id="0"/>
      <w:r>
        <w:t xml:space="preserve">Farm to feast </w:t>
      </w:r>
      <w:r w:rsidR="000C1807">
        <w:t xml:space="preserve">2 </w:t>
      </w:r>
      <w:r>
        <w:t>— action plan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986BFD">
              <w:t>9</w:t>
            </w:r>
          </w:p>
        </w:tc>
        <w:tc>
          <w:tcPr>
            <w:tcW w:w="6396" w:type="dxa"/>
            <w:shd w:val="clear" w:color="auto" w:fill="E3DEE8"/>
            <w:tcMar>
              <w:top w:w="113" w:type="dxa"/>
              <w:left w:w="113" w:type="dxa"/>
              <w:bottom w:w="113" w:type="dxa"/>
              <w:right w:w="113" w:type="dxa"/>
            </w:tcMar>
            <w:vAlign w:val="center"/>
          </w:tcPr>
          <w:p w:rsidR="00321DA5" w:rsidRDefault="00986BFD" w:rsidP="002F4C51">
            <w:pPr>
              <w:pStyle w:val="CoverYearKLAName"/>
              <w:spacing w:after="0"/>
            </w:pPr>
            <w:r>
              <w:t>Health &amp; Physical Education (HPE)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635819" w:rsidP="00CD0037">
            <w:pPr>
              <w:pStyle w:val="CoverOverview"/>
            </w:pPr>
            <w:r w:rsidRPr="00D44B22">
              <w:t xml:space="preserve">Students formulate a plan of action </w:t>
            </w:r>
            <w:r w:rsidR="00016A8E">
              <w:t xml:space="preserve">to enable </w:t>
            </w:r>
            <w:r w:rsidRPr="00D44B22">
              <w:t xml:space="preserve">consumers to </w:t>
            </w:r>
            <w:r w:rsidR="00016A8E">
              <w:t>make</w:t>
            </w:r>
            <w:r w:rsidRPr="00D44B22">
              <w:t xml:space="preserve"> healthy food choices and </w:t>
            </w:r>
            <w:r w:rsidR="00016A8E">
              <w:t xml:space="preserve">have </w:t>
            </w:r>
            <w:r w:rsidRPr="00D44B22">
              <w:t>better health outcomes from eating</w:t>
            </w:r>
            <w:r>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5046E" w:rsidRDefault="0035046E" w:rsidP="0035046E">
            <w:r>
              <w:t>Poor f</w:t>
            </w:r>
            <w:r w:rsidRPr="004E7A01">
              <w:t xml:space="preserve">ood choices and eating behaviours are often </w:t>
            </w:r>
            <w:r>
              <w:t>regarded</w:t>
            </w:r>
            <w:r w:rsidRPr="004E7A01">
              <w:t xml:space="preserve"> as the cause of disease and illness. People are</w:t>
            </w:r>
            <w:r>
              <w:t xml:space="preserve"> often</w:t>
            </w:r>
            <w:r w:rsidRPr="004E7A01">
              <w:t xml:space="preserve"> encouraged to </w:t>
            </w:r>
            <w:r>
              <w:t xml:space="preserve">make healthier </w:t>
            </w:r>
            <w:r w:rsidRPr="004E7A01">
              <w:t xml:space="preserve">food choices </w:t>
            </w:r>
            <w:r>
              <w:t xml:space="preserve">in order to increase the </w:t>
            </w:r>
            <w:r w:rsidRPr="004E7A01">
              <w:t xml:space="preserve">likelihood of </w:t>
            </w:r>
            <w:r>
              <w:t>good</w:t>
            </w:r>
            <w:r w:rsidRPr="004E7A01">
              <w:t xml:space="preserve"> health. But is it that simple?</w:t>
            </w:r>
          </w:p>
          <w:p w:rsidR="0035046E" w:rsidRPr="002057C6" w:rsidRDefault="0035046E" w:rsidP="0035046E">
            <w:r w:rsidRPr="002057C6">
              <w:t xml:space="preserve">This is the </w:t>
            </w:r>
            <w:r>
              <w:t xml:space="preserve">second of three “Farm to feast" packages. </w:t>
            </w:r>
            <w:r w:rsidRPr="002057C6">
              <w:t>The other packages are:</w:t>
            </w:r>
          </w:p>
          <w:p w:rsidR="0035046E" w:rsidRDefault="0035046E" w:rsidP="0035046E">
            <w:r>
              <w:t>Farm to feast 1 — investigation</w:t>
            </w:r>
          </w:p>
          <w:p w:rsidR="00321DA5" w:rsidRDefault="0035046E" w:rsidP="0035046E">
            <w:r>
              <w:t>Farm to feast 3 — media report</w:t>
            </w:r>
            <w:r w:rsidRPr="002057C6">
              <w:t>.</w:t>
            </w:r>
          </w:p>
        </w:tc>
      </w:tr>
    </w:tbl>
    <w:p w:rsidR="00B34779" w:rsidRPr="00A326AC" w:rsidRDefault="00CE25C3"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CD0037" w:rsidRPr="00750B88" w:rsidTr="00C92272">
        <w:trPr>
          <w:trHeight w:val="76"/>
          <w:jc w:val="center"/>
        </w:trPr>
        <w:tc>
          <w:tcPr>
            <w:tcW w:w="9639" w:type="dxa"/>
            <w:gridSpan w:val="2"/>
            <w:shd w:val="clear" w:color="auto" w:fill="E6E6E6"/>
          </w:tcPr>
          <w:p w:rsidR="00CD0037" w:rsidRPr="00750B88" w:rsidRDefault="00C92272" w:rsidP="00C20914">
            <w:pPr>
              <w:pStyle w:val="Heading2Table"/>
            </w:pPr>
            <w:r>
              <w:t>HPE</w:t>
            </w:r>
            <w:r w:rsidR="00CD0037" w:rsidRPr="00750B88">
              <w:tab/>
              <w:t xml:space="preserve">Essential Learnings by the end of Year </w:t>
            </w:r>
            <w:r>
              <w:t>9</w:t>
            </w:r>
          </w:p>
        </w:tc>
      </w:tr>
      <w:tr w:rsidR="00934842" w:rsidTr="00C92272">
        <w:trPr>
          <w:trHeight w:val="3454"/>
          <w:jc w:val="center"/>
        </w:trPr>
        <w:tc>
          <w:tcPr>
            <w:tcW w:w="4321" w:type="dxa"/>
          </w:tcPr>
          <w:p w:rsidR="00934842" w:rsidRPr="00A67D85" w:rsidRDefault="00934842" w:rsidP="002C1299">
            <w:pPr>
              <w:pStyle w:val="Heading3"/>
              <w:keepLines/>
            </w:pPr>
            <w:r w:rsidRPr="00A67D85">
              <w:t>Ways of working</w:t>
            </w:r>
          </w:p>
          <w:p w:rsidR="00934842" w:rsidRPr="00750B88" w:rsidRDefault="00934842" w:rsidP="008A37AF">
            <w:pPr>
              <w:pStyle w:val="Stem"/>
              <w:rPr>
                <w:b/>
              </w:rPr>
            </w:pPr>
            <w:r w:rsidRPr="00750B88">
              <w:rPr>
                <w:b/>
              </w:rPr>
              <w:t>Students are able to:</w:t>
            </w:r>
          </w:p>
          <w:p w:rsidR="00C92272" w:rsidRPr="00D44B22" w:rsidRDefault="00C92272" w:rsidP="00C92272">
            <w:pPr>
              <w:pStyle w:val="Bulletslevel1"/>
            </w:pPr>
            <w:r w:rsidRPr="00D44B22">
              <w:t>research, analyse and evaluate data, information and evidence</w:t>
            </w:r>
          </w:p>
          <w:p w:rsidR="00C92272" w:rsidRPr="00D44B22" w:rsidRDefault="00C92272" w:rsidP="00C92272">
            <w:pPr>
              <w:pStyle w:val="Bulletslevel1"/>
            </w:pPr>
            <w:r w:rsidRPr="00D44B22">
              <w:t>draw conclusions and make decisions to construct arguments</w:t>
            </w:r>
          </w:p>
          <w:p w:rsidR="00934842" w:rsidRPr="00A67D85" w:rsidRDefault="00C92272" w:rsidP="00C92272">
            <w:pPr>
              <w:pStyle w:val="Bulletslevel1"/>
            </w:pPr>
            <w:r w:rsidRPr="00D44B22">
              <w:t>propose, justify, implement and monitor plans or actions to achieve goals, address inequities and promote health and wellbeing, movement capacities and personal development</w:t>
            </w:r>
            <w:r w:rsidR="007163F3">
              <w:t>.</w:t>
            </w:r>
          </w:p>
        </w:tc>
        <w:tc>
          <w:tcPr>
            <w:tcW w:w="5318" w:type="dxa"/>
          </w:tcPr>
          <w:p w:rsidR="00934842" w:rsidRDefault="00934842" w:rsidP="002C1299">
            <w:pPr>
              <w:pStyle w:val="Heading3"/>
              <w:keepLines/>
            </w:pPr>
            <w:r>
              <w:t>Knowledge and understanding</w:t>
            </w:r>
          </w:p>
          <w:p w:rsidR="00934842" w:rsidRPr="00066520" w:rsidRDefault="00C92272" w:rsidP="009809B4">
            <w:pPr>
              <w:pStyle w:val="Organiser"/>
            </w:pPr>
            <w:r>
              <w:t>Health</w:t>
            </w:r>
          </w:p>
          <w:p w:rsidR="00C92272" w:rsidRPr="00D44B22" w:rsidRDefault="00C92272" w:rsidP="00C92272">
            <w:r w:rsidRPr="00C92272">
              <w:rPr>
                <w:b/>
              </w:rPr>
              <w:t>Health is multidimensional and dynamic, and influenced by actions and environments</w:t>
            </w:r>
            <w:r w:rsidRPr="00D44B22">
              <w:t>.</w:t>
            </w:r>
          </w:p>
          <w:p w:rsidR="00C92272" w:rsidRPr="00D44B22" w:rsidRDefault="00C92272" w:rsidP="00C92272">
            <w:pPr>
              <w:pStyle w:val="Bulletslevel1"/>
            </w:pPr>
            <w:r w:rsidRPr="00D44B22">
              <w:t>The interaction between personal, social, cultural and environmental factors influences health behaviours, including nutrition and physical activity choices</w:t>
            </w:r>
            <w:r w:rsidR="007163F3">
              <w:t>.</w:t>
            </w:r>
          </w:p>
          <w:p w:rsidR="00934842" w:rsidRDefault="00C92272" w:rsidP="00C92272">
            <w:pPr>
              <w:pStyle w:val="Bulletslevel1"/>
            </w:pPr>
            <w:r w:rsidRPr="00D44B22">
              <w:t>Adolescents can meet their specific nutritional needs through eating foods that reflect the dietary guidelines</w:t>
            </w:r>
            <w:r w:rsidR="007163F3">
              <w:t>.</w:t>
            </w:r>
          </w:p>
        </w:tc>
      </w:tr>
      <w:tr w:rsidR="00B34779" w:rsidRPr="00AD12C7" w:rsidTr="00C92272">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C92272" w:rsidRPr="00D44B22" w:rsidRDefault="002748B2" w:rsidP="00C92272">
            <w:pPr>
              <w:pStyle w:val="Bulletslevel1"/>
            </w:pPr>
            <w:r>
              <w:t>Investigating</w:t>
            </w:r>
          </w:p>
          <w:p w:rsidR="00C92272" w:rsidRPr="00D44B22" w:rsidRDefault="002748B2" w:rsidP="00C92272">
            <w:pPr>
              <w:pStyle w:val="Bulletslevel1"/>
            </w:pPr>
            <w:r>
              <w:t>Planning</w:t>
            </w:r>
          </w:p>
          <w:p w:rsidR="00B34779" w:rsidRPr="00AD12C7" w:rsidRDefault="0026210E" w:rsidP="00C92272">
            <w:pPr>
              <w:pStyle w:val="Bulletslevel1"/>
            </w:pPr>
            <w:r>
              <w:t>R</w:t>
            </w:r>
            <w:r w:rsidR="00C92272" w:rsidRPr="00D44B22">
              <w:t>eflecting</w:t>
            </w:r>
          </w:p>
        </w:tc>
      </w:tr>
      <w:tr w:rsidR="00B34779" w:rsidRPr="00474B75" w:rsidTr="00C92272">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C92272">
              <w:rPr>
                <w:rStyle w:val="SourceTitleChar"/>
              </w:rPr>
              <w:t>HPE</w:t>
            </w:r>
            <w:r w:rsidRPr="00750B88">
              <w:rPr>
                <w:rStyle w:val="SourceTitleChar"/>
              </w:rPr>
              <w:t xml:space="preserve"> Essential Learnings by the end of Year </w:t>
            </w:r>
            <w:r w:rsidR="00C92272">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132042" w:rsidRDefault="00E8667A" w:rsidP="00132042">
      <w:pPr>
        <w:pStyle w:val="Stem"/>
      </w:pPr>
      <w:r>
        <w:br w:type="page"/>
      </w:r>
      <w:r w:rsidR="00132042">
        <w:lastRenderedPageBreak/>
        <w:t xml:space="preserve"> </w:t>
      </w:r>
      <w:r w:rsidR="006651E7">
        <w:t>Listed here are s</w:t>
      </w:r>
      <w:r w:rsidR="008F3048">
        <w:t xml:space="preserve">uggested </w:t>
      </w:r>
      <w:r w:rsidR="008F3048" w:rsidRPr="009D15D5">
        <w:t>learning experiences</w:t>
      </w:r>
      <w:r w:rsidR="008F3048">
        <w:t xml:space="preserve"> for students be</w:t>
      </w:r>
      <w:r w:rsidR="00D43BC1">
        <w:t>fore attempting this assessment.</w:t>
      </w:r>
    </w:p>
    <w:p w:rsidR="00132042" w:rsidRPr="00D44B22" w:rsidRDefault="00132042" w:rsidP="00132042">
      <w:pPr>
        <w:pStyle w:val="Bulletslevel1"/>
      </w:pPr>
      <w:r w:rsidRPr="00D44B22">
        <w:t>Investigate the social, cultural and environmental influences on food choices and eating behaviours</w:t>
      </w:r>
      <w:r w:rsidR="0026210E">
        <w:t>.</w:t>
      </w:r>
    </w:p>
    <w:p w:rsidR="00132042" w:rsidRPr="00D44B22" w:rsidRDefault="0026210E" w:rsidP="00132042">
      <w:pPr>
        <w:pStyle w:val="Bulletslevel1"/>
      </w:pPr>
      <w:r>
        <w:t>Revise g</w:t>
      </w:r>
      <w:r w:rsidR="00132042" w:rsidRPr="00D44B22">
        <w:t xml:space="preserve">enre </w:t>
      </w:r>
      <w:r>
        <w:t>and formatting for action plans.</w:t>
      </w:r>
    </w:p>
    <w:p w:rsidR="00132042" w:rsidRPr="00D44B22" w:rsidRDefault="00692578" w:rsidP="00132042">
      <w:pPr>
        <w:pStyle w:val="Bulletslevel1"/>
      </w:pPr>
      <w:r>
        <w:t>Discuss</w:t>
      </w:r>
      <w:r w:rsidR="0026210E">
        <w:t xml:space="preserve"> s</w:t>
      </w:r>
      <w:r w:rsidR="00132042" w:rsidRPr="00D44B22">
        <w:t xml:space="preserve">pecific research for the </w:t>
      </w:r>
      <w:r w:rsidR="00465269">
        <w:t>assessment</w:t>
      </w:r>
      <w:r w:rsidR="0026210E">
        <w:t xml:space="preserve">, such as </w:t>
      </w:r>
      <w:r w:rsidR="00132042" w:rsidRPr="00D44B22">
        <w:t>narrowing the search field a</w:t>
      </w:r>
      <w:r w:rsidR="0026210E">
        <w:t>nd finding relevant information.</w:t>
      </w:r>
    </w:p>
    <w:p w:rsidR="00132042" w:rsidRPr="00D44B22" w:rsidRDefault="00132042" w:rsidP="00132042">
      <w:pPr>
        <w:pStyle w:val="Bulletslevel1"/>
      </w:pPr>
      <w:r w:rsidRPr="00D44B22">
        <w:t>Research the Australian Guide to Healthy Eating and the Healthy Active Campaign to gather essential information</w:t>
      </w:r>
      <w:r w:rsidR="007163F3">
        <w:t>.</w:t>
      </w:r>
      <w:r w:rsidRPr="00D44B22">
        <w:t xml:space="preserve"> </w:t>
      </w:r>
    </w:p>
    <w:p w:rsidR="00132042" w:rsidRPr="00D44B22" w:rsidRDefault="00132042" w:rsidP="00132042">
      <w:pPr>
        <w:pStyle w:val="Bulletslevel1"/>
      </w:pPr>
      <w:r w:rsidRPr="00D44B22">
        <w:t>Analys</w:t>
      </w:r>
      <w:r w:rsidR="0026210E">
        <w:t>e</w:t>
      </w:r>
      <w:r w:rsidRPr="00D44B22">
        <w:t xml:space="preserve"> </w:t>
      </w:r>
      <w:r w:rsidR="0026210E">
        <w:t xml:space="preserve">food </w:t>
      </w:r>
      <w:r w:rsidRPr="00D44B22">
        <w:t xml:space="preserve">labels </w:t>
      </w:r>
      <w:r w:rsidR="0026210E">
        <w:t xml:space="preserve">and use </w:t>
      </w:r>
      <w:r w:rsidRPr="00D44B22">
        <w:t>information about essential nutrients and</w:t>
      </w:r>
      <w:r w:rsidR="007163F3">
        <w:t xml:space="preserve"> recommended daily intake (RDI).</w:t>
      </w:r>
    </w:p>
    <w:p w:rsidR="00F9534A" w:rsidRDefault="0026210E" w:rsidP="0026210E">
      <w:pPr>
        <w:pStyle w:val="Bulletslevel1"/>
      </w:pPr>
      <w:r>
        <w:t xml:space="preserve">Examine </w:t>
      </w:r>
      <w:r w:rsidR="00692578">
        <w:t>t</w:t>
      </w:r>
      <w:r w:rsidRPr="004E7A01">
        <w:t xml:space="preserve">he Ottawa Charter for Health Promotion </w:t>
      </w:r>
      <w:r>
        <w:t xml:space="preserve">to provide </w:t>
      </w:r>
      <w:r w:rsidRPr="004E7A01">
        <w:t>students wi</w:t>
      </w:r>
      <w:r>
        <w:t xml:space="preserve">th </w:t>
      </w:r>
      <w:r w:rsidRPr="004E7A01">
        <w:t>a basic understanding of the social view of health and the five areas for action in health promotion</w:t>
      </w:r>
      <w:r>
        <w:t>.</w:t>
      </w:r>
      <w:r w:rsidR="00CE25C3">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25C3">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ook w:val="01E0" w:firstRow="1" w:lastRow="1" w:firstColumn="1" w:lastColumn="1" w:noHBand="0" w:noVBand="0"/>
      </w:tblPr>
      <w:tblGrid>
        <w:gridCol w:w="1086"/>
        <w:gridCol w:w="8553"/>
      </w:tblGrid>
      <w:tr w:rsidR="00C61C2F" w:rsidRPr="008814B0" w:rsidTr="00D43C95">
        <w:trPr>
          <w:trHeight w:val="870"/>
        </w:trPr>
        <w:tc>
          <w:tcPr>
            <w:tcW w:w="557" w:type="pct"/>
          </w:tcPr>
          <w:p w:rsidR="00C61C2F" w:rsidRPr="000B2F55" w:rsidRDefault="00CE25C3"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54003C" w:rsidRDefault="00692578" w:rsidP="00132042">
      <w:r>
        <w:t>“</w:t>
      </w:r>
      <w:r w:rsidRPr="00D44B22">
        <w:t>Ott</w:t>
      </w:r>
      <w:r>
        <w:t xml:space="preserve">awa Charter </w:t>
      </w:r>
      <w:r w:rsidR="002C7D7A">
        <w:t>for</w:t>
      </w:r>
      <w:r>
        <w:t xml:space="preserve"> Health Promotion”,</w:t>
      </w:r>
      <w:r w:rsidRPr="00D44B22">
        <w:t xml:space="preserve"> </w:t>
      </w:r>
      <w:r w:rsidR="00132042" w:rsidRPr="00D44B22">
        <w:t>The World Health Organisation</w:t>
      </w:r>
      <w:r>
        <w:t xml:space="preserve">, </w:t>
      </w:r>
      <w:r w:rsidR="00132042" w:rsidRPr="00D44B22">
        <w:t xml:space="preserve">accessed </w:t>
      </w:r>
      <w:r>
        <w:t>16 June</w:t>
      </w:r>
      <w:r w:rsidR="00132042" w:rsidRPr="00D44B22">
        <w:t xml:space="preserve"> 2008</w:t>
      </w:r>
      <w:r w:rsidR="0054003C">
        <w:t xml:space="preserve">, </w:t>
      </w:r>
      <w:r w:rsidR="00132042">
        <w:t>&lt;</w:t>
      </w:r>
      <w:r w:rsidRPr="00692578">
        <w:t xml:space="preserve">www.who.int/hpr/NPH/docs/ottawa_charter_hp.pdf </w:t>
      </w:r>
      <w:r w:rsidR="00132042">
        <w:t>&gt;</w:t>
      </w:r>
      <w:r>
        <w:t>.</w:t>
      </w:r>
    </w:p>
    <w:p w:rsidR="000A6FF3" w:rsidRDefault="000A6FF3" w:rsidP="00132042">
      <w:r>
        <w:t>“Food label fact sheet”, Australian Nutrition Foundation, accessed 16 June 2008, &lt;</w:t>
      </w:r>
      <w:r w:rsidRPr="00132042">
        <w:t>www.</w:t>
      </w:r>
      <w:r>
        <w:t>nutritionaustralia.org&gt;.</w:t>
      </w:r>
    </w:p>
    <w:p w:rsidR="004A7571" w:rsidRPr="004A7571" w:rsidRDefault="004A7571" w:rsidP="002A398F">
      <w:pPr>
        <w:jc w:val="center"/>
      </w:pPr>
    </w:p>
    <w:p w:rsidR="002C7D7A" w:rsidRDefault="002C7D7A" w:rsidP="00132042"/>
    <w:p w:rsidR="00233FC0" w:rsidRDefault="009F1EAE" w:rsidP="009F1EAE">
      <w:pPr>
        <w:pStyle w:val="Heading2"/>
      </w:pPr>
      <w:r>
        <w:br w:type="page"/>
      </w:r>
      <w:r w:rsidR="00233FC0">
        <w:t>Sample implementation plan</w:t>
      </w:r>
    </w:p>
    <w:p w:rsidR="00C0583B" w:rsidRPr="00132042"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216C8D" w:rsidRPr="009D15D5">
        <w:trPr>
          <w:jc w:val="center"/>
        </w:trPr>
        <w:tc>
          <w:tcPr>
            <w:tcW w:w="3213" w:type="dxa"/>
            <w:shd w:val="clear" w:color="auto" w:fill="CCCCCC"/>
          </w:tcPr>
          <w:p w:rsidR="00216C8D" w:rsidRPr="009D15D5" w:rsidRDefault="00216C8D" w:rsidP="00C11F18">
            <w:pPr>
              <w:keepNext/>
              <w:spacing w:before="120" w:after="120"/>
              <w:rPr>
                <w:b/>
              </w:rPr>
            </w:pPr>
            <w:r w:rsidRPr="009D15D5">
              <w:rPr>
                <w:b/>
              </w:rPr>
              <w:t>Suggested time</w:t>
            </w:r>
          </w:p>
        </w:tc>
        <w:tc>
          <w:tcPr>
            <w:tcW w:w="3213" w:type="dxa"/>
            <w:shd w:val="clear" w:color="auto" w:fill="CCCCCC"/>
          </w:tcPr>
          <w:p w:rsidR="00216C8D" w:rsidRPr="009D15D5" w:rsidRDefault="00216C8D" w:rsidP="00C11F18">
            <w:pPr>
              <w:keepNext/>
              <w:spacing w:before="120" w:after="120"/>
              <w:rPr>
                <w:b/>
              </w:rPr>
            </w:pPr>
            <w:r w:rsidRPr="009D15D5">
              <w:rPr>
                <w:b/>
              </w:rPr>
              <w:t>Student activity</w:t>
            </w:r>
          </w:p>
        </w:tc>
        <w:tc>
          <w:tcPr>
            <w:tcW w:w="3213"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1. </w:t>
            </w:r>
            <w:r w:rsidR="004A341A">
              <w:rPr>
                <w:b/>
              </w:rPr>
              <w:t>Action plan</w:t>
            </w:r>
          </w:p>
        </w:tc>
      </w:tr>
      <w:tr w:rsidR="001E7295">
        <w:trPr>
          <w:jc w:val="center"/>
        </w:trPr>
        <w:tc>
          <w:tcPr>
            <w:tcW w:w="3213" w:type="dxa"/>
          </w:tcPr>
          <w:p w:rsidR="001E7295" w:rsidRDefault="001E7295" w:rsidP="00964AFA">
            <w:pPr>
              <w:pStyle w:val="tablesml"/>
            </w:pPr>
            <w:r>
              <w:t>90 minutes to investigate</w:t>
            </w:r>
          </w:p>
          <w:p w:rsidR="001E7295" w:rsidRPr="00964AFA" w:rsidRDefault="001E7295" w:rsidP="00964AFA">
            <w:pPr>
              <w:pStyle w:val="tablesml"/>
            </w:pPr>
            <w:r>
              <w:t>30 minutes to review</w:t>
            </w:r>
          </w:p>
        </w:tc>
        <w:tc>
          <w:tcPr>
            <w:tcW w:w="3213" w:type="dxa"/>
          </w:tcPr>
          <w:p w:rsidR="001E7295" w:rsidRPr="00D44B22" w:rsidRDefault="004A341A" w:rsidP="008C3C57">
            <w:r>
              <w:t>In small groups, i</w:t>
            </w:r>
            <w:r w:rsidR="001E7295" w:rsidRPr="00D44B22">
              <w:t>nvestigate or review personal, social, cultural and environmental influences on food choices and eating behaviours</w:t>
            </w:r>
            <w:r w:rsidR="006F7354">
              <w:t>.</w:t>
            </w:r>
          </w:p>
        </w:tc>
        <w:tc>
          <w:tcPr>
            <w:tcW w:w="3213" w:type="dxa"/>
          </w:tcPr>
          <w:p w:rsidR="001E7295" w:rsidRPr="00D44B22" w:rsidRDefault="001E7295" w:rsidP="008C3C57">
            <w:r w:rsidRPr="00D44B22">
              <w:t xml:space="preserve">Facilitate group discussion. Prompt for examining less obvious influences such as the economics </w:t>
            </w:r>
            <w:r w:rsidR="006F7354">
              <w:t>of</w:t>
            </w:r>
            <w:r w:rsidRPr="00D44B22">
              <w:t xml:space="preserve"> supply and demand</w:t>
            </w:r>
            <w:r w:rsidR="006F7354">
              <w:t>.</w:t>
            </w:r>
            <w:r w:rsidRPr="00D44B22">
              <w:t xml:space="preserve"> </w:t>
            </w:r>
          </w:p>
        </w:tc>
      </w:tr>
      <w:tr w:rsidR="001E7295">
        <w:trPr>
          <w:jc w:val="center"/>
        </w:trPr>
        <w:tc>
          <w:tcPr>
            <w:tcW w:w="3213" w:type="dxa"/>
          </w:tcPr>
          <w:p w:rsidR="001E7295" w:rsidRPr="00964AFA" w:rsidRDefault="001E7295" w:rsidP="00964AFA">
            <w:pPr>
              <w:pStyle w:val="tablesml"/>
            </w:pPr>
            <w:r>
              <w:t>30 minutes</w:t>
            </w:r>
          </w:p>
        </w:tc>
        <w:tc>
          <w:tcPr>
            <w:tcW w:w="3213" w:type="dxa"/>
          </w:tcPr>
          <w:p w:rsidR="001E7295" w:rsidRPr="00D44B22" w:rsidRDefault="001E7295" w:rsidP="008C3C57">
            <w:r w:rsidRPr="00D44B22">
              <w:t>Write up the action plan using the flow chart provided and the information from your research</w:t>
            </w:r>
            <w:r w:rsidR="006F7354">
              <w:t>.</w:t>
            </w:r>
          </w:p>
        </w:tc>
        <w:tc>
          <w:tcPr>
            <w:tcW w:w="3213" w:type="dxa"/>
          </w:tcPr>
          <w:p w:rsidR="001E7295" w:rsidRPr="00D44B22" w:rsidRDefault="009C4A6B" w:rsidP="008C3C57">
            <w:r>
              <w:t>S</w:t>
            </w:r>
            <w:r w:rsidR="001E7295" w:rsidRPr="00D44B22">
              <w:t>upport student work</w:t>
            </w:r>
            <w:r w:rsidR="006F7354">
              <w:t>.</w:t>
            </w:r>
          </w:p>
        </w:tc>
      </w:tr>
      <w:tr w:rsidR="00C11F18" w:rsidRPr="009D15D5">
        <w:trPr>
          <w:jc w:val="center"/>
        </w:trPr>
        <w:tc>
          <w:tcPr>
            <w:tcW w:w="9639" w:type="dxa"/>
            <w:gridSpan w:val="3"/>
            <w:shd w:val="clear" w:color="auto" w:fill="E6E6E6"/>
          </w:tcPr>
          <w:p w:rsidR="00C11F18" w:rsidRPr="009D15D5" w:rsidRDefault="00C11F18" w:rsidP="00C11F18">
            <w:pPr>
              <w:keepNext/>
              <w:spacing w:before="120" w:after="120"/>
              <w:rPr>
                <w:b/>
              </w:rPr>
            </w:pPr>
            <w:r w:rsidRPr="009D15D5">
              <w:rPr>
                <w:b/>
              </w:rPr>
              <w:t xml:space="preserve">Section 2. </w:t>
            </w:r>
            <w:r w:rsidR="001E7295">
              <w:rPr>
                <w:b/>
              </w:rPr>
              <w:t>Reflection</w:t>
            </w:r>
          </w:p>
        </w:tc>
      </w:tr>
      <w:tr w:rsidR="001E7295">
        <w:trPr>
          <w:jc w:val="center"/>
        </w:trPr>
        <w:tc>
          <w:tcPr>
            <w:tcW w:w="3213" w:type="dxa"/>
          </w:tcPr>
          <w:p w:rsidR="001E7295" w:rsidRPr="00D44B22" w:rsidRDefault="001E7295" w:rsidP="008C3C57">
            <w:r w:rsidRPr="00D44B22">
              <w:t>30</w:t>
            </w:r>
            <w:r>
              <w:t xml:space="preserve"> </w:t>
            </w:r>
            <w:r w:rsidRPr="00D44B22">
              <w:t>minutes</w:t>
            </w:r>
          </w:p>
        </w:tc>
        <w:tc>
          <w:tcPr>
            <w:tcW w:w="3213" w:type="dxa"/>
          </w:tcPr>
          <w:p w:rsidR="001E7295" w:rsidRPr="00D44B22" w:rsidRDefault="004A341A" w:rsidP="008C3C57">
            <w:r>
              <w:t xml:space="preserve">Complete </w:t>
            </w:r>
            <w:r w:rsidR="000C3922">
              <w:t>reflection</w:t>
            </w:r>
            <w:r w:rsidR="006F7354">
              <w:t>.</w:t>
            </w:r>
          </w:p>
        </w:tc>
        <w:tc>
          <w:tcPr>
            <w:tcW w:w="3213" w:type="dxa"/>
          </w:tcPr>
          <w:p w:rsidR="001E7295" w:rsidRDefault="001E7295" w:rsidP="008C3C57">
            <w:r w:rsidRPr="00D44B22">
              <w:t xml:space="preserve">Facilitate. Students could complete the reflection as an oral </w:t>
            </w:r>
            <w:r w:rsidR="00465269">
              <w:t>presentation</w:t>
            </w:r>
            <w:r w:rsidR="006F7354">
              <w:t>.</w:t>
            </w:r>
          </w:p>
          <w:p w:rsidR="00465269" w:rsidRPr="00D44B22" w:rsidRDefault="00465269" w:rsidP="008C3C57">
            <w:r>
              <w:t>Provide feedback.</w:t>
            </w:r>
          </w:p>
        </w:tc>
      </w:tr>
    </w:tbl>
    <w:p w:rsidR="00FA5455" w:rsidRDefault="00943DC9" w:rsidP="00FA5455">
      <w:r>
        <w:br w:type="page"/>
      </w:r>
      <w:r w:rsidR="00CE25C3">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FA5455" w:rsidRPr="008814B0" w:rsidTr="0000591B">
        <w:trPr>
          <w:trHeight w:val="870"/>
        </w:trPr>
        <w:tc>
          <w:tcPr>
            <w:tcW w:w="556" w:type="pct"/>
            <w:vAlign w:val="bottom"/>
          </w:tcPr>
          <w:p w:rsidR="00FA5455" w:rsidRPr="000B2F55" w:rsidRDefault="00CE25C3" w:rsidP="002C1E49">
            <w:pPr>
              <w:spacing w:before="0" w:after="0" w:line="240" w:lineRule="auto"/>
            </w:pPr>
            <w:r>
              <w:rPr>
                <w:noProof/>
              </w:rPr>
              <w:drawing>
                <wp:inline distT="0" distB="0" distL="0" distR="0">
                  <wp:extent cx="495300" cy="542925"/>
                  <wp:effectExtent l="0" t="0" r="0" b="9525"/>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5" cstate="print">
                            <a:extLst>
                              <a:ext uri="{28A0092B-C50C-407E-A947-70E740481C1C}">
                                <a14:useLocalDpi xmlns:a14="http://schemas.microsoft.com/office/drawing/2010/main" val="0"/>
                              </a:ext>
                            </a:extLst>
                          </a:blip>
                          <a:srcRect l="8430"/>
                          <a:stretch>
                            <a:fillRect/>
                          </a:stretch>
                        </pic:blipFill>
                        <pic:spPr bwMode="auto">
                          <a:xfrm>
                            <a:off x="0" y="0"/>
                            <a:ext cx="495300" cy="54292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CE25C3"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8814B0" w:rsidTr="0000591B">
        <w:tc>
          <w:tcPr>
            <w:tcW w:w="556" w:type="pct"/>
            <w:shd w:val="clear" w:color="auto" w:fill="auto"/>
          </w:tcPr>
          <w:p w:rsidR="006774B8" w:rsidRPr="000B2F55" w:rsidRDefault="00CE25C3" w:rsidP="002C1E49">
            <w:pPr>
              <w:spacing w:before="0" w:after="0" w:line="240" w:lineRule="auto"/>
            </w:pPr>
            <w:r>
              <w:rPr>
                <w:noProof/>
              </w:rPr>
              <w:drawing>
                <wp:inline distT="0" distB="0" distL="0" distR="0">
                  <wp:extent cx="495300"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5" cstate="print">
                            <a:extLst>
                              <a:ext uri="{28A0092B-C50C-407E-A947-70E740481C1C}">
                                <a14:useLocalDpi xmlns:a14="http://schemas.microsoft.com/office/drawing/2010/main" val="0"/>
                              </a:ext>
                            </a:extLst>
                          </a:blip>
                          <a:srcRect l="8430"/>
                          <a:stretch>
                            <a:fillRect/>
                          </a:stretch>
                        </pic:blipFill>
                        <pic:spPr bwMode="auto">
                          <a:xfrm>
                            <a:off x="0" y="0"/>
                            <a:ext cx="495300"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9C4A6B" w:rsidRDefault="009C4A6B" w:rsidP="002F45D0"/>
    <w:p w:rsidR="002F45D0" w:rsidRPr="009C4A6B" w:rsidRDefault="002F45D0" w:rsidP="009C4A6B">
      <w:pPr>
        <w:sectPr w:rsidR="002F45D0" w:rsidRPr="009C4A6B" w:rsidSect="0061254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567" w:left="1134" w:header="709" w:footer="510" w:gutter="0"/>
          <w:cols w:space="708"/>
          <w:titlePg/>
          <w:docGrid w:linePitch="360"/>
        </w:sectPr>
      </w:pPr>
    </w:p>
    <w:p w:rsidR="0000591B" w:rsidRPr="0000591B" w:rsidRDefault="0000591B" w:rsidP="008C04E7"/>
    <w:sectPr w:rsidR="0000591B" w:rsidRPr="0000591B" w:rsidSect="009C4A6B">
      <w:headerReference w:type="even" r:id="rId23"/>
      <w:headerReference w:type="default" r:id="rId24"/>
      <w:footerReference w:type="even" r:id="rId25"/>
      <w:footerReference w:type="default" r:id="rId26"/>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A7" w:rsidRDefault="00B515A7">
      <w:r>
        <w:separator/>
      </w:r>
    </w:p>
    <w:p w:rsidR="00B515A7" w:rsidRDefault="00B515A7"/>
    <w:p w:rsidR="00B515A7" w:rsidRDefault="00B515A7"/>
    <w:p w:rsidR="00B515A7" w:rsidRDefault="00B515A7"/>
    <w:p w:rsidR="00B515A7" w:rsidRDefault="00B515A7"/>
    <w:p w:rsidR="00B515A7" w:rsidRDefault="00B515A7"/>
  </w:endnote>
  <w:endnote w:type="continuationSeparator" w:id="0">
    <w:p w:rsidR="00B515A7" w:rsidRDefault="00B515A7">
      <w:r>
        <w:continuationSeparator/>
      </w:r>
    </w:p>
    <w:p w:rsidR="00B515A7" w:rsidRDefault="00B515A7"/>
    <w:p w:rsidR="00B515A7" w:rsidRDefault="00B515A7"/>
    <w:p w:rsidR="00B515A7" w:rsidRDefault="00B515A7"/>
    <w:p w:rsidR="00B515A7" w:rsidRDefault="00B515A7"/>
    <w:p w:rsidR="00B515A7" w:rsidRDefault="00B5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Default="00B34C91" w:rsidP="00C20914">
    <w:pPr>
      <w:pStyle w:val="Footereven"/>
    </w:pPr>
    <w:r w:rsidRPr="00EA7134">
      <w:fldChar w:fldCharType="begin"/>
    </w:r>
    <w:r w:rsidRPr="00EA7134">
      <w:instrText xml:space="preserve">PAGE  </w:instrText>
    </w:r>
    <w:r w:rsidRPr="00EA7134">
      <w:fldChar w:fldCharType="separate"/>
    </w:r>
    <w:r w:rsidR="00CE25C3">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Default="00B34C91" w:rsidP="00C20914">
    <w:pPr>
      <w:pStyle w:val="Footerodd"/>
    </w:pPr>
    <w:r>
      <w:fldChar w:fldCharType="begin"/>
    </w:r>
    <w:r>
      <w:instrText xml:space="preserve">PAGE  </w:instrText>
    </w:r>
    <w:r>
      <w:fldChar w:fldCharType="separate"/>
    </w:r>
    <w:r w:rsidR="00910531">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B34C91" w:rsidRPr="0090603A">
      <w:trPr>
        <w:trHeight w:hRule="exact" w:val="1043"/>
        <w:jc w:val="right"/>
      </w:trPr>
      <w:tc>
        <w:tcPr>
          <w:tcW w:w="1800" w:type="dxa"/>
          <w:tcBorders>
            <w:top w:val="nil"/>
            <w:left w:val="nil"/>
            <w:bottom w:val="nil"/>
            <w:right w:val="nil"/>
          </w:tcBorders>
          <w:vAlign w:val="bottom"/>
        </w:tcPr>
        <w:p w:rsidR="00B34C91" w:rsidRPr="00FA3FE7" w:rsidRDefault="00B34C91" w:rsidP="00C85825">
          <w:pPr>
            <w:spacing w:after="0"/>
          </w:pPr>
        </w:p>
      </w:tc>
      <w:tc>
        <w:tcPr>
          <w:tcW w:w="5040" w:type="dxa"/>
          <w:tcBorders>
            <w:top w:val="nil"/>
            <w:left w:val="nil"/>
            <w:bottom w:val="nil"/>
            <w:right w:val="nil"/>
          </w:tcBorders>
          <w:shd w:val="clear" w:color="auto" w:fill="auto"/>
          <w:vAlign w:val="bottom"/>
        </w:tcPr>
        <w:p w:rsidR="00B34C91" w:rsidRPr="000875B8" w:rsidRDefault="00B34C91"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B34C91" w:rsidRPr="0090603A" w:rsidRDefault="00CE25C3"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B34C91" w:rsidRPr="0054418E" w:rsidRDefault="00B34C91"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Default="00B34C91"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Default="00B34C91"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A7" w:rsidRDefault="00B515A7">
      <w:r>
        <w:separator/>
      </w:r>
    </w:p>
    <w:p w:rsidR="00B515A7" w:rsidRDefault="00B515A7"/>
    <w:p w:rsidR="00B515A7" w:rsidRDefault="00B515A7"/>
    <w:p w:rsidR="00B515A7" w:rsidRDefault="00B515A7"/>
    <w:p w:rsidR="00B515A7" w:rsidRDefault="00B515A7"/>
    <w:p w:rsidR="00B515A7" w:rsidRDefault="00B515A7"/>
  </w:footnote>
  <w:footnote w:type="continuationSeparator" w:id="0">
    <w:p w:rsidR="00B515A7" w:rsidRDefault="00B515A7">
      <w:r>
        <w:continuationSeparator/>
      </w:r>
    </w:p>
    <w:p w:rsidR="00B515A7" w:rsidRDefault="00B515A7"/>
    <w:p w:rsidR="00B515A7" w:rsidRDefault="00B515A7"/>
    <w:p w:rsidR="00B515A7" w:rsidRDefault="00B515A7"/>
    <w:p w:rsidR="00B515A7" w:rsidRDefault="00B515A7"/>
    <w:p w:rsidR="00B515A7" w:rsidRDefault="00B515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Default="00B34C91"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Pr="00784506" w:rsidRDefault="00B34C91" w:rsidP="00016A8E">
    <w:pPr>
      <w:pStyle w:val="Headerright"/>
    </w:pPr>
    <w:r w:rsidRPr="00784506">
      <w:t xml:space="preserve">Year </w:t>
    </w:r>
    <w:r>
      <w:t>9 HPE: Farm to feast 2 — action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Default="00CE25C3">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Pr="00D61E66" w:rsidRDefault="00B34C91" w:rsidP="00D61E66">
    <w:pPr>
      <w:rPr>
        <w:lang w:val="en-US"/>
      </w:rPr>
    </w:pPr>
    <w:r>
      <w:rPr>
        <w:lang w:val="en-US"/>
      </w:rPr>
      <w:t xml:space="preserve">Appendix </w:t>
    </w:r>
    <w:r>
      <w:fldChar w:fldCharType="begin"/>
    </w:r>
    <w:r>
      <w:instrText xml:space="preserve"> PAGE </w:instrText>
    </w:r>
    <w:r>
      <w:fldChar w:fldCharType="separate"/>
    </w:r>
    <w:r w:rsidR="009C4A6B">
      <w:rPr>
        <w:noProof/>
      </w:rPr>
      <w:t>F</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C91" w:rsidRPr="008C04E7" w:rsidRDefault="00B34C91" w:rsidP="008C0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EA3EF76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94864B7"/>
    <w:multiLevelType w:val="hybridMultilevel"/>
    <w:tmpl w:val="81DA1E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60"/>
        </w:tabs>
        <w:ind w:left="1060" w:hanging="360"/>
      </w:pPr>
      <w:rPr>
        <w:rFonts w:ascii="Courier New" w:hAnsi="Courier New" w:cs="Courier New" w:hint="default"/>
      </w:rPr>
    </w:lvl>
    <w:lvl w:ilvl="2" w:tplc="0C090005" w:tentative="1">
      <w:start w:val="1"/>
      <w:numFmt w:val="bullet"/>
      <w:lvlText w:val=""/>
      <w:lvlJc w:val="left"/>
      <w:pPr>
        <w:tabs>
          <w:tab w:val="num" w:pos="1780"/>
        </w:tabs>
        <w:ind w:left="1780" w:hanging="360"/>
      </w:pPr>
      <w:rPr>
        <w:rFonts w:ascii="Wingdings" w:hAnsi="Wingdings" w:hint="default"/>
      </w:rPr>
    </w:lvl>
    <w:lvl w:ilvl="3" w:tplc="0C090001" w:tentative="1">
      <w:start w:val="1"/>
      <w:numFmt w:val="bullet"/>
      <w:lvlText w:val=""/>
      <w:lvlJc w:val="left"/>
      <w:pPr>
        <w:tabs>
          <w:tab w:val="num" w:pos="2500"/>
        </w:tabs>
        <w:ind w:left="2500" w:hanging="360"/>
      </w:pPr>
      <w:rPr>
        <w:rFonts w:ascii="Symbol" w:hAnsi="Symbol" w:hint="default"/>
      </w:rPr>
    </w:lvl>
    <w:lvl w:ilvl="4" w:tplc="0C090003" w:tentative="1">
      <w:start w:val="1"/>
      <w:numFmt w:val="bullet"/>
      <w:lvlText w:val="o"/>
      <w:lvlJc w:val="left"/>
      <w:pPr>
        <w:tabs>
          <w:tab w:val="num" w:pos="3220"/>
        </w:tabs>
        <w:ind w:left="3220" w:hanging="360"/>
      </w:pPr>
      <w:rPr>
        <w:rFonts w:ascii="Courier New" w:hAnsi="Courier New" w:cs="Courier New" w:hint="default"/>
      </w:rPr>
    </w:lvl>
    <w:lvl w:ilvl="5" w:tplc="0C090005" w:tentative="1">
      <w:start w:val="1"/>
      <w:numFmt w:val="bullet"/>
      <w:lvlText w:val=""/>
      <w:lvlJc w:val="left"/>
      <w:pPr>
        <w:tabs>
          <w:tab w:val="num" w:pos="3940"/>
        </w:tabs>
        <w:ind w:left="3940" w:hanging="360"/>
      </w:pPr>
      <w:rPr>
        <w:rFonts w:ascii="Wingdings" w:hAnsi="Wingdings" w:hint="default"/>
      </w:rPr>
    </w:lvl>
    <w:lvl w:ilvl="6" w:tplc="0C090001" w:tentative="1">
      <w:start w:val="1"/>
      <w:numFmt w:val="bullet"/>
      <w:lvlText w:val=""/>
      <w:lvlJc w:val="left"/>
      <w:pPr>
        <w:tabs>
          <w:tab w:val="num" w:pos="4660"/>
        </w:tabs>
        <w:ind w:left="4660" w:hanging="360"/>
      </w:pPr>
      <w:rPr>
        <w:rFonts w:ascii="Symbol" w:hAnsi="Symbol" w:hint="default"/>
      </w:rPr>
    </w:lvl>
    <w:lvl w:ilvl="7" w:tplc="0C090003" w:tentative="1">
      <w:start w:val="1"/>
      <w:numFmt w:val="bullet"/>
      <w:lvlText w:val="o"/>
      <w:lvlJc w:val="left"/>
      <w:pPr>
        <w:tabs>
          <w:tab w:val="num" w:pos="5380"/>
        </w:tabs>
        <w:ind w:left="5380" w:hanging="360"/>
      </w:pPr>
      <w:rPr>
        <w:rFonts w:ascii="Courier New" w:hAnsi="Courier New" w:cs="Courier New" w:hint="default"/>
      </w:rPr>
    </w:lvl>
    <w:lvl w:ilvl="8" w:tplc="0C090005" w:tentative="1">
      <w:start w:val="1"/>
      <w:numFmt w:val="bullet"/>
      <w:lvlText w:val=""/>
      <w:lvlJc w:val="left"/>
      <w:pPr>
        <w:tabs>
          <w:tab w:val="num" w:pos="6100"/>
        </w:tabs>
        <w:ind w:left="610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71E255B"/>
    <w:multiLevelType w:val="multilevel"/>
    <w:tmpl w:val="EA3EF764"/>
    <w:lvl w:ilvl="0">
      <w:start w:val="1"/>
      <w:numFmt w:val="bullet"/>
      <w:lvlText w:val=""/>
      <w:lvlJc w:val="left"/>
      <w:pPr>
        <w:tabs>
          <w:tab w:val="num" w:pos="794"/>
        </w:tabs>
        <w:ind w:left="794" w:hanging="41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4"/>
  </w:num>
  <w:num w:numId="3">
    <w:abstractNumId w:val="3"/>
  </w:num>
  <w:num w:numId="4">
    <w:abstractNumId w:val="14"/>
  </w:num>
  <w:num w:numId="5">
    <w:abstractNumId w:val="11"/>
  </w:num>
  <w:num w:numId="6">
    <w:abstractNumId w:val="12"/>
  </w:num>
  <w:num w:numId="7">
    <w:abstractNumId w:val="7"/>
  </w:num>
  <w:num w:numId="8">
    <w:abstractNumId w:val="2"/>
  </w:num>
  <w:num w:numId="9">
    <w:abstractNumId w:val="17"/>
  </w:num>
  <w:num w:numId="10">
    <w:abstractNumId w:val="1"/>
  </w:num>
  <w:num w:numId="11">
    <w:abstractNumId w:val="21"/>
  </w:num>
  <w:num w:numId="12">
    <w:abstractNumId w:val="18"/>
  </w:num>
  <w:num w:numId="13">
    <w:abstractNumId w:val="8"/>
  </w:num>
  <w:num w:numId="14">
    <w:abstractNumId w:val="10"/>
  </w:num>
  <w:num w:numId="15">
    <w:abstractNumId w:val="22"/>
  </w:num>
  <w:num w:numId="16">
    <w:abstractNumId w:val="0"/>
  </w:num>
  <w:num w:numId="17">
    <w:abstractNumId w:val="9"/>
  </w:num>
  <w:num w:numId="18">
    <w:abstractNumId w:val="20"/>
  </w:num>
  <w:num w:numId="19">
    <w:abstractNumId w:val="16"/>
  </w:num>
  <w:num w:numId="20">
    <w:abstractNumId w:val="7"/>
  </w:num>
  <w:num w:numId="21">
    <w:abstractNumId w:val="2"/>
  </w:num>
  <w:num w:numId="22">
    <w:abstractNumId w:val="17"/>
  </w:num>
  <w:num w:numId="23">
    <w:abstractNumId w:val="3"/>
  </w:num>
  <w:num w:numId="24">
    <w:abstractNumId w:val="14"/>
  </w:num>
  <w:num w:numId="25">
    <w:abstractNumId w:val="5"/>
  </w:num>
  <w:num w:numId="26">
    <w:abstractNumId w:val="16"/>
  </w:num>
  <w:num w:numId="27">
    <w:abstractNumId w:val="7"/>
  </w:num>
  <w:num w:numId="28">
    <w:abstractNumId w:val="2"/>
  </w:num>
  <w:num w:numId="29">
    <w:abstractNumId w:val="17"/>
  </w:num>
  <w:num w:numId="30">
    <w:abstractNumId w:val="16"/>
  </w:num>
  <w:num w:numId="31">
    <w:abstractNumId w:val="7"/>
  </w:num>
  <w:num w:numId="32">
    <w:abstractNumId w:val="2"/>
  </w:num>
  <w:num w:numId="33">
    <w:abstractNumId w:val="17"/>
  </w:num>
  <w:num w:numId="34">
    <w:abstractNumId w:val="6"/>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4"/>
  </w:num>
  <w:num w:numId="42">
    <w:abstractNumId w:val="23"/>
  </w:num>
  <w:num w:numId="43">
    <w:abstractNumId w:val="1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D1"/>
    <w:rsid w:val="000022FF"/>
    <w:rsid w:val="00003280"/>
    <w:rsid w:val="000040CE"/>
    <w:rsid w:val="000043A4"/>
    <w:rsid w:val="0000591B"/>
    <w:rsid w:val="00007DBF"/>
    <w:rsid w:val="00016A8E"/>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6FF3"/>
    <w:rsid w:val="000A7071"/>
    <w:rsid w:val="000A779D"/>
    <w:rsid w:val="000B7AA0"/>
    <w:rsid w:val="000C0E6D"/>
    <w:rsid w:val="000C1807"/>
    <w:rsid w:val="000C3922"/>
    <w:rsid w:val="000D2039"/>
    <w:rsid w:val="000D6A12"/>
    <w:rsid w:val="000E0E12"/>
    <w:rsid w:val="000E3AB2"/>
    <w:rsid w:val="000E46EF"/>
    <w:rsid w:val="000E4E18"/>
    <w:rsid w:val="000E6EA3"/>
    <w:rsid w:val="000F0DAD"/>
    <w:rsid w:val="000F52B5"/>
    <w:rsid w:val="000F5EF5"/>
    <w:rsid w:val="001019F0"/>
    <w:rsid w:val="00101CF6"/>
    <w:rsid w:val="001103BE"/>
    <w:rsid w:val="00120E4C"/>
    <w:rsid w:val="00123E4E"/>
    <w:rsid w:val="001247D8"/>
    <w:rsid w:val="00127A14"/>
    <w:rsid w:val="00130EFC"/>
    <w:rsid w:val="00132042"/>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E7295"/>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210E"/>
    <w:rsid w:val="00264F51"/>
    <w:rsid w:val="00271371"/>
    <w:rsid w:val="002723C2"/>
    <w:rsid w:val="002734E6"/>
    <w:rsid w:val="00273DE2"/>
    <w:rsid w:val="00274767"/>
    <w:rsid w:val="0027478D"/>
    <w:rsid w:val="002748B2"/>
    <w:rsid w:val="00276D36"/>
    <w:rsid w:val="00284B38"/>
    <w:rsid w:val="002859A3"/>
    <w:rsid w:val="002865DA"/>
    <w:rsid w:val="002A398F"/>
    <w:rsid w:val="002A79B9"/>
    <w:rsid w:val="002B30EB"/>
    <w:rsid w:val="002B5BFC"/>
    <w:rsid w:val="002C0261"/>
    <w:rsid w:val="002C1299"/>
    <w:rsid w:val="002C1C04"/>
    <w:rsid w:val="002C1E49"/>
    <w:rsid w:val="002C4CB3"/>
    <w:rsid w:val="002C7D7A"/>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046E"/>
    <w:rsid w:val="00352347"/>
    <w:rsid w:val="00354B41"/>
    <w:rsid w:val="003573C7"/>
    <w:rsid w:val="00357A2A"/>
    <w:rsid w:val="00360CDA"/>
    <w:rsid w:val="00361735"/>
    <w:rsid w:val="0036290B"/>
    <w:rsid w:val="00363611"/>
    <w:rsid w:val="00364F37"/>
    <w:rsid w:val="00386B43"/>
    <w:rsid w:val="00391A20"/>
    <w:rsid w:val="003931E0"/>
    <w:rsid w:val="0039605F"/>
    <w:rsid w:val="003A0CE3"/>
    <w:rsid w:val="003A1874"/>
    <w:rsid w:val="003A5656"/>
    <w:rsid w:val="003A5964"/>
    <w:rsid w:val="003B201A"/>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75A2"/>
    <w:rsid w:val="00453F95"/>
    <w:rsid w:val="00457A26"/>
    <w:rsid w:val="004605DF"/>
    <w:rsid w:val="00465269"/>
    <w:rsid w:val="00474B75"/>
    <w:rsid w:val="00480A76"/>
    <w:rsid w:val="00483E6B"/>
    <w:rsid w:val="0048671D"/>
    <w:rsid w:val="00486DDE"/>
    <w:rsid w:val="004876A9"/>
    <w:rsid w:val="004928CF"/>
    <w:rsid w:val="0049389D"/>
    <w:rsid w:val="00494EB0"/>
    <w:rsid w:val="00495D94"/>
    <w:rsid w:val="004A1033"/>
    <w:rsid w:val="004A341A"/>
    <w:rsid w:val="004A7571"/>
    <w:rsid w:val="004A7DD1"/>
    <w:rsid w:val="004B2135"/>
    <w:rsid w:val="004B69C7"/>
    <w:rsid w:val="004B7E94"/>
    <w:rsid w:val="004C3EC8"/>
    <w:rsid w:val="004C7A41"/>
    <w:rsid w:val="004D42F2"/>
    <w:rsid w:val="004E0F30"/>
    <w:rsid w:val="004F20BA"/>
    <w:rsid w:val="004F68EC"/>
    <w:rsid w:val="0050177D"/>
    <w:rsid w:val="0051005F"/>
    <w:rsid w:val="005110F5"/>
    <w:rsid w:val="00515192"/>
    <w:rsid w:val="0052094C"/>
    <w:rsid w:val="00526090"/>
    <w:rsid w:val="00526544"/>
    <w:rsid w:val="0052799A"/>
    <w:rsid w:val="00530616"/>
    <w:rsid w:val="0053074B"/>
    <w:rsid w:val="0053141F"/>
    <w:rsid w:val="00531C0D"/>
    <w:rsid w:val="005336D0"/>
    <w:rsid w:val="00535835"/>
    <w:rsid w:val="0053590F"/>
    <w:rsid w:val="0054003C"/>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5819"/>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92578"/>
    <w:rsid w:val="006A24FF"/>
    <w:rsid w:val="006A3901"/>
    <w:rsid w:val="006B383C"/>
    <w:rsid w:val="006B3EA5"/>
    <w:rsid w:val="006C196E"/>
    <w:rsid w:val="006C1A10"/>
    <w:rsid w:val="006C3725"/>
    <w:rsid w:val="006C7ECA"/>
    <w:rsid w:val="006D1DD0"/>
    <w:rsid w:val="006D394C"/>
    <w:rsid w:val="006D3F19"/>
    <w:rsid w:val="006D5672"/>
    <w:rsid w:val="006D7994"/>
    <w:rsid w:val="006E3C63"/>
    <w:rsid w:val="006E3CD1"/>
    <w:rsid w:val="006E4BEF"/>
    <w:rsid w:val="006E59A5"/>
    <w:rsid w:val="006F03B7"/>
    <w:rsid w:val="006F543A"/>
    <w:rsid w:val="006F7354"/>
    <w:rsid w:val="00710F10"/>
    <w:rsid w:val="00715381"/>
    <w:rsid w:val="0071550A"/>
    <w:rsid w:val="007163F3"/>
    <w:rsid w:val="00720999"/>
    <w:rsid w:val="00722074"/>
    <w:rsid w:val="00723832"/>
    <w:rsid w:val="00726B23"/>
    <w:rsid w:val="00727BED"/>
    <w:rsid w:val="007335F1"/>
    <w:rsid w:val="007412EC"/>
    <w:rsid w:val="00746761"/>
    <w:rsid w:val="00747A3A"/>
    <w:rsid w:val="00750B88"/>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4E7"/>
    <w:rsid w:val="008C0A2B"/>
    <w:rsid w:val="008C2C52"/>
    <w:rsid w:val="008C3C57"/>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0531"/>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4264"/>
    <w:rsid w:val="00964AFA"/>
    <w:rsid w:val="00971609"/>
    <w:rsid w:val="0097215D"/>
    <w:rsid w:val="00972963"/>
    <w:rsid w:val="009738DE"/>
    <w:rsid w:val="0098016C"/>
    <w:rsid w:val="009809B4"/>
    <w:rsid w:val="009814CC"/>
    <w:rsid w:val="00986690"/>
    <w:rsid w:val="00986BFD"/>
    <w:rsid w:val="00987A0A"/>
    <w:rsid w:val="009935D7"/>
    <w:rsid w:val="009A1A6E"/>
    <w:rsid w:val="009B7248"/>
    <w:rsid w:val="009C02F6"/>
    <w:rsid w:val="009C2FE1"/>
    <w:rsid w:val="009C3444"/>
    <w:rsid w:val="009C4A6B"/>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0BCB"/>
    <w:rsid w:val="00AC154F"/>
    <w:rsid w:val="00AC2059"/>
    <w:rsid w:val="00AC3675"/>
    <w:rsid w:val="00AC4581"/>
    <w:rsid w:val="00AC6F7A"/>
    <w:rsid w:val="00AD34F1"/>
    <w:rsid w:val="00AD547B"/>
    <w:rsid w:val="00AD709F"/>
    <w:rsid w:val="00AD7411"/>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34C91"/>
    <w:rsid w:val="00B429CB"/>
    <w:rsid w:val="00B515A7"/>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2272"/>
    <w:rsid w:val="00C946AF"/>
    <w:rsid w:val="00C96592"/>
    <w:rsid w:val="00C9682B"/>
    <w:rsid w:val="00CA27BC"/>
    <w:rsid w:val="00CA2B94"/>
    <w:rsid w:val="00CA4D62"/>
    <w:rsid w:val="00CA5CD9"/>
    <w:rsid w:val="00CA5D9D"/>
    <w:rsid w:val="00CB63B6"/>
    <w:rsid w:val="00CC247C"/>
    <w:rsid w:val="00CD0037"/>
    <w:rsid w:val="00CD0397"/>
    <w:rsid w:val="00CD2A54"/>
    <w:rsid w:val="00CD5F98"/>
    <w:rsid w:val="00CE11B0"/>
    <w:rsid w:val="00CE1AFF"/>
    <w:rsid w:val="00CE1E8A"/>
    <w:rsid w:val="00CE25C3"/>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35FF9"/>
    <w:rsid w:val="00D43526"/>
    <w:rsid w:val="00D43BC1"/>
    <w:rsid w:val="00D43C95"/>
    <w:rsid w:val="00D442BF"/>
    <w:rsid w:val="00D52EC3"/>
    <w:rsid w:val="00D566E3"/>
    <w:rsid w:val="00D56D88"/>
    <w:rsid w:val="00D57E32"/>
    <w:rsid w:val="00D61E66"/>
    <w:rsid w:val="00D6560C"/>
    <w:rsid w:val="00D66A63"/>
    <w:rsid w:val="00D71223"/>
    <w:rsid w:val="00D82FD6"/>
    <w:rsid w:val="00DA483D"/>
    <w:rsid w:val="00DA60AF"/>
    <w:rsid w:val="00DA612D"/>
    <w:rsid w:val="00DB0CB9"/>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1498"/>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02A2"/>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4E49"/>
    <w:rsid w:val="00F07104"/>
    <w:rsid w:val="00F125B0"/>
    <w:rsid w:val="00F22F83"/>
    <w:rsid w:val="00F26AC6"/>
    <w:rsid w:val="00F27946"/>
    <w:rsid w:val="00F3010A"/>
    <w:rsid w:val="00F3032B"/>
    <w:rsid w:val="00F33D66"/>
    <w:rsid w:val="00F4324A"/>
    <w:rsid w:val="00F446C1"/>
    <w:rsid w:val="00F52581"/>
    <w:rsid w:val="00F52C39"/>
    <w:rsid w:val="00F536F4"/>
    <w:rsid w:val="00F54FBA"/>
    <w:rsid w:val="00F61676"/>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132042"/>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8"/>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FollowedHyperlink">
    <w:name w:val="FollowedHyperlink"/>
    <w:rsid w:val="00132042"/>
    <w:rPr>
      <w:color w:val="800080"/>
      <w:u w:val="single"/>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customStyle="1" w:styleId="Heading3Char">
    <w:name w:val="Heading 3 Char"/>
    <w:link w:val="Heading3"/>
    <w:rsid w:val="0000591B"/>
    <w:rPr>
      <w:rFonts w:ascii="Arial" w:hAnsi="Arial" w:cs="Arial"/>
      <w:b/>
      <w:bCs/>
      <w:sz w:val="24"/>
      <w:szCs w:val="26"/>
      <w:lang w:val="en-AU" w:eastAsia="en-AU" w:bidi="ar-SA"/>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Header">
    <w:name w:val="header"/>
    <w:basedOn w:val="Normal"/>
    <w:rsid w:val="00016A8E"/>
    <w:pPr>
      <w:tabs>
        <w:tab w:val="center" w:pos="4153"/>
        <w:tab w:val="right" w:pos="8306"/>
      </w:tabs>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132042"/>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8"/>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FollowedHyperlink">
    <w:name w:val="FollowedHyperlink"/>
    <w:rsid w:val="00132042"/>
    <w:rPr>
      <w:color w:val="800080"/>
      <w:u w:val="single"/>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customStyle="1" w:styleId="Heading3Char">
    <w:name w:val="Heading 3 Char"/>
    <w:link w:val="Heading3"/>
    <w:rsid w:val="0000591B"/>
    <w:rPr>
      <w:rFonts w:ascii="Arial" w:hAnsi="Arial" w:cs="Arial"/>
      <w:b/>
      <w:bCs/>
      <w:sz w:val="24"/>
      <w:szCs w:val="26"/>
      <w:lang w:val="en-AU" w:eastAsia="en-AU" w:bidi="ar-SA"/>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Header">
    <w:name w:val="header"/>
    <w:basedOn w:val="Normal"/>
    <w:rsid w:val="00016A8E"/>
    <w:pPr>
      <w:tabs>
        <w:tab w:val="center" w:pos="4153"/>
        <w:tab w:val="right" w:pos="8306"/>
      </w:tabs>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D728B-7795-4B5A-9718-DE55045F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0A58E9-F36E-4C2C-A1F0-896F24B81425}">
  <ds:schemaRefs>
    <ds:schemaRef ds:uri="http://schemas.microsoft.com/sharepoint/v3/contenttype/forms"/>
  </ds:schemaRefs>
</ds:datastoreItem>
</file>

<file path=customXml/itemProps3.xml><?xml version="1.0" encoding="utf-8"?>
<ds:datastoreItem xmlns:ds="http://schemas.openxmlformats.org/officeDocument/2006/customXml" ds:itemID="{A0FA855B-15D2-4AB5-9F12-69DABB1D82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9 Health &amp; Physical Education assessment teacher guidelines Farm to feast 2 - action plan | Queensland Essential Learnings and Standards</vt:lpstr>
    </vt:vector>
  </TitlesOfParts>
  <Company>Queensland Studies Authority</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Health &amp; Physical Education assessment teacher guidelines | Farm to feast 2 - action plan | Queensland Essential Learnings and Standards</dc:title>
  <dc:subject/>
  <dc:creator>Queensland Studies Authority</dc:creator>
  <cp:keywords/>
  <dc:description>Students formulate a plan of action to enable consumers to make healthy food choices.</dc:description>
  <cp:lastModifiedBy>QSA</cp:lastModifiedBy>
  <cp:revision>2</cp:revision>
  <cp:lastPrinted>2007-11-30T05:27:00Z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KLAs">
    <vt:lpwstr/>
  </property>
  <property fmtid="{D5CDD505-2E9C-101B-9397-08002B2CF9AE}" pid="3" name="ContentType">
    <vt:lpwstr>Teacher guidelines [year 4 - 9]</vt:lpwstr>
  </property>
  <property fmtid="{D5CDD505-2E9C-101B-9397-08002B2CF9AE}" pid="4" name="AdditionalYearLevels">
    <vt:lpwstr/>
  </property>
  <property fmtid="{D5CDD505-2E9C-101B-9397-08002B2CF9AE}" pid="5" name="MainKLA">
    <vt:lpwstr/>
  </property>
  <property fmtid="{D5CDD505-2E9C-101B-9397-08002B2CF9AE}" pid="6" name="MainYearLevel">
    <vt:lpwstr/>
  </property>
  <property fmtid="{D5CDD505-2E9C-101B-9397-08002B2CF9AE}" pid="7" name="QSADeveloped">
    <vt:lpwstr/>
  </property>
  <property fmtid="{D5CDD505-2E9C-101B-9397-08002B2CF9AE}" pid="8" name="AssessableItems">
    <vt:lpwstr/>
  </property>
  <property fmtid="{D5CDD505-2E9C-101B-9397-08002B2CF9AE}" pid="9" name="PackageOwner">
    <vt:lpwstr/>
  </property>
  <property fmtid="{D5CDD505-2E9C-101B-9397-08002B2CF9AE}" pid="10" name="PackageVersion">
    <vt:lpwstr/>
  </property>
  <property fmtid="{D5CDD505-2E9C-101B-9397-08002B2CF9AE}" pid="11" name="ContextForAssessment">
    <vt:lpwstr/>
  </property>
  <property fmtid="{D5CDD505-2E9C-101B-9397-08002B2CF9AE}" pid="12" name="PackageOverview">
    <vt:lpwstr/>
  </property>
  <property fmtid="{D5CDD505-2E9C-101B-9397-08002B2CF9AE}" pid="13" name="PackageKeywords">
    <vt:lpwstr/>
  </property>
  <property fmtid="{D5CDD505-2E9C-101B-9397-08002B2CF9AE}" pid="14" name="OrganiserEnglish">
    <vt:lpwstr/>
  </property>
  <property fmtid="{D5CDD505-2E9C-101B-9397-08002B2CF9AE}" pid="15" name="OrganiserHPE">
    <vt:lpwstr/>
  </property>
  <property fmtid="{D5CDD505-2E9C-101B-9397-08002B2CF9AE}" pid="16" name="OrganiserLanguages">
    <vt:lpwstr/>
  </property>
  <property fmtid="{D5CDD505-2E9C-101B-9397-08002B2CF9AE}" pid="17" name="OrganiserMathematics">
    <vt:lpwstr/>
  </property>
  <property fmtid="{D5CDD505-2E9C-101B-9397-08002B2CF9AE}" pid="18" name="OrganiserScience">
    <vt:lpwstr/>
  </property>
  <property fmtid="{D5CDD505-2E9C-101B-9397-08002B2CF9AE}" pid="19" name="OrganiserSOSE">
    <vt:lpwstr/>
  </property>
  <property fmtid="{D5CDD505-2E9C-101B-9397-08002B2CF9AE}" pid="20" name="OrganiserTechnology">
    <vt:lpwstr/>
  </property>
  <property fmtid="{D5CDD505-2E9C-101B-9397-08002B2CF9AE}" pid="21" name="OrganiserTheArts">
    <vt:lpwstr/>
  </property>
  <property fmtid="{D5CDD505-2E9C-101B-9397-08002B2CF9AE}" pid="22" name="EssentialLearnings">
    <vt:lpwstr/>
  </property>
  <property fmtid="{D5CDD505-2E9C-101B-9397-08002B2CF9AE}" pid="23" name="PackageStatus0">
    <vt:lpwstr/>
  </property>
  <property fmtid="{D5CDD505-2E9C-101B-9397-08002B2CF9AE}" pid="24" name="ContentTypeId">
    <vt:lpwstr>0x0101007022ECDCCE5AE04E9E31964A7D31288300CE88EAB03FA0F744B21A8F077F3D07CE</vt:lpwstr>
  </property>
</Properties>
</file>