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6740E6" w:rsidP="00BC58D9">
      <w:pPr>
        <w:pStyle w:val="CoverTitle"/>
      </w:pPr>
      <w:bookmarkStart w:id="0" w:name="_GoBack"/>
      <w:bookmarkEnd w:id="0"/>
      <w:r>
        <w:t>Carry it</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6740E6">
              <w:t>5</w:t>
            </w:r>
          </w:p>
        </w:tc>
        <w:tc>
          <w:tcPr>
            <w:tcW w:w="6396" w:type="dxa"/>
            <w:shd w:val="clear" w:color="auto" w:fill="E3DEE8"/>
            <w:tcMar>
              <w:top w:w="113" w:type="dxa"/>
              <w:left w:w="113" w:type="dxa"/>
              <w:bottom w:w="113" w:type="dxa"/>
              <w:right w:w="113" w:type="dxa"/>
            </w:tcMar>
            <w:vAlign w:val="center"/>
          </w:tcPr>
          <w:p w:rsidR="00321DA5" w:rsidRDefault="006740E6" w:rsidP="002F4C51">
            <w:pPr>
              <w:pStyle w:val="CoverYearKLAName"/>
              <w:spacing w:after="0"/>
            </w:pPr>
            <w:r>
              <w:t>Technology</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C312CA" w:rsidP="00CD0037">
            <w:pPr>
              <w:pStyle w:val="CoverOverview"/>
            </w:pPr>
            <w:r>
              <w:t xml:space="preserve">In pairs, </w:t>
            </w:r>
            <w:r w:rsidR="00A725DD">
              <w:t>Student</w:t>
            </w:r>
            <w:r>
              <w:t>s</w:t>
            </w:r>
            <w:r w:rsidR="006740E6" w:rsidRPr="00FF21A5">
              <w:t xml:space="preserve"> </w:t>
            </w:r>
            <w:r w:rsidR="00A725DD">
              <w:t>design</w:t>
            </w:r>
            <w:r>
              <w:t>,</w:t>
            </w:r>
            <w:r w:rsidR="00A725DD">
              <w:t xml:space="preserve"> </w:t>
            </w:r>
            <w:r w:rsidR="006740E6" w:rsidRPr="00FF21A5">
              <w:t>make a bag</w:t>
            </w:r>
            <w:r>
              <w:t xml:space="preserve"> and evaluate</w:t>
            </w:r>
            <w:r w:rsidR="006740E6" w:rsidRPr="00FF21A5">
              <w:t xml:space="preserve"> for a specific purpose with set materials.</w:t>
            </w:r>
          </w:p>
        </w:tc>
      </w:tr>
      <w:tr w:rsidR="006740E6">
        <w:tc>
          <w:tcPr>
            <w:tcW w:w="1874" w:type="dxa"/>
            <w:tcBorders>
              <w:top w:val="single" w:sz="12" w:space="0" w:color="E3DEE8"/>
              <w:bottom w:val="single" w:sz="12" w:space="0" w:color="E3DEE8"/>
            </w:tcBorders>
            <w:tcMar>
              <w:top w:w="113" w:type="dxa"/>
              <w:left w:w="113" w:type="dxa"/>
              <w:bottom w:w="113" w:type="dxa"/>
              <w:right w:w="113" w:type="dxa"/>
            </w:tcMar>
            <w:vAlign w:val="center"/>
          </w:tcPr>
          <w:p w:rsidR="006740E6" w:rsidRPr="009D15D5" w:rsidRDefault="006740E6" w:rsidP="00AF6182">
            <w:pPr>
              <w:spacing w:after="8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6740E6" w:rsidRPr="005E1415" w:rsidRDefault="00A725DD" w:rsidP="00AF6182">
            <w:pPr>
              <w:spacing w:after="80" w:line="240" w:lineRule="auto"/>
            </w:pPr>
            <w:r>
              <w:t>3–4 hours</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Default="006740E6" w:rsidP="00CD0037">
            <w:r w:rsidRPr="00FF21A5">
              <w:t>Students are familiar with bags for the carrying of various objects</w:t>
            </w:r>
            <w:r w:rsidR="00A725DD">
              <w:t>, such as</w:t>
            </w:r>
            <w:r w:rsidRPr="00FF21A5">
              <w:t xml:space="preserve"> books, personal</w:t>
            </w:r>
            <w:r w:rsidR="00A725DD">
              <w:t xml:space="preserve"> belongings, sporting </w:t>
            </w:r>
            <w:r w:rsidR="00A725DD" w:rsidRPr="00EB42B2">
              <w:t>equipment and</w:t>
            </w:r>
            <w:r w:rsidRPr="00EB42B2">
              <w:t xml:space="preserve"> food. Students will use this prior experience, as well as research </w:t>
            </w:r>
            <w:r w:rsidR="00EB42B2" w:rsidRPr="00EB42B2">
              <w:t>of</w:t>
            </w:r>
            <w:r w:rsidRPr="00EB42B2">
              <w:t xml:space="preserve"> bags from home and school, to inform their design ideas, production procedures and manipulation techniques.</w:t>
            </w:r>
          </w:p>
        </w:tc>
      </w:tr>
    </w:tbl>
    <w:p w:rsidR="00B34779" w:rsidRPr="00A326AC" w:rsidRDefault="00E7289C" w:rsidP="00B34779">
      <w:r>
        <w:rPr>
          <w:rStyle w:val="Publishingnote"/>
        </w:rPr>
        <w:br w:type="page"/>
      </w:r>
      <w:r w:rsidR="00F222A4">
        <w:rPr>
          <w:b/>
          <w:i/>
          <w:noProof/>
          <w:color w:val="FF0000"/>
        </w:rPr>
        <w:lastRenderedPageBreak/>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AF6182">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5318"/>
      </w:tblGrid>
      <w:tr w:rsidR="00CD0037" w:rsidRPr="00535835">
        <w:trPr>
          <w:trHeight w:val="76"/>
          <w:jc w:val="center"/>
        </w:trPr>
        <w:tc>
          <w:tcPr>
            <w:tcW w:w="9639" w:type="dxa"/>
            <w:gridSpan w:val="2"/>
            <w:shd w:val="clear" w:color="auto" w:fill="E6E6E6"/>
          </w:tcPr>
          <w:p w:rsidR="00CD0037" w:rsidRPr="004B1E27" w:rsidRDefault="00EF2B79" w:rsidP="004B1E27">
            <w:pPr>
              <w:pStyle w:val="Heading2intable"/>
            </w:pPr>
            <w:r w:rsidRPr="004B1E27">
              <w:t>Technology</w:t>
            </w:r>
            <w:r w:rsidR="00CD0037" w:rsidRPr="004B1E27">
              <w:tab/>
              <w:t xml:space="preserve">Essential Learnings by the end of Year </w:t>
            </w:r>
            <w:r w:rsidRPr="004B1E27">
              <w:t>5</w:t>
            </w:r>
          </w:p>
        </w:tc>
      </w:tr>
      <w:tr w:rsidR="00934842">
        <w:trPr>
          <w:trHeight w:val="3454"/>
          <w:jc w:val="center"/>
        </w:trPr>
        <w:tc>
          <w:tcPr>
            <w:tcW w:w="4321" w:type="dxa"/>
          </w:tcPr>
          <w:p w:rsidR="00934842" w:rsidRPr="00A67D85" w:rsidRDefault="00934842" w:rsidP="002C1299">
            <w:pPr>
              <w:pStyle w:val="Heading3"/>
              <w:keepLines/>
            </w:pPr>
            <w:r w:rsidRPr="00A67D85">
              <w:t>Ways of working</w:t>
            </w:r>
          </w:p>
          <w:p w:rsidR="00934842" w:rsidRPr="009D15D5" w:rsidRDefault="00934842" w:rsidP="002C1299">
            <w:pPr>
              <w:pStyle w:val="Stem"/>
              <w:keepNext/>
              <w:keepLines/>
              <w:rPr>
                <w:b/>
              </w:rPr>
            </w:pPr>
            <w:r w:rsidRPr="009D15D5">
              <w:rPr>
                <w:b/>
              </w:rPr>
              <w:t>Students are able to:</w:t>
            </w:r>
          </w:p>
          <w:p w:rsidR="00EF2B79" w:rsidRPr="00FF21A5" w:rsidRDefault="00EF2B79" w:rsidP="00EF2B79">
            <w:pPr>
              <w:pStyle w:val="Bulletslevel1"/>
            </w:pPr>
            <w:r w:rsidRPr="00FF21A5">
              <w:t>identify and analyse the purpose and</w:t>
            </w:r>
            <w:r w:rsidR="00F56DA4">
              <w:t xml:space="preserve"> context</w:t>
            </w:r>
            <w:r w:rsidRPr="00FF21A5">
              <w:t xml:space="preserve"> for design ideas</w:t>
            </w:r>
          </w:p>
          <w:p w:rsidR="00EF2B79" w:rsidRPr="00FF21A5" w:rsidRDefault="00EF2B79" w:rsidP="00EF2B79">
            <w:pPr>
              <w:pStyle w:val="Bulletslevel1"/>
            </w:pPr>
            <w:r w:rsidRPr="00FF21A5">
              <w:t>generate design ideas that match requirements</w:t>
            </w:r>
          </w:p>
          <w:p w:rsidR="00EF2B79" w:rsidRPr="00FF21A5" w:rsidRDefault="00EF2B79" w:rsidP="00EF2B79">
            <w:pPr>
              <w:pStyle w:val="Bulletslevel1"/>
            </w:pPr>
            <w:r w:rsidRPr="00FF21A5">
              <w:t>select resources, techniques and tools to make products</w:t>
            </w:r>
          </w:p>
          <w:p w:rsidR="00EF2B79" w:rsidRPr="00FF21A5" w:rsidRDefault="00EF2B79" w:rsidP="00EF2B79">
            <w:pPr>
              <w:pStyle w:val="Bulletslevel1"/>
            </w:pPr>
            <w:r w:rsidRPr="00FF21A5">
              <w:t xml:space="preserve">plan production procedures by identifying and sequencing steps </w:t>
            </w:r>
          </w:p>
          <w:p w:rsidR="00EF2B79" w:rsidRPr="00FF21A5" w:rsidRDefault="00EF2B79" w:rsidP="00EF2B79">
            <w:pPr>
              <w:pStyle w:val="Bulletslevel1"/>
            </w:pPr>
            <w:r w:rsidRPr="00FF21A5">
              <w:t>make products to match design ideas by manipulating and processing resources</w:t>
            </w:r>
          </w:p>
          <w:p w:rsidR="00EF2B79" w:rsidRPr="00FF21A5" w:rsidRDefault="00EF2B79" w:rsidP="00EF2B79">
            <w:pPr>
              <w:pStyle w:val="Bulletslevel1"/>
            </w:pPr>
            <w:r w:rsidRPr="00FF21A5">
              <w:t>identify and apply safe practices</w:t>
            </w:r>
          </w:p>
          <w:p w:rsidR="00EF2B79" w:rsidRPr="00FF21A5" w:rsidRDefault="00EF2B79" w:rsidP="00EF2B79">
            <w:pPr>
              <w:pStyle w:val="Bulletslevel1"/>
            </w:pPr>
            <w:r w:rsidRPr="00FF21A5">
              <w:t>evaluate products and processes to identify strengths, limitations, effectiveness and improvements</w:t>
            </w:r>
          </w:p>
          <w:p w:rsidR="00934842" w:rsidRPr="00A67D85" w:rsidRDefault="00EF2B79" w:rsidP="00EF2B79">
            <w:pPr>
              <w:pStyle w:val="Bulletslevel1"/>
            </w:pPr>
            <w:r w:rsidRPr="00FF21A5">
              <w:t>reflect on learning to identify new understandings and future applications</w:t>
            </w:r>
            <w:r>
              <w:t>.</w:t>
            </w:r>
          </w:p>
        </w:tc>
        <w:tc>
          <w:tcPr>
            <w:tcW w:w="5318" w:type="dxa"/>
          </w:tcPr>
          <w:p w:rsidR="00934842" w:rsidRDefault="00934842" w:rsidP="002C1299">
            <w:pPr>
              <w:pStyle w:val="Heading3"/>
              <w:keepLines/>
            </w:pPr>
            <w:r>
              <w:t>Knowledge and understanding</w:t>
            </w:r>
          </w:p>
          <w:p w:rsidR="00EF2B79" w:rsidRPr="00EF2B79" w:rsidRDefault="00EF2B79" w:rsidP="00EF2B79">
            <w:pPr>
              <w:pStyle w:val="Stem"/>
              <w:rPr>
                <w:b/>
                <w:i/>
              </w:rPr>
            </w:pPr>
            <w:r w:rsidRPr="00EF2B79">
              <w:rPr>
                <w:b/>
                <w:i/>
              </w:rPr>
              <w:t>Technology as a human endeavour</w:t>
            </w:r>
          </w:p>
          <w:p w:rsidR="00EF2B79" w:rsidRPr="00EF2B79" w:rsidRDefault="00EF2B79" w:rsidP="00EF2B79">
            <w:pPr>
              <w:rPr>
                <w:b/>
              </w:rPr>
            </w:pPr>
            <w:r w:rsidRPr="00EF2B79">
              <w:rPr>
                <w:b/>
              </w:rPr>
              <w:t>Technology influences and impacts on people, their communities and environments</w:t>
            </w:r>
            <w:r w:rsidR="005B0F81">
              <w:rPr>
                <w:b/>
              </w:rPr>
              <w:t>.</w:t>
            </w:r>
          </w:p>
          <w:p w:rsidR="00EF2B79" w:rsidRPr="00FF21A5" w:rsidRDefault="00EF2B79" w:rsidP="00EF2B79">
            <w:pPr>
              <w:pStyle w:val="Bulletslevel1"/>
            </w:pPr>
            <w:r w:rsidRPr="00FF21A5">
              <w:t>Different ideas for designs and products are developed to meet the needs and wants of people, their communities and environments</w:t>
            </w:r>
            <w:r>
              <w:t>.</w:t>
            </w:r>
          </w:p>
          <w:p w:rsidR="00EF2B79" w:rsidRPr="00FF21A5" w:rsidRDefault="00EF2B79" w:rsidP="00EF2B79">
            <w:pPr>
              <w:pStyle w:val="Bulletslevel1"/>
            </w:pPr>
            <w:r w:rsidRPr="00FF21A5">
              <w:t>Aspects of appropriateness influence product design and production decisions.</w:t>
            </w:r>
          </w:p>
          <w:p w:rsidR="00EF2B79" w:rsidRPr="00EF2B79" w:rsidRDefault="00EF2B79" w:rsidP="00EF2B79">
            <w:pPr>
              <w:pStyle w:val="Stem"/>
              <w:rPr>
                <w:b/>
                <w:i/>
              </w:rPr>
            </w:pPr>
            <w:r w:rsidRPr="00EF2B79">
              <w:rPr>
                <w:b/>
                <w:i/>
              </w:rPr>
              <w:t>Information, materials and systems (resources)</w:t>
            </w:r>
          </w:p>
          <w:p w:rsidR="00EF2B79" w:rsidRPr="00EF2B79" w:rsidRDefault="00EF2B79" w:rsidP="00EF2B79">
            <w:pPr>
              <w:rPr>
                <w:b/>
              </w:rPr>
            </w:pPr>
            <w:r w:rsidRPr="00EF2B79">
              <w:rPr>
                <w:b/>
              </w:rPr>
              <w:t>The characteristics of resources are matched with tools and techniques to make products to meet design challenges</w:t>
            </w:r>
            <w:r w:rsidR="005B0F81">
              <w:rPr>
                <w:b/>
              </w:rPr>
              <w:t>.</w:t>
            </w:r>
          </w:p>
          <w:p w:rsidR="00934842" w:rsidRDefault="00EF2B79" w:rsidP="00EF2B79">
            <w:pPr>
              <w:pStyle w:val="Bulletslevel1"/>
            </w:pPr>
            <w:r w:rsidRPr="00FF21A5">
              <w:t>Techniques and tools are selected to appropriately manipulate characteristics of resources to meet design ideas.</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B34779" w:rsidRDefault="004B1E27" w:rsidP="00F70F2F">
            <w:pPr>
              <w:pStyle w:val="Bulletslevel1"/>
              <w:keepNext/>
              <w:keepLines/>
            </w:pPr>
            <w:r>
              <w:t>Knowledge and understanding</w:t>
            </w:r>
          </w:p>
          <w:p w:rsidR="004B1E27" w:rsidRDefault="004B1E27" w:rsidP="00F70F2F">
            <w:pPr>
              <w:pStyle w:val="Bulletslevel1"/>
              <w:keepNext/>
              <w:keepLines/>
            </w:pPr>
            <w:r>
              <w:t>Investigating and designing</w:t>
            </w:r>
          </w:p>
          <w:p w:rsidR="004B1E27" w:rsidRDefault="004B1E27" w:rsidP="00F70F2F">
            <w:pPr>
              <w:pStyle w:val="Bulletslevel1"/>
              <w:keepNext/>
              <w:keepLines/>
            </w:pPr>
            <w:r>
              <w:t>Producing</w:t>
            </w:r>
          </w:p>
          <w:p w:rsidR="004B1E27" w:rsidRDefault="004B1E27" w:rsidP="00F70F2F">
            <w:pPr>
              <w:pStyle w:val="Bulletslevel1"/>
              <w:keepNext/>
              <w:keepLines/>
            </w:pPr>
            <w:r>
              <w:t>Evaluating</w:t>
            </w:r>
          </w:p>
          <w:p w:rsidR="004B1E27" w:rsidRPr="00AD12C7" w:rsidRDefault="004B1E27" w:rsidP="00F70F2F">
            <w:pPr>
              <w:pStyle w:val="Bulletslevel1"/>
              <w:keepNext/>
              <w:keepLines/>
            </w:pPr>
            <w:r>
              <w:t>Reflecting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2007, </w:t>
            </w:r>
            <w:r w:rsidR="00EF2B79" w:rsidRPr="00EF2B79">
              <w:rPr>
                <w:rStyle w:val="SourceTitleChar"/>
              </w:rPr>
              <w:t>Technology</w:t>
            </w:r>
            <w:r w:rsidRPr="00EF2B79">
              <w:rPr>
                <w:rStyle w:val="SourceTitleChar"/>
              </w:rPr>
              <w:t xml:space="preserve"> Essential Learnings by the end of Year </w:t>
            </w:r>
            <w:r w:rsidR="00EF2B79" w:rsidRPr="00EF2B79">
              <w:rPr>
                <w:rStyle w:val="SourceTitleChar"/>
              </w:rPr>
              <w:t>5</w:t>
            </w:r>
            <w:r w:rsidRPr="00EF2B79">
              <w:t>,</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B63195" w:rsidRDefault="00B63195" w:rsidP="00B63195">
      <w:pPr>
        <w:pStyle w:val="Heading2"/>
      </w:pPr>
      <w:r w:rsidRPr="00C53E99">
        <w:lastRenderedPageBreak/>
        <w:t>Links to other KLAs</w:t>
      </w:r>
    </w:p>
    <w:p w:rsidR="00B63195" w:rsidRDefault="00B63195" w:rsidP="00DB0CB9">
      <w:r w:rsidRPr="00DB0CB9">
        <w:t xml:space="preserve">This assessment </w:t>
      </w:r>
      <w:r w:rsidR="00F70F2F">
        <w:t xml:space="preserve">could be expanded to assess the following </w:t>
      </w:r>
      <w:r w:rsidR="00F70F2F" w:rsidRPr="009D15D5">
        <w:rPr>
          <w:b/>
        </w:rPr>
        <w:t>Essential Learnings</w:t>
      </w:r>
      <w:r w:rsidR="00AF6182">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5318"/>
      </w:tblGrid>
      <w:tr w:rsidR="00F70F2F" w:rsidRPr="00FE5E2B">
        <w:trPr>
          <w:trHeight w:val="76"/>
          <w:jc w:val="center"/>
        </w:trPr>
        <w:tc>
          <w:tcPr>
            <w:tcW w:w="9639" w:type="dxa"/>
            <w:gridSpan w:val="2"/>
            <w:shd w:val="clear" w:color="auto" w:fill="E6E6E6"/>
          </w:tcPr>
          <w:p w:rsidR="00F70F2F" w:rsidRPr="00F674A1" w:rsidRDefault="00F674A1" w:rsidP="00F674A1">
            <w:pPr>
              <w:pStyle w:val="Heading2intable"/>
            </w:pPr>
            <w:r w:rsidRPr="00F674A1">
              <w:t>Mathematics</w:t>
            </w:r>
            <w:r w:rsidR="00F70F2F" w:rsidRPr="00F674A1">
              <w:tab/>
              <w:t xml:space="preserve">Essential Learnings by the end of Year </w:t>
            </w:r>
            <w:r w:rsidRPr="00F674A1">
              <w:t>5</w:t>
            </w:r>
          </w:p>
        </w:tc>
      </w:tr>
      <w:tr w:rsidR="00F70F2F">
        <w:trPr>
          <w:trHeight w:val="3454"/>
          <w:jc w:val="center"/>
        </w:trPr>
        <w:tc>
          <w:tcPr>
            <w:tcW w:w="4321" w:type="dxa"/>
          </w:tcPr>
          <w:p w:rsidR="00F70F2F" w:rsidRPr="00A67D85" w:rsidRDefault="00F70F2F" w:rsidP="002D621B">
            <w:pPr>
              <w:pStyle w:val="Heading3"/>
              <w:keepLines/>
            </w:pPr>
            <w:r w:rsidRPr="00A67D85">
              <w:t>Ways of working</w:t>
            </w:r>
          </w:p>
          <w:p w:rsidR="00F70F2F" w:rsidRPr="009D15D5" w:rsidRDefault="00F70F2F" w:rsidP="002D621B">
            <w:pPr>
              <w:pStyle w:val="Stem"/>
              <w:keepNext/>
              <w:keepLines/>
              <w:rPr>
                <w:b/>
              </w:rPr>
            </w:pPr>
            <w:r w:rsidRPr="009D15D5">
              <w:rPr>
                <w:b/>
              </w:rPr>
              <w:t>Students are able to:</w:t>
            </w:r>
          </w:p>
          <w:p w:rsidR="00F674A1" w:rsidRPr="00FF21A5" w:rsidRDefault="00F674A1" w:rsidP="00F674A1">
            <w:pPr>
              <w:pStyle w:val="Bulletslevel1"/>
            </w:pPr>
            <w:r w:rsidRPr="00FF21A5">
              <w:t xml:space="preserve">identify and describe the mathematical concepts, strategies and procedures required </w:t>
            </w:r>
            <w:r w:rsidR="005B0F81">
              <w:t>to generate solutions</w:t>
            </w:r>
          </w:p>
          <w:p w:rsidR="00F70F2F" w:rsidRPr="00A67D85" w:rsidRDefault="00F674A1" w:rsidP="00F674A1">
            <w:pPr>
              <w:pStyle w:val="Bulletslevel1"/>
            </w:pPr>
            <w:r w:rsidRPr="00FF21A5">
              <w:t>reflect on mathematics and identify the contribution of mathematics to personal activities.</w:t>
            </w:r>
          </w:p>
        </w:tc>
        <w:tc>
          <w:tcPr>
            <w:tcW w:w="5318" w:type="dxa"/>
          </w:tcPr>
          <w:p w:rsidR="00F70F2F" w:rsidRDefault="00F70F2F" w:rsidP="002D621B">
            <w:pPr>
              <w:pStyle w:val="Heading3"/>
              <w:keepLines/>
            </w:pPr>
            <w:r>
              <w:t>Knowledge and understanding</w:t>
            </w:r>
          </w:p>
          <w:p w:rsidR="00F674A1" w:rsidRPr="00F674A1" w:rsidRDefault="00F674A1" w:rsidP="00F674A1">
            <w:pPr>
              <w:pStyle w:val="Stem"/>
              <w:rPr>
                <w:b/>
                <w:i/>
              </w:rPr>
            </w:pPr>
            <w:r w:rsidRPr="00F674A1">
              <w:rPr>
                <w:b/>
                <w:i/>
              </w:rPr>
              <w:t>Measurement</w:t>
            </w:r>
          </w:p>
          <w:p w:rsidR="00F674A1" w:rsidRPr="00F674A1" w:rsidRDefault="00F674A1" w:rsidP="00F674A1">
            <w:pPr>
              <w:rPr>
                <w:b/>
              </w:rPr>
            </w:pPr>
            <w:r w:rsidRPr="00F674A1">
              <w:rPr>
                <w:b/>
              </w:rPr>
              <w:t>Length area, volume, mass, time and angles can be estimated, measured and ordered, using standard and non-standard units of measure</w:t>
            </w:r>
            <w:r w:rsidR="005B0F81">
              <w:rPr>
                <w:b/>
              </w:rPr>
              <w:t>.</w:t>
            </w:r>
          </w:p>
          <w:p w:rsidR="00F70F2F" w:rsidRDefault="00F674A1" w:rsidP="00F674A1">
            <w:pPr>
              <w:pStyle w:val="Bulletslevel1"/>
            </w:pPr>
            <w:r w:rsidRPr="00FF21A5">
              <w:t>Standard units, including centimetre, metre, square centimetre, square metre, gram, kilogram, minute, degree, millilitre and litre, and a range of instruments are used to measure and order attributes of objects, including length, area, volume, mass, time and angles.</w:t>
            </w:r>
          </w:p>
        </w:tc>
      </w:tr>
      <w:tr w:rsidR="00F70F2F" w:rsidRPr="00474B75">
        <w:trPr>
          <w:trHeight w:val="76"/>
          <w:jc w:val="center"/>
        </w:trPr>
        <w:tc>
          <w:tcPr>
            <w:tcW w:w="9639" w:type="dxa"/>
            <w:gridSpan w:val="2"/>
          </w:tcPr>
          <w:p w:rsidR="00F70F2F" w:rsidRPr="00474B75" w:rsidRDefault="00F70F2F" w:rsidP="002D621B">
            <w:pPr>
              <w:pStyle w:val="Source"/>
            </w:pPr>
            <w:r w:rsidRPr="00474B75">
              <w:t xml:space="preserve">Source: </w:t>
            </w:r>
            <w:smartTag w:uri="urn:schemas-microsoft-com:office:smarttags" w:element="State">
              <w:r w:rsidRPr="00474B75">
                <w:t>Queensland</w:t>
              </w:r>
            </w:smartTag>
            <w:r w:rsidRPr="00474B75">
              <w:t xml:space="preserve"> Studies Authority 2007, </w:t>
            </w:r>
            <w:r w:rsidR="00F674A1" w:rsidRPr="00F674A1">
              <w:rPr>
                <w:rStyle w:val="SourceTitleChar"/>
              </w:rPr>
              <w:t>Mathematics</w:t>
            </w:r>
            <w:r w:rsidRPr="00F674A1">
              <w:rPr>
                <w:rStyle w:val="SourceTitleChar"/>
              </w:rPr>
              <w:t xml:space="preserve"> Essential Learnings by the end of Year </w:t>
            </w:r>
            <w:r w:rsidR="00F674A1" w:rsidRPr="00F674A1">
              <w:rPr>
                <w:rStyle w:val="SourceTitleChar"/>
              </w:rPr>
              <w:t>5</w:t>
            </w:r>
            <w:r w:rsidRPr="00F674A1">
              <w:rPr>
                <w:rStyle w:val="SourceTitleChar"/>
              </w:rPr>
              <w:t>,</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F70F2F" w:rsidRDefault="00F70F2F" w:rsidP="00DB0CB9"/>
    <w:p w:rsidR="008F3048" w:rsidRDefault="00F222A4" w:rsidP="009D15D5">
      <w:pPr>
        <w:pStyle w:val="Stem"/>
      </w:pPr>
      <w:r>
        <w:rPr>
          <w:noProof/>
        </w:rPr>
        <w:drawing>
          <wp:anchor distT="0" distB="0" distL="114300" distR="114300" simplePos="0" relativeHeight="251661824" behindDoc="0" locked="0" layoutInCell="1" allowOverlap="1">
            <wp:simplePos x="0" y="0"/>
            <wp:positionH relativeFrom="page">
              <wp:posOffset>605790</wp:posOffset>
            </wp:positionH>
            <wp:positionV relativeFrom="margin">
              <wp:posOffset>3770630</wp:posOffset>
            </wp:positionV>
            <wp:extent cx="6713220" cy="1319530"/>
            <wp:effectExtent l="0" t="0" r="0" b="0"/>
            <wp:wrapSquare wrapText="bothSides"/>
            <wp:docPr id="44" name="Picture 44"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1E7">
        <w:t xml:space="preserve">Listed here are </w:t>
      </w:r>
      <w:r w:rsidR="006651E7" w:rsidRPr="00AF6182">
        <w:t>s</w:t>
      </w:r>
      <w:r w:rsidR="008F3048" w:rsidRPr="00AF6182">
        <w:t xml:space="preserve">uggested </w:t>
      </w:r>
      <w:r w:rsidR="008F3048" w:rsidRPr="001623C9">
        <w:rPr>
          <w:b/>
        </w:rPr>
        <w:t>learning experiences</w:t>
      </w:r>
      <w:r w:rsidR="008F3048" w:rsidRPr="00AF6182">
        <w:t xml:space="preserve"> for students</w:t>
      </w:r>
      <w:r w:rsidR="008F3048">
        <w:t xml:space="preserve"> be</w:t>
      </w:r>
      <w:r w:rsidR="00D43BC1">
        <w:t>fore attempting this assessment.</w:t>
      </w:r>
    </w:p>
    <w:p w:rsidR="003A607B" w:rsidRPr="003236E8" w:rsidRDefault="003A607B" w:rsidP="003A607B">
      <w:pPr>
        <w:pStyle w:val="Bulletslevel1"/>
      </w:pPr>
      <w:r>
        <w:t>R</w:t>
      </w:r>
      <w:r w:rsidRPr="003236E8">
        <w:t xml:space="preserve">esearch and examine </w:t>
      </w:r>
      <w:r w:rsidR="001623C9">
        <w:t>different types</w:t>
      </w:r>
      <w:r w:rsidRPr="003236E8">
        <w:t xml:space="preserve"> of bags</w:t>
      </w:r>
      <w:r w:rsidR="001623C9">
        <w:t xml:space="preserve">, looking at </w:t>
      </w:r>
      <w:r w:rsidRPr="003236E8">
        <w:t xml:space="preserve">size, shape, </w:t>
      </w:r>
      <w:r w:rsidR="001623C9" w:rsidRPr="003236E8">
        <w:t>materials</w:t>
      </w:r>
      <w:r w:rsidR="001623C9">
        <w:t>,</w:t>
      </w:r>
      <w:r w:rsidR="001623C9" w:rsidRPr="003236E8">
        <w:t xml:space="preserve"> </w:t>
      </w:r>
      <w:r w:rsidRPr="003236E8">
        <w:t>joins</w:t>
      </w:r>
      <w:r w:rsidR="001623C9">
        <w:t xml:space="preserve"> and</w:t>
      </w:r>
      <w:r w:rsidRPr="003236E8">
        <w:t xml:space="preserve"> decorative elements</w:t>
      </w:r>
      <w:r>
        <w:t>.</w:t>
      </w:r>
    </w:p>
    <w:p w:rsidR="003A607B" w:rsidRPr="003236E8" w:rsidRDefault="003A607B" w:rsidP="003A607B">
      <w:pPr>
        <w:pStyle w:val="Bulletslevel1"/>
      </w:pPr>
      <w:r>
        <w:t>E</w:t>
      </w:r>
      <w:r w:rsidRPr="003236E8">
        <w:t>xamin</w:t>
      </w:r>
      <w:r>
        <w:t>e</w:t>
      </w:r>
      <w:r w:rsidRPr="003236E8">
        <w:t xml:space="preserve"> properties and manipulation techniques of a variety of </w:t>
      </w:r>
      <w:r w:rsidR="001623C9">
        <w:t xml:space="preserve">natural and man-made </w:t>
      </w:r>
      <w:r w:rsidRPr="003236E8">
        <w:t>materials</w:t>
      </w:r>
      <w:r>
        <w:t>.</w:t>
      </w:r>
    </w:p>
    <w:p w:rsidR="003A607B" w:rsidRPr="003236E8" w:rsidRDefault="003A607B" w:rsidP="003A607B">
      <w:pPr>
        <w:pStyle w:val="Bulletslevel1"/>
      </w:pPr>
      <w:r>
        <w:t>U</w:t>
      </w:r>
      <w:r w:rsidRPr="003236E8">
        <w:t>s</w:t>
      </w:r>
      <w:r>
        <w:t>e</w:t>
      </w:r>
      <w:r w:rsidRPr="003236E8">
        <w:t xml:space="preserve"> tools correctly and safely</w:t>
      </w:r>
      <w:r w:rsidR="001623C9">
        <w:t xml:space="preserve"> (</w:t>
      </w:r>
      <w:r w:rsidR="001623C9" w:rsidRPr="003236E8">
        <w:t>e.g. scissors, glue gun, stapler, needle and thread</w:t>
      </w:r>
      <w:r w:rsidR="001623C9">
        <w:t>)</w:t>
      </w:r>
      <w:r>
        <w:t>.</w:t>
      </w:r>
      <w:r w:rsidR="00CB2853">
        <w:t xml:space="preserve"> </w:t>
      </w:r>
      <w:r w:rsidR="0072611F">
        <w:t>For</w:t>
      </w:r>
      <w:r w:rsidR="00CB2853">
        <w:t xml:space="preserve"> </w:t>
      </w:r>
      <w:r w:rsidR="0072611F">
        <w:t xml:space="preserve">safety guidelines see </w:t>
      </w:r>
      <w:r w:rsidR="00CB2853">
        <w:t>Teacher resources</w:t>
      </w:r>
      <w:r w:rsidR="0072611F">
        <w:t>.</w:t>
      </w:r>
    </w:p>
    <w:p w:rsidR="003A607B" w:rsidRPr="003236E8" w:rsidRDefault="003A607B" w:rsidP="003A607B">
      <w:pPr>
        <w:pStyle w:val="Bulletslevel1"/>
      </w:pPr>
      <w:r>
        <w:t>Become familiar with r</w:t>
      </w:r>
      <w:r w:rsidRPr="003236E8">
        <w:t xml:space="preserve">eflection processes </w:t>
      </w:r>
      <w:r>
        <w:t>—</w:t>
      </w:r>
      <w:r w:rsidRPr="003236E8">
        <w:t xml:space="preserve"> </w:t>
      </w:r>
      <w:r w:rsidR="001623C9">
        <w:t xml:space="preserve">what reflection is, </w:t>
      </w:r>
      <w:r w:rsidRPr="003236E8">
        <w:t>how to reflect</w:t>
      </w:r>
      <w:r w:rsidR="001623C9">
        <w:t xml:space="preserve"> and </w:t>
      </w:r>
      <w:r w:rsidRPr="003236E8">
        <w:t>why reflection is important</w:t>
      </w:r>
      <w:r>
        <w:t>.</w:t>
      </w:r>
    </w:p>
    <w:p w:rsidR="003A607B" w:rsidRPr="003236E8" w:rsidRDefault="001623C9" w:rsidP="003A607B">
      <w:pPr>
        <w:pStyle w:val="Bulletslevel1"/>
      </w:pPr>
      <w:r>
        <w:t xml:space="preserve">Practise writing </w:t>
      </w:r>
      <w:r w:rsidR="003A607B" w:rsidRPr="003236E8">
        <w:t>procedural text</w:t>
      </w:r>
      <w:r>
        <w:t>s</w:t>
      </w:r>
      <w:r w:rsidR="003A607B" w:rsidRPr="003236E8">
        <w:t xml:space="preserve"> </w:t>
      </w:r>
      <w:r>
        <w:t>(</w:t>
      </w:r>
      <w:r w:rsidR="003A607B" w:rsidRPr="003236E8">
        <w:t>e.g. recipes, instructions</w:t>
      </w:r>
      <w:r>
        <w:t>)</w:t>
      </w:r>
      <w:r w:rsidR="003A607B">
        <w:t>.</w:t>
      </w:r>
    </w:p>
    <w:p w:rsidR="003A607B" w:rsidRPr="003236E8" w:rsidRDefault="003A607B" w:rsidP="003A607B">
      <w:pPr>
        <w:pStyle w:val="Bulletslevel1"/>
      </w:pPr>
      <w:r>
        <w:t>S</w:t>
      </w:r>
      <w:r w:rsidRPr="003236E8">
        <w:t>har</w:t>
      </w:r>
      <w:r>
        <w:t>e</w:t>
      </w:r>
      <w:r w:rsidRPr="003236E8">
        <w:t xml:space="preserve"> strengths and limitations of own and peer work appropriately</w:t>
      </w:r>
      <w:r>
        <w:t>.</w:t>
      </w:r>
    </w:p>
    <w:p w:rsidR="003A607B" w:rsidRPr="003236E8" w:rsidRDefault="003A607B" w:rsidP="003A607B">
      <w:pPr>
        <w:pStyle w:val="Bulletslevel1"/>
      </w:pPr>
      <w:r>
        <w:t>Develop s</w:t>
      </w:r>
      <w:r w:rsidRPr="003236E8">
        <w:t xml:space="preserve">kills for working collaboratively </w:t>
      </w:r>
      <w:r w:rsidR="001623C9">
        <w:t>(</w:t>
      </w:r>
      <w:r w:rsidRPr="003236E8">
        <w:t>e.g. taking turns, mak</w:t>
      </w:r>
      <w:r w:rsidR="001623C9">
        <w:t>ing decisions, sharing workload and</w:t>
      </w:r>
      <w:r w:rsidRPr="003236E8">
        <w:t xml:space="preserve"> conflict resolution</w:t>
      </w:r>
      <w:r w:rsidR="001623C9">
        <w:t>)</w:t>
      </w:r>
      <w:r>
        <w:t>.</w:t>
      </w:r>
    </w:p>
    <w:p w:rsidR="003A607B" w:rsidRDefault="003A607B" w:rsidP="003A607B">
      <w:pPr>
        <w:pStyle w:val="Bulletslevel1"/>
      </w:pPr>
      <w:r>
        <w:t xml:space="preserve">Experiment with </w:t>
      </w:r>
      <w:r w:rsidR="001623C9" w:rsidRPr="003236E8">
        <w:t xml:space="preserve">procedures </w:t>
      </w:r>
      <w:r>
        <w:t>t</w:t>
      </w:r>
      <w:r w:rsidR="001623C9">
        <w:t>o t</w:t>
      </w:r>
      <w:r w:rsidRPr="003236E8">
        <w:t xml:space="preserve">est effectiveness </w:t>
      </w:r>
      <w:r w:rsidR="001623C9">
        <w:t>(e.g.</w:t>
      </w:r>
      <w:r w:rsidRPr="003236E8">
        <w:t xml:space="preserve"> why should products be</w:t>
      </w:r>
      <w:r w:rsidR="001623C9">
        <w:t xml:space="preserve"> tested and</w:t>
      </w:r>
      <w:r w:rsidRPr="003236E8">
        <w:t xml:space="preserve"> how testing can occur</w:t>
      </w:r>
      <w:r w:rsidR="001623C9">
        <w:t>)</w:t>
      </w:r>
      <w:r w:rsidRPr="003236E8">
        <w:t>.</w:t>
      </w:r>
    </w:p>
    <w:tbl>
      <w:tblPr>
        <w:tblW w:w="9639" w:type="dxa"/>
        <w:tblLook w:val="01E0" w:firstRow="1" w:lastRow="1" w:firstColumn="1" w:lastColumn="1" w:noHBand="0" w:noVBand="0"/>
      </w:tblPr>
      <w:tblGrid>
        <w:gridCol w:w="1008"/>
        <w:gridCol w:w="8631"/>
      </w:tblGrid>
      <w:tr w:rsidR="00C61C2F" w:rsidRPr="008814B0">
        <w:trPr>
          <w:trHeight w:val="870"/>
        </w:trPr>
        <w:tc>
          <w:tcPr>
            <w:tcW w:w="523" w:type="pct"/>
          </w:tcPr>
          <w:p w:rsidR="00C61C2F" w:rsidRPr="000B2F55" w:rsidRDefault="006E382A" w:rsidP="00273DE2">
            <w:r>
              <w:lastRenderedPageBreak/>
              <w:br w:type="page"/>
            </w:r>
            <w:r w:rsidR="00F222A4">
              <w:rPr>
                <w:noProof/>
              </w:rPr>
              <w:drawing>
                <wp:anchor distT="0" distB="0" distL="114300" distR="114300" simplePos="0" relativeHeight="251658752" behindDoc="0" locked="0" layoutInCell="1" allowOverlap="1">
                  <wp:simplePos x="0" y="0"/>
                  <wp:positionH relativeFrom="margin">
                    <wp:align>left</wp:align>
                  </wp:positionH>
                  <wp:positionV relativeFrom="paragraph">
                    <wp:posOffset>0</wp:posOffset>
                  </wp:positionV>
                  <wp:extent cx="542290" cy="542290"/>
                  <wp:effectExtent l="0" t="0" r="0" b="0"/>
                  <wp:wrapNone/>
                  <wp:docPr id="40" name="Picture 40"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77" w:type="pct"/>
            <w:vAlign w:val="center"/>
          </w:tcPr>
          <w:p w:rsidR="00C61C2F" w:rsidRPr="008814B0" w:rsidRDefault="00C61C2F" w:rsidP="00273DE2">
            <w:pPr>
              <w:pStyle w:val="Heading2"/>
            </w:pPr>
            <w:r w:rsidRPr="00B03C83">
              <w:rPr>
                <w:noProof/>
              </w:rPr>
              <w:t>Teacher resources</w:t>
            </w:r>
          </w:p>
        </w:tc>
      </w:tr>
    </w:tbl>
    <w:p w:rsidR="001C1EA7" w:rsidRPr="00CB2853" w:rsidRDefault="001C1EA7" w:rsidP="002E6AD6">
      <w:pPr>
        <w:pStyle w:val="Bulletslevel1"/>
        <w:numPr>
          <w:ilvl w:val="0"/>
          <w:numId w:val="0"/>
        </w:numPr>
      </w:pPr>
      <w:r w:rsidRPr="00CB2853">
        <w:rPr>
          <w:i/>
        </w:rPr>
        <w:t xml:space="preserve">Technology </w:t>
      </w:r>
      <w:r w:rsidR="00CB2853" w:rsidRPr="00CB2853">
        <w:rPr>
          <w:i/>
        </w:rPr>
        <w:t>(2003) s</w:t>
      </w:r>
      <w:r w:rsidRPr="00CB2853">
        <w:rPr>
          <w:i/>
        </w:rPr>
        <w:t>ourcebook</w:t>
      </w:r>
      <w:r w:rsidR="00CB2853" w:rsidRPr="00CB2853">
        <w:rPr>
          <w:i/>
        </w:rPr>
        <w:t xml:space="preserve"> guidelines</w:t>
      </w:r>
      <w:r w:rsidR="00CB2853">
        <w:t xml:space="preserve"> </w:t>
      </w:r>
      <w:r w:rsidR="0072611F">
        <w:t xml:space="preserve">(PDF) </w:t>
      </w:r>
      <w:r w:rsidR="00CB2853">
        <w:t xml:space="preserve">contains </w:t>
      </w:r>
      <w:r w:rsidR="00CB2853" w:rsidRPr="002E6AD6">
        <w:t>comprehensive safety guidelines</w:t>
      </w:r>
      <w:r w:rsidR="00CB2853">
        <w:t xml:space="preserve"> in </w:t>
      </w:r>
      <w:r w:rsidRPr="002E6AD6">
        <w:t>Appendix B</w:t>
      </w:r>
      <w:r w:rsidR="00CB2853">
        <w:t>. This document can be found on the Queensland Studies Authority website at: &lt;</w:t>
      </w:r>
      <w:r w:rsidR="00CB2853" w:rsidRPr="00CB2853">
        <w:t>http://www.qsa.qld.edu.au/syllabus/842.html</w:t>
      </w:r>
      <w:r w:rsidR="00CB2853">
        <w:t>&gt;.</w:t>
      </w:r>
    </w:p>
    <w:p w:rsidR="006831F8" w:rsidRPr="002E6AD6" w:rsidRDefault="00F222A4" w:rsidP="002E6AD6">
      <w:pPr>
        <w:pStyle w:val="Bulletslevel1"/>
        <w:numPr>
          <w:ilvl w:val="0"/>
          <w:numId w:val="0"/>
        </w:numPr>
      </w:pPr>
      <w:r>
        <w:rPr>
          <w:i/>
          <w:noProof/>
        </w:rPr>
        <w:drawing>
          <wp:anchor distT="0" distB="0" distL="114300" distR="114300" simplePos="0" relativeHeight="251653632" behindDoc="0" locked="0" layoutInCell="1" allowOverlap="1">
            <wp:simplePos x="0" y="0"/>
            <wp:positionH relativeFrom="page">
              <wp:posOffset>491490</wp:posOffset>
            </wp:positionH>
            <wp:positionV relativeFrom="margin">
              <wp:posOffset>2170430</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831F8" w:rsidRPr="0072611F">
        <w:rPr>
          <w:i/>
        </w:rPr>
        <w:t>Department of Education Manual</w:t>
      </w:r>
      <w:r w:rsidR="006831F8" w:rsidRPr="002E6AD6">
        <w:t xml:space="preserve"> </w:t>
      </w:r>
      <w:r w:rsidR="0072611F">
        <w:t xml:space="preserve">contains instructions on safety practices in the classroom. Available to EQ schools only at: </w:t>
      </w:r>
      <w:r w:rsidR="006831F8" w:rsidRPr="002E6AD6">
        <w:t>&lt;</w:t>
      </w:r>
      <w:hyperlink r:id="rId16" w:history="1">
        <w:r w:rsidR="006831F8" w:rsidRPr="002E6AD6">
          <w:rPr>
            <w:rStyle w:val="Hyperlink"/>
            <w:color w:val="auto"/>
            <w:u w:val="none"/>
          </w:rPr>
          <w:t>http://education.qld.gov.au/corporate/doem</w:t>
        </w:r>
      </w:hyperlink>
      <w:r w:rsidR="006831F8" w:rsidRPr="002E6AD6">
        <w:t>&gt;</w:t>
      </w:r>
      <w:r w:rsidR="00AF6182" w:rsidRPr="002E6AD6">
        <w:t>.</w:t>
      </w:r>
    </w:p>
    <w:p w:rsidR="006831F8" w:rsidRPr="00DB588D" w:rsidRDefault="006831F8" w:rsidP="002E6AD6">
      <w:pPr>
        <w:pStyle w:val="Bulletslevel1"/>
        <w:numPr>
          <w:ilvl w:val="0"/>
          <w:numId w:val="0"/>
        </w:numPr>
      </w:pPr>
      <w:r w:rsidRPr="0072611F">
        <w:rPr>
          <w:i/>
        </w:rPr>
        <w:t>Workplace Health and Safety Act 1995</w:t>
      </w:r>
      <w:r w:rsidRPr="00DB588D">
        <w:t xml:space="preserve"> </w:t>
      </w:r>
      <w:r w:rsidR="0072611F">
        <w:t>(PDF) is available on the Department of Employment and Industrial Relations website at: &lt;</w:t>
      </w:r>
      <w:r w:rsidR="0072611F" w:rsidRPr="0072611F">
        <w:t>http://www.deir.qld.gov.au/workplace/law/index.htm</w:t>
      </w:r>
      <w:r w:rsidRPr="00DB588D">
        <w:t>&gt;</w:t>
      </w:r>
      <w:r w:rsidR="00AF6182">
        <w:t>.</w:t>
      </w:r>
    </w:p>
    <w:p w:rsidR="00233FC0" w:rsidRDefault="00233FC0" w:rsidP="00233FC0">
      <w:pPr>
        <w:pStyle w:val="Heading2"/>
      </w:pPr>
      <w:r>
        <w:t>Preparing</w:t>
      </w:r>
    </w:p>
    <w:p w:rsidR="004F20BA" w:rsidRDefault="004F20BA" w:rsidP="004F20BA">
      <w:r>
        <w:t>Consider these points bef</w:t>
      </w:r>
      <w:r w:rsidR="00227363">
        <w:t>ore implementing the assessment.</w:t>
      </w:r>
    </w:p>
    <w:p w:rsidR="006831F8" w:rsidRPr="00874DB2" w:rsidRDefault="006831F8" w:rsidP="006831F8">
      <w:pPr>
        <w:pStyle w:val="Bulletslevel1"/>
      </w:pPr>
      <w:r w:rsidRPr="00874DB2">
        <w:t>Students work in pairs</w:t>
      </w:r>
      <w:r w:rsidR="009720A3">
        <w:t xml:space="preserve"> to design and make a bag</w:t>
      </w:r>
      <w:r w:rsidRPr="00874DB2">
        <w:t>. Teacher</w:t>
      </w:r>
      <w:r w:rsidR="009720A3">
        <w:t xml:space="preserve">s may allocate partners or </w:t>
      </w:r>
      <w:r w:rsidRPr="00874DB2">
        <w:t xml:space="preserve">allow students to </w:t>
      </w:r>
      <w:r w:rsidR="009720A3">
        <w:t>choose</w:t>
      </w:r>
      <w:r w:rsidRPr="00874DB2">
        <w:t xml:space="preserve"> their partners. Please </w:t>
      </w:r>
      <w:r w:rsidR="009720A3">
        <w:t xml:space="preserve">note that not all </w:t>
      </w:r>
      <w:r w:rsidRPr="00874DB2">
        <w:t>students may feel comfortable having to choose partners.</w:t>
      </w:r>
    </w:p>
    <w:p w:rsidR="006831F8" w:rsidRPr="00874DB2" w:rsidRDefault="006831F8" w:rsidP="006831F8">
      <w:pPr>
        <w:pStyle w:val="Bulletslevel1"/>
      </w:pPr>
      <w:r w:rsidRPr="00874DB2">
        <w:t>Ensure th</w:t>
      </w:r>
      <w:r w:rsidR="009720A3">
        <w:t>at there</w:t>
      </w:r>
      <w:r w:rsidRPr="00874DB2">
        <w:t xml:space="preserve"> are sufficient resources </w:t>
      </w:r>
      <w:r w:rsidR="009720A3">
        <w:t xml:space="preserve">available to make the bags, </w:t>
      </w:r>
      <w:r w:rsidRPr="00874DB2">
        <w:t>including staplers and other tools that all pairs may want to use simultaneously.</w:t>
      </w:r>
    </w:p>
    <w:p w:rsidR="009720A3" w:rsidRDefault="006831F8" w:rsidP="006831F8">
      <w:pPr>
        <w:pStyle w:val="Bulletslevel1"/>
      </w:pPr>
      <w:r w:rsidRPr="00874DB2">
        <w:t xml:space="preserve">If tools are minimal in number then consider group rotation. </w:t>
      </w:r>
    </w:p>
    <w:p w:rsidR="006831F8" w:rsidRDefault="006831F8" w:rsidP="006831F8">
      <w:pPr>
        <w:pStyle w:val="Bulletslevel1"/>
      </w:pPr>
      <w:r w:rsidRPr="00874DB2">
        <w:t xml:space="preserve">Group rotation may </w:t>
      </w:r>
      <w:r w:rsidR="009720A3">
        <w:t xml:space="preserve">also </w:t>
      </w:r>
      <w:r w:rsidR="006301F4">
        <w:t>help in</w:t>
      </w:r>
      <w:r w:rsidRPr="00874DB2">
        <w:t xml:space="preserve"> assessing individual contributions </w:t>
      </w:r>
      <w:r w:rsidR="006301F4">
        <w:t xml:space="preserve">to the </w:t>
      </w:r>
      <w:r w:rsidRPr="00874DB2">
        <w:t xml:space="preserve">design and </w:t>
      </w:r>
      <w:r w:rsidR="006301F4">
        <w:t>production</w:t>
      </w:r>
      <w:r w:rsidRPr="00874DB2">
        <w:t xml:space="preserve"> of the bag.</w:t>
      </w:r>
    </w:p>
    <w:p w:rsidR="00C9531C" w:rsidRDefault="00C9531C" w:rsidP="00C9531C">
      <w:pPr>
        <w:pStyle w:val="Bulletslevel1"/>
      </w:pPr>
      <w:r>
        <w:t>Be aware of s</w:t>
      </w:r>
      <w:r w:rsidRPr="00874DB2">
        <w:t>afety considerations</w:t>
      </w:r>
      <w:r>
        <w:t xml:space="preserve"> such as the</w:t>
      </w:r>
      <w:r w:rsidRPr="00874DB2">
        <w:t xml:space="preserve"> storage and use of scissors, staplers, glue, needles</w:t>
      </w:r>
      <w:r>
        <w:t>, etc</w:t>
      </w:r>
      <w:r w:rsidRPr="00874DB2">
        <w:t>.</w:t>
      </w:r>
      <w:r w:rsidR="006301F4">
        <w:t xml:space="preserve"> For safety guidelines see Teacher resources.</w:t>
      </w:r>
    </w:p>
    <w:p w:rsidR="006E382A" w:rsidRPr="003236E8" w:rsidRDefault="009720A3" w:rsidP="006E382A">
      <w:pPr>
        <w:pStyle w:val="Heading3"/>
      </w:pPr>
      <w:r>
        <w:t>Possible e</w:t>
      </w:r>
      <w:r w:rsidR="006E382A" w:rsidRPr="003236E8">
        <w:t>xtension</w:t>
      </w:r>
      <w:r w:rsidR="006301F4">
        <w:t xml:space="preserve"> </w:t>
      </w:r>
      <w:r w:rsidR="00B64E78">
        <w:t>activities</w:t>
      </w:r>
    </w:p>
    <w:p w:rsidR="006301F4" w:rsidRDefault="006301F4" w:rsidP="006301F4">
      <w:r>
        <w:t>This assessment could be extended to cover the following:</w:t>
      </w:r>
    </w:p>
    <w:p w:rsidR="006E382A" w:rsidRPr="003236E8" w:rsidRDefault="006301F4" w:rsidP="006E382A">
      <w:pPr>
        <w:pStyle w:val="Bulletslevel1"/>
      </w:pPr>
      <w:r>
        <w:t xml:space="preserve">How strong are the bags or </w:t>
      </w:r>
      <w:r w:rsidR="006E382A" w:rsidRPr="003236E8">
        <w:t>baskets? Test using weights.</w:t>
      </w:r>
    </w:p>
    <w:p w:rsidR="006E382A" w:rsidRPr="003236E8" w:rsidRDefault="006E382A" w:rsidP="006E382A">
      <w:pPr>
        <w:pStyle w:val="Bulletslevel1"/>
      </w:pPr>
      <w:r w:rsidRPr="003236E8">
        <w:t xml:space="preserve">Weather </w:t>
      </w:r>
      <w:r>
        <w:t>proofing the bags</w:t>
      </w:r>
      <w:r w:rsidR="006301F4">
        <w:t xml:space="preserve"> or </w:t>
      </w:r>
      <w:r w:rsidRPr="003236E8">
        <w:t>baskets</w:t>
      </w:r>
      <w:r w:rsidR="006301F4">
        <w:t>.</w:t>
      </w:r>
    </w:p>
    <w:p w:rsidR="006E382A" w:rsidRPr="00874DB2" w:rsidRDefault="006E382A" w:rsidP="006E382A">
      <w:pPr>
        <w:pStyle w:val="Bulletslevel1"/>
        <w:numPr>
          <w:ilvl w:val="0"/>
          <w:numId w:val="0"/>
        </w:numPr>
        <w:ind w:left="380" w:hanging="380"/>
      </w:pPr>
    </w:p>
    <w:p w:rsidR="00233FC0" w:rsidRDefault="009F1EAE" w:rsidP="009F1EAE">
      <w:pPr>
        <w:pStyle w:val="Heading2"/>
      </w:pPr>
      <w:r>
        <w:br w:type="page"/>
      </w:r>
      <w:r w:rsidR="00233FC0">
        <w:t>Sample implementation plan</w:t>
      </w:r>
    </w:p>
    <w:p w:rsidR="00216C8D"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66"/>
        <w:gridCol w:w="2807"/>
        <w:gridCol w:w="4940"/>
        <w:gridCol w:w="18"/>
      </w:tblGrid>
      <w:tr w:rsidR="006E382A" w:rsidRPr="009D15D5">
        <w:trPr>
          <w:gridAfter w:val="1"/>
          <w:wAfter w:w="18" w:type="dxa"/>
          <w:jc w:val="center"/>
        </w:trPr>
        <w:tc>
          <w:tcPr>
            <w:tcW w:w="1874" w:type="dxa"/>
            <w:gridSpan w:val="2"/>
            <w:shd w:val="clear" w:color="auto" w:fill="CCCCCC"/>
          </w:tcPr>
          <w:p w:rsidR="006E382A" w:rsidRPr="009D15D5" w:rsidRDefault="006E382A" w:rsidP="00C11F18">
            <w:pPr>
              <w:spacing w:before="120" w:after="120" w:line="240" w:lineRule="auto"/>
              <w:rPr>
                <w:b/>
              </w:rPr>
            </w:pPr>
            <w:r w:rsidRPr="009D15D5">
              <w:rPr>
                <w:b/>
              </w:rPr>
              <w:t>Suggested time</w:t>
            </w:r>
          </w:p>
        </w:tc>
        <w:tc>
          <w:tcPr>
            <w:tcW w:w="2807" w:type="dxa"/>
            <w:shd w:val="clear" w:color="auto" w:fill="CCCCCC"/>
          </w:tcPr>
          <w:p w:rsidR="006E382A" w:rsidRPr="009D15D5" w:rsidRDefault="006E382A" w:rsidP="00C11F18">
            <w:pPr>
              <w:spacing w:before="120" w:after="120" w:line="240" w:lineRule="auto"/>
              <w:rPr>
                <w:b/>
              </w:rPr>
            </w:pPr>
            <w:r w:rsidRPr="009D15D5">
              <w:rPr>
                <w:b/>
              </w:rPr>
              <w:t>Student activity</w:t>
            </w:r>
          </w:p>
        </w:tc>
        <w:tc>
          <w:tcPr>
            <w:tcW w:w="4940" w:type="dxa"/>
            <w:shd w:val="clear" w:color="auto" w:fill="CCCCCC"/>
          </w:tcPr>
          <w:p w:rsidR="006E382A" w:rsidRPr="009D15D5" w:rsidRDefault="006E382A" w:rsidP="00C11F18">
            <w:pPr>
              <w:spacing w:before="120" w:after="120" w:line="240" w:lineRule="auto"/>
              <w:rPr>
                <w:b/>
              </w:rPr>
            </w:pPr>
            <w:r w:rsidRPr="009D15D5">
              <w:rPr>
                <w:b/>
              </w:rPr>
              <w:t>Teacher role</w:t>
            </w:r>
          </w:p>
        </w:tc>
      </w:tr>
      <w:tr w:rsidR="00216C8D" w:rsidRPr="009D15D5">
        <w:trPr>
          <w:gridAfter w:val="1"/>
          <w:wAfter w:w="18" w:type="dxa"/>
          <w:jc w:val="center"/>
        </w:trPr>
        <w:tc>
          <w:tcPr>
            <w:tcW w:w="9621" w:type="dxa"/>
            <w:gridSpan w:val="4"/>
            <w:shd w:val="clear" w:color="auto" w:fill="E6E6E6"/>
          </w:tcPr>
          <w:p w:rsidR="00216C8D" w:rsidRPr="009D15D5" w:rsidRDefault="001C5BD9" w:rsidP="00C11F18">
            <w:pPr>
              <w:spacing w:before="120" w:after="120" w:line="240" w:lineRule="auto"/>
              <w:rPr>
                <w:b/>
              </w:rPr>
            </w:pPr>
            <w:r w:rsidRPr="009D15D5">
              <w:rPr>
                <w:b/>
              </w:rPr>
              <w:t xml:space="preserve">Section 1. </w:t>
            </w:r>
            <w:r w:rsidR="00364ECF">
              <w:rPr>
                <w:b/>
              </w:rPr>
              <w:t>Design a bag</w:t>
            </w:r>
          </w:p>
        </w:tc>
      </w:tr>
      <w:tr w:rsidR="006E382A">
        <w:trPr>
          <w:gridAfter w:val="1"/>
          <w:wAfter w:w="18" w:type="dxa"/>
          <w:jc w:val="center"/>
        </w:trPr>
        <w:tc>
          <w:tcPr>
            <w:tcW w:w="1874" w:type="dxa"/>
            <w:gridSpan w:val="2"/>
          </w:tcPr>
          <w:p w:rsidR="006E382A" w:rsidRPr="00B52C27" w:rsidRDefault="006E382A" w:rsidP="0034235F">
            <w:r w:rsidRPr="00B52C27">
              <w:t>30 minutes</w:t>
            </w:r>
          </w:p>
        </w:tc>
        <w:tc>
          <w:tcPr>
            <w:tcW w:w="2807" w:type="dxa"/>
          </w:tcPr>
          <w:p w:rsidR="006E382A" w:rsidRPr="00B52C27" w:rsidRDefault="006E382A" w:rsidP="0034235F">
            <w:r w:rsidRPr="00B52C27">
              <w:t>Read and understand design brief</w:t>
            </w:r>
            <w:r w:rsidR="00C312CA">
              <w:t>.</w:t>
            </w:r>
          </w:p>
          <w:p w:rsidR="006E382A" w:rsidRPr="00B52C27" w:rsidRDefault="006E382A" w:rsidP="0034235F">
            <w:r w:rsidRPr="00B52C27">
              <w:t>Collect materials and tools.</w:t>
            </w:r>
          </w:p>
          <w:p w:rsidR="006E382A" w:rsidRPr="00B52C27" w:rsidRDefault="006E382A" w:rsidP="0034235F">
            <w:r w:rsidRPr="00B52C27">
              <w:t>Generate design ideas</w:t>
            </w:r>
            <w:r w:rsidR="00F23E06">
              <w:t xml:space="preserve"> with a partner</w:t>
            </w:r>
            <w:r w:rsidRPr="00B52C27">
              <w:t>.</w:t>
            </w:r>
          </w:p>
        </w:tc>
        <w:tc>
          <w:tcPr>
            <w:tcW w:w="4940" w:type="dxa"/>
          </w:tcPr>
          <w:p w:rsidR="006E382A" w:rsidRPr="00B52C27" w:rsidRDefault="006E382A" w:rsidP="00F23E06">
            <w:pPr>
              <w:spacing w:after="80"/>
            </w:pPr>
            <w:r w:rsidRPr="00B52C27">
              <w:t>Read and explain instructions to students.</w:t>
            </w:r>
          </w:p>
          <w:p w:rsidR="006E382A" w:rsidRPr="00B52C27" w:rsidRDefault="006E382A" w:rsidP="00F23E06">
            <w:pPr>
              <w:spacing w:after="80"/>
            </w:pPr>
            <w:r w:rsidRPr="00B52C27">
              <w:t xml:space="preserve">Model </w:t>
            </w:r>
            <w:r w:rsidR="003F13E6">
              <w:t>how to plan a design</w:t>
            </w:r>
            <w:r w:rsidRPr="00B52C27">
              <w:t>.</w:t>
            </w:r>
          </w:p>
          <w:p w:rsidR="00F23E06" w:rsidRDefault="00F23E06" w:rsidP="00F23E06">
            <w:pPr>
              <w:spacing w:after="80"/>
            </w:pPr>
            <w:r>
              <w:t xml:space="preserve">Assist in organising student </w:t>
            </w:r>
            <w:r w:rsidR="006E382A" w:rsidRPr="00B52C27">
              <w:t xml:space="preserve">pairs </w:t>
            </w:r>
            <w:r>
              <w:t>and material selection</w:t>
            </w:r>
            <w:r w:rsidR="006E382A" w:rsidRPr="00B52C27">
              <w:t xml:space="preserve">. </w:t>
            </w:r>
          </w:p>
          <w:p w:rsidR="006E382A" w:rsidRPr="00B52C27" w:rsidRDefault="006E382A" w:rsidP="00F23E06">
            <w:pPr>
              <w:spacing w:after="80"/>
            </w:pPr>
            <w:r>
              <w:t>D</w:t>
            </w:r>
            <w:r w:rsidRPr="00B52C27">
              <w:t>iscuss with students their individual contributions</w:t>
            </w:r>
            <w:r w:rsidR="00F23E06">
              <w:t xml:space="preserve"> and </w:t>
            </w:r>
            <w:r w:rsidRPr="00B52C27">
              <w:t xml:space="preserve">observe their work, to assist </w:t>
            </w:r>
            <w:r w:rsidR="00F23E06">
              <w:t>in</w:t>
            </w:r>
            <w:r w:rsidRPr="00B52C27">
              <w:t xml:space="preserve"> making accurate judgements.</w:t>
            </w:r>
          </w:p>
        </w:tc>
      </w:tr>
      <w:tr w:rsidR="006E382A">
        <w:trPr>
          <w:gridAfter w:val="1"/>
          <w:wAfter w:w="18" w:type="dxa"/>
          <w:jc w:val="center"/>
        </w:trPr>
        <w:tc>
          <w:tcPr>
            <w:tcW w:w="1874" w:type="dxa"/>
            <w:gridSpan w:val="2"/>
          </w:tcPr>
          <w:p w:rsidR="006E382A" w:rsidRPr="00B52C27" w:rsidRDefault="00DB51CE" w:rsidP="0034235F">
            <w:r>
              <w:t>1–2 hours</w:t>
            </w:r>
          </w:p>
        </w:tc>
        <w:tc>
          <w:tcPr>
            <w:tcW w:w="2807" w:type="dxa"/>
          </w:tcPr>
          <w:p w:rsidR="006E382A" w:rsidRDefault="003F13E6" w:rsidP="0034235F">
            <w:r>
              <w:t>Put together a production plan</w:t>
            </w:r>
            <w:r w:rsidR="00F23E06">
              <w:t xml:space="preserve"> and </w:t>
            </w:r>
            <w:r w:rsidR="006E382A" w:rsidRPr="00B52C27">
              <w:t xml:space="preserve">make </w:t>
            </w:r>
            <w:r w:rsidR="00F23E06">
              <w:t>a</w:t>
            </w:r>
            <w:r w:rsidR="006E382A" w:rsidRPr="00B52C27">
              <w:t xml:space="preserve"> bag </w:t>
            </w:r>
            <w:r w:rsidR="00F23E06">
              <w:t>with a partner.</w:t>
            </w:r>
            <w:r w:rsidR="006E382A" w:rsidRPr="00B52C27">
              <w:t xml:space="preserve"> </w:t>
            </w:r>
          </w:p>
          <w:p w:rsidR="006E382A" w:rsidRPr="00B52C27" w:rsidRDefault="006E382A" w:rsidP="0034235F">
            <w:r w:rsidRPr="00B52C27">
              <w:t xml:space="preserve">All students need to discuss, draw, seek </w:t>
            </w:r>
            <w:r w:rsidR="00F23E06">
              <w:t>feedback and</w:t>
            </w:r>
            <w:r w:rsidRPr="00B52C27">
              <w:t xml:space="preserve"> consider alternatives as part of their planning process.</w:t>
            </w:r>
          </w:p>
        </w:tc>
        <w:tc>
          <w:tcPr>
            <w:tcW w:w="4940" w:type="dxa"/>
          </w:tcPr>
          <w:p w:rsidR="006E382A" w:rsidRPr="00B52C27" w:rsidRDefault="006E382A" w:rsidP="00F23E06">
            <w:pPr>
              <w:spacing w:after="80"/>
            </w:pPr>
            <w:r w:rsidRPr="00B52C27">
              <w:t xml:space="preserve">Encourage students to take their time with their planning. </w:t>
            </w:r>
            <w:r w:rsidR="00F23E06">
              <w:t>T</w:t>
            </w:r>
            <w:r w:rsidRPr="00B52C27">
              <w:t xml:space="preserve">he </w:t>
            </w:r>
            <w:r w:rsidR="00F23E06" w:rsidRPr="00F23E06">
              <w:rPr>
                <w:i/>
              </w:rPr>
              <w:t>S</w:t>
            </w:r>
            <w:r w:rsidRPr="00F23E06">
              <w:rPr>
                <w:i/>
              </w:rPr>
              <w:t>tudent booklet</w:t>
            </w:r>
            <w:r w:rsidRPr="00B52C27">
              <w:t xml:space="preserve"> provides a template for this process, </w:t>
            </w:r>
            <w:r w:rsidR="00F23E06">
              <w:t xml:space="preserve">but </w:t>
            </w:r>
            <w:r w:rsidRPr="00B52C27">
              <w:t xml:space="preserve">students may prefer to use large sheets of paper to </w:t>
            </w:r>
            <w:r w:rsidR="00C312CA">
              <w:t>initially brainstorm ideas</w:t>
            </w:r>
            <w:r w:rsidRPr="00B52C27">
              <w:t>.</w:t>
            </w:r>
          </w:p>
          <w:p w:rsidR="006E382A" w:rsidRPr="00B52C27" w:rsidRDefault="006E382A" w:rsidP="00F23E06">
            <w:pPr>
              <w:spacing w:after="80"/>
            </w:pPr>
            <w:r w:rsidRPr="00B52C27">
              <w:t>Ensure th</w:t>
            </w:r>
            <w:r w:rsidR="00F23E06">
              <w:t>at students</w:t>
            </w:r>
            <w:r w:rsidRPr="00B52C27">
              <w:t xml:space="preserve"> </w:t>
            </w:r>
            <w:r w:rsidR="00F23E06" w:rsidRPr="00B52C27">
              <w:t xml:space="preserve">have completed their plan </w:t>
            </w:r>
            <w:r w:rsidR="00F23E06">
              <w:t xml:space="preserve">and </w:t>
            </w:r>
            <w:r w:rsidRPr="00B52C27">
              <w:t xml:space="preserve">have the necessary resources </w:t>
            </w:r>
            <w:r w:rsidR="003F13E6">
              <w:t>before</w:t>
            </w:r>
            <w:r w:rsidRPr="00B52C27">
              <w:t xml:space="preserve"> making their bag.</w:t>
            </w:r>
          </w:p>
          <w:p w:rsidR="006E382A" w:rsidRPr="00B52C27" w:rsidRDefault="006E382A" w:rsidP="00F23E06">
            <w:pPr>
              <w:spacing w:after="80"/>
            </w:pPr>
          </w:p>
        </w:tc>
      </w:tr>
      <w:tr w:rsidR="00216C8D" w:rsidRPr="009D15D5">
        <w:trPr>
          <w:gridAfter w:val="1"/>
          <w:wAfter w:w="18" w:type="dxa"/>
          <w:jc w:val="center"/>
        </w:trPr>
        <w:tc>
          <w:tcPr>
            <w:tcW w:w="9621" w:type="dxa"/>
            <w:gridSpan w:val="4"/>
            <w:shd w:val="clear" w:color="auto" w:fill="E6E6E6"/>
          </w:tcPr>
          <w:p w:rsidR="00216C8D" w:rsidRPr="009D15D5" w:rsidRDefault="001C5BD9" w:rsidP="00C11F18">
            <w:pPr>
              <w:spacing w:before="120" w:after="120" w:line="240" w:lineRule="auto"/>
              <w:rPr>
                <w:b/>
              </w:rPr>
            </w:pPr>
            <w:r w:rsidRPr="009D15D5">
              <w:rPr>
                <w:b/>
              </w:rPr>
              <w:t xml:space="preserve">Section 2. </w:t>
            </w:r>
            <w:r w:rsidR="00364ECF">
              <w:rPr>
                <w:b/>
              </w:rPr>
              <w:t>Make a bag</w:t>
            </w:r>
          </w:p>
        </w:tc>
      </w:tr>
      <w:tr w:rsidR="006E382A">
        <w:trPr>
          <w:gridAfter w:val="1"/>
          <w:wAfter w:w="18" w:type="dxa"/>
          <w:jc w:val="center"/>
        </w:trPr>
        <w:tc>
          <w:tcPr>
            <w:tcW w:w="1874" w:type="dxa"/>
            <w:gridSpan w:val="2"/>
          </w:tcPr>
          <w:p w:rsidR="006E382A" w:rsidRPr="00B52C27" w:rsidRDefault="00364ECF" w:rsidP="0034235F">
            <w:r>
              <w:t>30 minutes</w:t>
            </w:r>
          </w:p>
        </w:tc>
        <w:tc>
          <w:tcPr>
            <w:tcW w:w="2807" w:type="dxa"/>
          </w:tcPr>
          <w:p w:rsidR="006E382A" w:rsidRPr="00B52C27" w:rsidRDefault="00364ECF" w:rsidP="00F23E06">
            <w:pPr>
              <w:spacing w:after="80"/>
            </w:pPr>
            <w:r>
              <w:t xml:space="preserve">Students </w:t>
            </w:r>
            <w:r w:rsidR="00CC19F9">
              <w:t>write instructions on how to make t</w:t>
            </w:r>
            <w:r>
              <w:t>he bag.</w:t>
            </w:r>
          </w:p>
        </w:tc>
        <w:tc>
          <w:tcPr>
            <w:tcW w:w="4940" w:type="dxa"/>
          </w:tcPr>
          <w:p w:rsidR="003F13E6" w:rsidRPr="00B52C27" w:rsidRDefault="003F13E6" w:rsidP="003F13E6">
            <w:pPr>
              <w:spacing w:after="80"/>
            </w:pPr>
            <w:r>
              <w:t>E</w:t>
            </w:r>
            <w:r w:rsidRPr="00B52C27">
              <w:t>nsure</w:t>
            </w:r>
            <w:r>
              <w:t xml:space="preserve"> that</w:t>
            </w:r>
            <w:r w:rsidRPr="00B52C27">
              <w:t xml:space="preserve"> </w:t>
            </w:r>
            <w:r>
              <w:t xml:space="preserve">there are </w:t>
            </w:r>
            <w:r w:rsidRPr="00B52C27">
              <w:t>enough materials available.</w:t>
            </w:r>
          </w:p>
          <w:p w:rsidR="003F13E6" w:rsidRDefault="003F13E6" w:rsidP="00F23E06">
            <w:pPr>
              <w:spacing w:after="80"/>
            </w:pPr>
            <w:r>
              <w:t xml:space="preserve">You </w:t>
            </w:r>
            <w:r w:rsidRPr="00B52C27">
              <w:t xml:space="preserve">may wish to have students make their bags in cluster groups rather then as a whole class. </w:t>
            </w:r>
          </w:p>
          <w:p w:rsidR="006E382A" w:rsidRPr="00B52C27" w:rsidRDefault="003F13E6" w:rsidP="00F23E06">
            <w:pPr>
              <w:spacing w:after="80"/>
            </w:pPr>
            <w:r w:rsidRPr="00B52C27">
              <w:t>It may take a couple of sessions for students to complete the bag.</w:t>
            </w:r>
          </w:p>
        </w:tc>
      </w:tr>
      <w:tr w:rsidR="00364ECF" w:rsidRPr="009D15D5">
        <w:trPr>
          <w:gridAfter w:val="1"/>
          <w:wAfter w:w="18" w:type="dxa"/>
          <w:jc w:val="center"/>
        </w:trPr>
        <w:tc>
          <w:tcPr>
            <w:tcW w:w="9621" w:type="dxa"/>
            <w:gridSpan w:val="4"/>
            <w:shd w:val="clear" w:color="auto" w:fill="E6E6E6"/>
          </w:tcPr>
          <w:p w:rsidR="00364ECF" w:rsidRPr="009D15D5" w:rsidRDefault="00C312CA" w:rsidP="00364ECF">
            <w:pPr>
              <w:spacing w:before="120" w:after="120" w:line="240" w:lineRule="auto"/>
              <w:rPr>
                <w:b/>
              </w:rPr>
            </w:pPr>
            <w:r>
              <w:rPr>
                <w:b/>
              </w:rPr>
              <w:t>Section 3</w:t>
            </w:r>
            <w:r w:rsidR="00364ECF" w:rsidRPr="009D15D5">
              <w:rPr>
                <w:b/>
              </w:rPr>
              <w:t xml:space="preserve">. </w:t>
            </w:r>
            <w:r w:rsidR="00364ECF">
              <w:rPr>
                <w:b/>
              </w:rPr>
              <w:t>Reflection</w:t>
            </w:r>
          </w:p>
        </w:tc>
      </w:tr>
      <w:tr w:rsidR="00364ECF">
        <w:trPr>
          <w:gridAfter w:val="1"/>
          <w:wAfter w:w="18" w:type="dxa"/>
          <w:jc w:val="center"/>
        </w:trPr>
        <w:tc>
          <w:tcPr>
            <w:tcW w:w="1874" w:type="dxa"/>
            <w:gridSpan w:val="2"/>
          </w:tcPr>
          <w:p w:rsidR="00364ECF" w:rsidRDefault="00364ECF" w:rsidP="0034235F">
            <w:r>
              <w:t>30 minutes</w:t>
            </w:r>
          </w:p>
        </w:tc>
        <w:tc>
          <w:tcPr>
            <w:tcW w:w="2807" w:type="dxa"/>
          </w:tcPr>
          <w:p w:rsidR="00364ECF" w:rsidRPr="00B52C27" w:rsidRDefault="00364ECF" w:rsidP="00F23E06">
            <w:pPr>
              <w:spacing w:after="80"/>
            </w:pPr>
            <w:r w:rsidRPr="00B52C27">
              <w:t>Students individually complete</w:t>
            </w:r>
            <w:r>
              <w:t xml:space="preserve"> an evaluation.</w:t>
            </w:r>
          </w:p>
        </w:tc>
        <w:tc>
          <w:tcPr>
            <w:tcW w:w="4940" w:type="dxa"/>
          </w:tcPr>
          <w:p w:rsidR="00364ECF" w:rsidRPr="00B52C27" w:rsidRDefault="00364ECF" w:rsidP="00F23E06">
            <w:pPr>
              <w:spacing w:after="80"/>
            </w:pPr>
            <w:r w:rsidRPr="00B52C27">
              <w:t>Read and clarify questions</w:t>
            </w:r>
            <w:r>
              <w:t>.</w:t>
            </w:r>
          </w:p>
        </w:tc>
      </w:tr>
      <w:tr w:rsidR="006E3C63" w:rsidRPr="008814B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008" w:type="dxa"/>
          </w:tcPr>
          <w:p w:rsidR="006E3C63" w:rsidRPr="000B2F55" w:rsidRDefault="009F1EAE" w:rsidP="009F1EAE">
            <w:pPr>
              <w:pageBreakBefore/>
            </w:pPr>
            <w:r>
              <w:rPr>
                <w:rStyle w:val="Publishingnote"/>
                <w:color w:val="auto"/>
              </w:rPr>
              <w:br w:type="page"/>
            </w:r>
            <w:r w:rsidR="00F222A4">
              <w:rPr>
                <w:noProof/>
              </w:rPr>
              <w:drawing>
                <wp:anchor distT="0" distB="0" distL="114300" distR="114300" simplePos="0" relativeHeight="251656704" behindDoc="0" locked="0" layoutInCell="1" allowOverlap="1">
                  <wp:simplePos x="0" y="0"/>
                  <wp:positionH relativeFrom="margin">
                    <wp:posOffset>-63500</wp:posOffset>
                  </wp:positionH>
                  <wp:positionV relativeFrom="paragraph">
                    <wp:posOffset>-2540</wp:posOffset>
                  </wp:positionV>
                  <wp:extent cx="542290" cy="542290"/>
                  <wp:effectExtent l="0" t="0" r="0" b="0"/>
                  <wp:wrapNone/>
                  <wp:docPr id="37" name="Picture 37"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31" w:type="dxa"/>
            <w:gridSpan w:val="4"/>
            <w:vAlign w:val="center"/>
          </w:tcPr>
          <w:p w:rsidR="006E3C63" w:rsidRPr="008814B0" w:rsidRDefault="006E3C63" w:rsidP="006E3C63">
            <w:pPr>
              <w:pStyle w:val="Heading2"/>
            </w:pPr>
            <w:r>
              <w:t>Resources</w:t>
            </w:r>
            <w:r w:rsidR="0091354C">
              <w:t xml:space="preserve"> for the assessment</w:t>
            </w:r>
          </w:p>
        </w:tc>
      </w:tr>
    </w:tbl>
    <w:p w:rsidR="006831F8" w:rsidRPr="003236E8" w:rsidRDefault="006831F8" w:rsidP="006831F8">
      <w:r w:rsidRPr="003236E8">
        <w:t>Each pair will choose one of the following</w:t>
      </w:r>
      <w:r w:rsidR="00F23E06">
        <w:t xml:space="preserve"> materials lists</w:t>
      </w:r>
      <w:r w:rsidRPr="003236E8">
        <w:t xml:space="preserve">. </w:t>
      </w:r>
    </w:p>
    <w:p w:rsidR="006831F8" w:rsidRPr="003236E8" w:rsidRDefault="006831F8" w:rsidP="006831F8">
      <w:r w:rsidRPr="003236E8">
        <w:t>Teachers may wish to modify the selection of resources to suit their school context and will need to ask students to provide some of the set resources for their bag.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5071"/>
        <w:gridCol w:w="4568"/>
      </w:tblGrid>
      <w:tr w:rsidR="006831F8" w:rsidRPr="003236E8" w:rsidTr="001D052F">
        <w:trPr>
          <w:jc w:val="center"/>
        </w:trPr>
        <w:tc>
          <w:tcPr>
            <w:tcW w:w="5071" w:type="dxa"/>
            <w:shd w:val="clear" w:color="auto" w:fill="auto"/>
            <w:tcMar>
              <w:left w:w="170" w:type="dxa"/>
            </w:tcMar>
          </w:tcPr>
          <w:p w:rsidR="006831F8" w:rsidRPr="001D052F" w:rsidRDefault="006831F8" w:rsidP="001D052F">
            <w:pPr>
              <w:widowControl w:val="0"/>
              <w:rPr>
                <w:b/>
                <w:szCs w:val="22"/>
              </w:rPr>
            </w:pPr>
            <w:r w:rsidRPr="001D052F">
              <w:rPr>
                <w:b/>
                <w:szCs w:val="22"/>
              </w:rPr>
              <w:t>Choice 1: Materials list</w:t>
            </w:r>
          </w:p>
          <w:p w:rsidR="006831F8" w:rsidRPr="001D052F" w:rsidRDefault="006831F8" w:rsidP="001D052F">
            <w:pPr>
              <w:pStyle w:val="Bulletslevel1"/>
              <w:widowControl w:val="0"/>
              <w:rPr>
                <w:szCs w:val="22"/>
              </w:rPr>
            </w:pPr>
            <w:r w:rsidRPr="001D052F">
              <w:rPr>
                <w:szCs w:val="22"/>
              </w:rPr>
              <w:t>one weekday newspaper or 10 plastic shopping bags</w:t>
            </w:r>
          </w:p>
          <w:p w:rsidR="006831F8" w:rsidRPr="001D052F" w:rsidRDefault="00180C12" w:rsidP="001D052F">
            <w:pPr>
              <w:pStyle w:val="Bulletslevel1"/>
              <w:widowControl w:val="0"/>
              <w:rPr>
                <w:szCs w:val="22"/>
              </w:rPr>
            </w:pPr>
            <w:r w:rsidRPr="001D052F">
              <w:rPr>
                <w:szCs w:val="22"/>
              </w:rPr>
              <w:t xml:space="preserve">stapler, </w:t>
            </w:r>
            <w:r w:rsidR="00C312CA" w:rsidRPr="001D052F">
              <w:rPr>
                <w:szCs w:val="22"/>
              </w:rPr>
              <w:t xml:space="preserve">hobby </w:t>
            </w:r>
            <w:r w:rsidRPr="001D052F">
              <w:rPr>
                <w:szCs w:val="22"/>
              </w:rPr>
              <w:t xml:space="preserve">glue or </w:t>
            </w:r>
            <w:r w:rsidR="006831F8" w:rsidRPr="001D052F">
              <w:rPr>
                <w:szCs w:val="22"/>
              </w:rPr>
              <w:t>adhesive, needle, thread</w:t>
            </w:r>
          </w:p>
          <w:p w:rsidR="006831F8" w:rsidRPr="001D052F" w:rsidRDefault="006831F8" w:rsidP="001D052F">
            <w:pPr>
              <w:pStyle w:val="Bulletslevel1"/>
              <w:widowControl w:val="0"/>
              <w:rPr>
                <w:szCs w:val="22"/>
              </w:rPr>
            </w:pPr>
            <w:r w:rsidRPr="001D052F">
              <w:rPr>
                <w:szCs w:val="22"/>
              </w:rPr>
              <w:t>scissors</w:t>
            </w:r>
          </w:p>
          <w:p w:rsidR="006831F8" w:rsidRPr="001D052F" w:rsidRDefault="006831F8" w:rsidP="001D052F">
            <w:pPr>
              <w:pStyle w:val="Bulletslevel1"/>
              <w:widowControl w:val="0"/>
              <w:rPr>
                <w:szCs w:val="22"/>
              </w:rPr>
            </w:pPr>
            <w:r w:rsidRPr="001D052F">
              <w:rPr>
                <w:szCs w:val="22"/>
              </w:rPr>
              <w:t>1 cardboard or vinyl strip 100</w:t>
            </w:r>
            <w:r w:rsidR="00FA1BF1" w:rsidRPr="001D052F">
              <w:rPr>
                <w:szCs w:val="22"/>
              </w:rPr>
              <w:t xml:space="preserve"> </w:t>
            </w:r>
            <w:r w:rsidRPr="001D052F">
              <w:rPr>
                <w:szCs w:val="22"/>
              </w:rPr>
              <w:t>cm x 4</w:t>
            </w:r>
            <w:r w:rsidR="00FA1BF1" w:rsidRPr="001D052F">
              <w:rPr>
                <w:szCs w:val="22"/>
              </w:rPr>
              <w:t xml:space="preserve"> </w:t>
            </w:r>
            <w:r w:rsidRPr="001D052F">
              <w:rPr>
                <w:szCs w:val="22"/>
              </w:rPr>
              <w:t>cm</w:t>
            </w:r>
          </w:p>
          <w:p w:rsidR="006831F8" w:rsidRPr="001D052F" w:rsidRDefault="006831F8" w:rsidP="001D052F">
            <w:pPr>
              <w:pStyle w:val="Bulletslevel1"/>
              <w:widowControl w:val="0"/>
              <w:rPr>
                <w:szCs w:val="22"/>
              </w:rPr>
            </w:pPr>
            <w:r w:rsidRPr="001D052F">
              <w:rPr>
                <w:szCs w:val="22"/>
              </w:rPr>
              <w:t>paint, brushes</w:t>
            </w:r>
            <w:r w:rsidR="00C312CA" w:rsidRPr="001D052F">
              <w:rPr>
                <w:szCs w:val="22"/>
              </w:rPr>
              <w:t xml:space="preserve"> (optional)</w:t>
            </w:r>
            <w:r w:rsidRPr="001D052F">
              <w:rPr>
                <w:szCs w:val="22"/>
              </w:rPr>
              <w:t>.</w:t>
            </w:r>
          </w:p>
        </w:tc>
        <w:tc>
          <w:tcPr>
            <w:tcW w:w="4568" w:type="dxa"/>
            <w:shd w:val="clear" w:color="auto" w:fill="auto"/>
            <w:tcMar>
              <w:left w:w="170" w:type="dxa"/>
            </w:tcMar>
          </w:tcPr>
          <w:p w:rsidR="006831F8" w:rsidRPr="001D052F" w:rsidRDefault="006831F8" w:rsidP="001D052F">
            <w:pPr>
              <w:widowControl w:val="0"/>
              <w:rPr>
                <w:b/>
                <w:szCs w:val="22"/>
              </w:rPr>
            </w:pPr>
            <w:r w:rsidRPr="001D052F">
              <w:rPr>
                <w:b/>
                <w:szCs w:val="22"/>
              </w:rPr>
              <w:t>Choice 2: Materials list</w:t>
            </w:r>
          </w:p>
          <w:p w:rsidR="006831F8" w:rsidRPr="001D052F" w:rsidRDefault="006831F8" w:rsidP="001D052F">
            <w:pPr>
              <w:pStyle w:val="Bulletslevel1"/>
              <w:widowControl w:val="0"/>
              <w:rPr>
                <w:szCs w:val="22"/>
              </w:rPr>
            </w:pPr>
            <w:r w:rsidRPr="001D052F">
              <w:rPr>
                <w:szCs w:val="22"/>
              </w:rPr>
              <w:t xml:space="preserve">two items of old clothing </w:t>
            </w:r>
            <w:r w:rsidR="00F23E06" w:rsidRPr="001D052F">
              <w:rPr>
                <w:szCs w:val="22"/>
              </w:rPr>
              <w:t xml:space="preserve">(e.g. jeans, shirt — </w:t>
            </w:r>
            <w:r w:rsidRPr="001D052F">
              <w:rPr>
                <w:szCs w:val="22"/>
              </w:rPr>
              <w:t>adult or child sizes)</w:t>
            </w:r>
          </w:p>
          <w:p w:rsidR="006831F8" w:rsidRPr="001D052F" w:rsidRDefault="00180C12" w:rsidP="001D052F">
            <w:pPr>
              <w:pStyle w:val="Bulletslevel1"/>
              <w:widowControl w:val="0"/>
              <w:rPr>
                <w:szCs w:val="22"/>
              </w:rPr>
            </w:pPr>
            <w:r w:rsidRPr="001D052F">
              <w:rPr>
                <w:szCs w:val="22"/>
              </w:rPr>
              <w:t xml:space="preserve">stapler, </w:t>
            </w:r>
            <w:r w:rsidR="00C312CA" w:rsidRPr="001D052F">
              <w:rPr>
                <w:szCs w:val="22"/>
              </w:rPr>
              <w:t xml:space="preserve">hobby </w:t>
            </w:r>
            <w:r w:rsidRPr="001D052F">
              <w:rPr>
                <w:szCs w:val="22"/>
              </w:rPr>
              <w:t xml:space="preserve">glue or </w:t>
            </w:r>
            <w:r w:rsidR="006831F8" w:rsidRPr="001D052F">
              <w:rPr>
                <w:szCs w:val="22"/>
              </w:rPr>
              <w:t>adhesive, needle, thread</w:t>
            </w:r>
          </w:p>
          <w:p w:rsidR="006831F8" w:rsidRPr="001D052F" w:rsidRDefault="006831F8" w:rsidP="001D052F">
            <w:pPr>
              <w:pStyle w:val="Bulletslevel1"/>
              <w:widowControl w:val="0"/>
              <w:rPr>
                <w:szCs w:val="22"/>
              </w:rPr>
            </w:pPr>
            <w:r w:rsidRPr="001D052F">
              <w:rPr>
                <w:szCs w:val="22"/>
              </w:rPr>
              <w:t>scissors</w:t>
            </w:r>
          </w:p>
          <w:p w:rsidR="006831F8" w:rsidRPr="001D052F" w:rsidRDefault="006831F8" w:rsidP="001D052F">
            <w:pPr>
              <w:pStyle w:val="Bulletslevel1"/>
              <w:widowControl w:val="0"/>
              <w:rPr>
                <w:szCs w:val="22"/>
              </w:rPr>
            </w:pPr>
            <w:r w:rsidRPr="001D052F">
              <w:rPr>
                <w:szCs w:val="22"/>
              </w:rPr>
              <w:t>two shoe laces (optional)</w:t>
            </w:r>
          </w:p>
          <w:p w:rsidR="006831F8" w:rsidRPr="001D052F" w:rsidRDefault="006831F8" w:rsidP="001D052F">
            <w:pPr>
              <w:pStyle w:val="Bulletslevel1"/>
              <w:widowControl w:val="0"/>
              <w:rPr>
                <w:szCs w:val="22"/>
              </w:rPr>
            </w:pPr>
            <w:r w:rsidRPr="001D052F">
              <w:rPr>
                <w:szCs w:val="22"/>
              </w:rPr>
              <w:t>paint, brushes (optional).</w:t>
            </w:r>
          </w:p>
        </w:tc>
      </w:tr>
    </w:tbl>
    <w:p w:rsidR="002F521D" w:rsidRDefault="002F521D"/>
    <w:p w:rsidR="000A7CAC" w:rsidRDefault="000A7CAC">
      <w:r w:rsidRPr="002F521D">
        <w:rPr>
          <w:i/>
        </w:rPr>
        <w:t>Sample bags</w:t>
      </w:r>
    </w:p>
    <w:tbl>
      <w:tblPr>
        <w:tblW w:w="9678" w:type="dxa"/>
        <w:jc w:val="center"/>
        <w:tblInd w:w="-96" w:type="dxa"/>
        <w:tblCellMar>
          <w:top w:w="74" w:type="dxa"/>
          <w:left w:w="74" w:type="dxa"/>
          <w:bottom w:w="74" w:type="dxa"/>
          <w:right w:w="74" w:type="dxa"/>
        </w:tblCellMar>
        <w:tblLook w:val="01E0" w:firstRow="1" w:lastRow="1" w:firstColumn="1" w:lastColumn="1" w:noHBand="0" w:noVBand="0"/>
      </w:tblPr>
      <w:tblGrid>
        <w:gridCol w:w="3010"/>
        <w:gridCol w:w="3418"/>
        <w:gridCol w:w="3250"/>
      </w:tblGrid>
      <w:tr w:rsidR="007143F8" w:rsidRPr="003236E8" w:rsidTr="001D052F">
        <w:trPr>
          <w:jc w:val="center"/>
        </w:trPr>
        <w:tc>
          <w:tcPr>
            <w:tcW w:w="3014" w:type="dxa"/>
            <w:shd w:val="clear" w:color="auto" w:fill="auto"/>
          </w:tcPr>
          <w:p w:rsidR="007143F8" w:rsidRPr="001D052F" w:rsidRDefault="00F222A4" w:rsidP="001D052F">
            <w:pPr>
              <w:widowControl w:val="0"/>
              <w:spacing w:before="0" w:after="0" w:line="240" w:lineRule="auto"/>
              <w:rPr>
                <w:szCs w:val="22"/>
              </w:rPr>
            </w:pPr>
            <w:r>
              <w:rPr>
                <w:noProof/>
                <w:szCs w:val="22"/>
              </w:rPr>
              <w:drawing>
                <wp:inline distT="0" distB="0" distL="0" distR="0">
                  <wp:extent cx="1816100" cy="2413000"/>
                  <wp:effectExtent l="0" t="0" r="0" b="6350"/>
                  <wp:docPr id="2" name="Picture 2" descr="Yr3_Maths_CarryIt_bagPhot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r3_Maths_CarryIt_bagPhoto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16100" cy="2413000"/>
                          </a:xfrm>
                          <a:prstGeom prst="rect">
                            <a:avLst/>
                          </a:prstGeom>
                          <a:noFill/>
                          <a:ln>
                            <a:noFill/>
                          </a:ln>
                        </pic:spPr>
                      </pic:pic>
                    </a:graphicData>
                  </a:graphic>
                </wp:inline>
              </w:drawing>
            </w:r>
          </w:p>
        </w:tc>
        <w:tc>
          <w:tcPr>
            <w:tcW w:w="3411" w:type="dxa"/>
            <w:shd w:val="clear" w:color="auto" w:fill="auto"/>
          </w:tcPr>
          <w:p w:rsidR="007143F8" w:rsidRPr="001D052F" w:rsidRDefault="00F222A4" w:rsidP="001D052F">
            <w:pPr>
              <w:widowControl w:val="0"/>
              <w:spacing w:before="0" w:after="0" w:line="240" w:lineRule="auto"/>
              <w:jc w:val="center"/>
              <w:rPr>
                <w:szCs w:val="22"/>
              </w:rPr>
            </w:pPr>
            <w:r>
              <w:rPr>
                <w:noProof/>
                <w:szCs w:val="22"/>
              </w:rPr>
              <w:drawing>
                <wp:inline distT="0" distB="0" distL="0" distR="0">
                  <wp:extent cx="2070100" cy="1689100"/>
                  <wp:effectExtent l="0" t="0" r="6350" b="6350"/>
                  <wp:docPr id="3" name="Picture 3" descr="DenimBagFRONT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nimBagFRONT150DP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0100" cy="1689100"/>
                          </a:xfrm>
                          <a:prstGeom prst="rect">
                            <a:avLst/>
                          </a:prstGeom>
                          <a:noFill/>
                          <a:ln>
                            <a:noFill/>
                          </a:ln>
                        </pic:spPr>
                      </pic:pic>
                    </a:graphicData>
                  </a:graphic>
                </wp:inline>
              </w:drawing>
            </w:r>
          </w:p>
        </w:tc>
        <w:tc>
          <w:tcPr>
            <w:tcW w:w="3253" w:type="dxa"/>
            <w:shd w:val="clear" w:color="auto" w:fill="auto"/>
          </w:tcPr>
          <w:p w:rsidR="007143F8" w:rsidRPr="001D052F" w:rsidRDefault="00F222A4" w:rsidP="001D052F">
            <w:pPr>
              <w:widowControl w:val="0"/>
              <w:spacing w:before="0" w:line="240" w:lineRule="auto"/>
              <w:jc w:val="center"/>
              <w:rPr>
                <w:szCs w:val="22"/>
              </w:rPr>
            </w:pPr>
            <w:r>
              <w:rPr>
                <w:noProof/>
                <w:szCs w:val="22"/>
              </w:rPr>
              <w:drawing>
                <wp:inline distT="0" distB="0" distL="0" distR="0">
                  <wp:extent cx="1968500" cy="2413000"/>
                  <wp:effectExtent l="0" t="0" r="0" b="6350"/>
                  <wp:docPr id="4" name="Picture 4" descr="Yr3_Maths_CarryIt_bagPho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r3_Maths_CarryIt_bagPhoto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68500" cy="2413000"/>
                          </a:xfrm>
                          <a:prstGeom prst="rect">
                            <a:avLst/>
                          </a:prstGeom>
                          <a:noFill/>
                          <a:ln>
                            <a:noFill/>
                          </a:ln>
                        </pic:spPr>
                      </pic:pic>
                    </a:graphicData>
                  </a:graphic>
                </wp:inline>
              </w:drawing>
            </w:r>
          </w:p>
        </w:tc>
      </w:tr>
    </w:tbl>
    <w:p w:rsidR="00FA5455" w:rsidRDefault="00943DC9" w:rsidP="00FA5455">
      <w:r>
        <w:br w:type="page"/>
      </w:r>
      <w:r w:rsidR="00F222A4">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p w:rsidR="005110F5" w:rsidRDefault="005110F5" w:rsidP="005110F5">
      <w:pPr>
        <w:pStyle w:val="Heading3"/>
      </w:pPr>
      <w:r w:rsidRPr="005110F5">
        <w:t>Making judgments about this assessment</w:t>
      </w:r>
    </w:p>
    <w:p w:rsidR="00610980" w:rsidRPr="00B52C27" w:rsidRDefault="00610980" w:rsidP="00610980">
      <w:r w:rsidRPr="00B52C27">
        <w:t>The assessment of individual</w:t>
      </w:r>
      <w:r w:rsidR="00C312CA">
        <w:t xml:space="preserve"> contributions within a group assessment</w:t>
      </w:r>
      <w:r w:rsidRPr="00B52C27">
        <w:t xml:space="preserve"> must include:</w:t>
      </w:r>
    </w:p>
    <w:p w:rsidR="009412D1" w:rsidRDefault="009412D1" w:rsidP="00610980">
      <w:pPr>
        <w:pStyle w:val="Bulletslevel1"/>
      </w:pPr>
      <w:r w:rsidRPr="00B37024">
        <w:t>direct observation of students working in the group</w:t>
      </w:r>
    </w:p>
    <w:p w:rsidR="009412D1" w:rsidRPr="00B37024" w:rsidRDefault="009412D1" w:rsidP="00610980">
      <w:pPr>
        <w:pStyle w:val="Bulletslevel1"/>
      </w:pPr>
      <w:r>
        <w:t>close analysis of individual work sheet</w:t>
      </w:r>
      <w:r w:rsidR="00110264">
        <w:t>s</w:t>
      </w:r>
    </w:p>
    <w:p w:rsidR="00610980" w:rsidRPr="00610980" w:rsidRDefault="009412D1" w:rsidP="00EA2E95">
      <w:pPr>
        <w:pStyle w:val="Bulletslevel1"/>
        <w:spacing w:after="120"/>
      </w:pPr>
      <w:r w:rsidRPr="00B37024">
        <w:t xml:space="preserve">discussion with each pair as to </w:t>
      </w:r>
      <w:r>
        <w:t>how they worked together, who did what within the</w:t>
      </w:r>
      <w:r w:rsidR="00C312CA">
        <w:t xml:space="preserve"> assessment</w:t>
      </w:r>
      <w:r>
        <w:t xml:space="preserve"> and why that allocation was made.</w:t>
      </w:r>
    </w:p>
    <w:tbl>
      <w:tblPr>
        <w:tblW w:w="9639" w:type="dxa"/>
        <w:tblLook w:val="01E0" w:firstRow="1" w:lastRow="1" w:firstColumn="1" w:lastColumn="1" w:noHBand="0" w:noVBand="0"/>
      </w:tblPr>
      <w:tblGrid>
        <w:gridCol w:w="999"/>
        <w:gridCol w:w="8640"/>
      </w:tblGrid>
      <w:tr w:rsidR="00FA5455" w:rsidRPr="008814B0">
        <w:trPr>
          <w:trHeight w:val="870"/>
        </w:trPr>
        <w:tc>
          <w:tcPr>
            <w:tcW w:w="518" w:type="pct"/>
            <w:vAlign w:val="bottom"/>
          </w:tcPr>
          <w:p w:rsidR="00FA5455" w:rsidRPr="000B2F55" w:rsidRDefault="00F222A4" w:rsidP="006E3C63">
            <w:r>
              <w:rPr>
                <w:noProof/>
              </w:rPr>
              <w:drawing>
                <wp:anchor distT="0" distB="0" distL="114300" distR="114300" simplePos="0" relativeHeight="251657728"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2"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rStyle w:val="Hyperlink"/>
                <w:i/>
                <w:color w:val="auto"/>
                <w:u w:val="none"/>
              </w:rPr>
              <w:t>Using a Guide to making judgments</w:t>
            </w:r>
            <w:r>
              <w:t>, available in the Resources section of the Assessment Bank website.</w:t>
            </w:r>
          </w:p>
        </w:tc>
      </w:tr>
    </w:tbl>
    <w:p w:rsidR="00FA5455" w:rsidRDefault="00F222A4" w:rsidP="00FA5455">
      <w:r>
        <w:rPr>
          <w:noProof/>
        </w:rPr>
        <w:drawing>
          <wp:anchor distT="0" distB="0" distL="114300" distR="114300" simplePos="0" relativeHeight="251659776"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997"/>
        <w:gridCol w:w="8642"/>
      </w:tblGrid>
      <w:tr w:rsidR="006774B8" w:rsidRPr="008814B0">
        <w:tc>
          <w:tcPr>
            <w:tcW w:w="517" w:type="pct"/>
            <w:shd w:val="clear" w:color="auto" w:fill="auto"/>
          </w:tcPr>
          <w:p w:rsidR="006774B8" w:rsidRPr="000B2F55" w:rsidRDefault="00F222A4" w:rsidP="006774B8">
            <w:r>
              <w:rPr>
                <w:noProof/>
              </w:rPr>
              <w:drawing>
                <wp:anchor distT="0" distB="0" distL="114300" distR="114300" simplePos="0" relativeHeight="251660800" behindDoc="0" locked="0" layoutInCell="1" allowOverlap="1">
                  <wp:simplePos x="0" y="0"/>
                  <wp:positionH relativeFrom="margin">
                    <wp:posOffset>-64770</wp:posOffset>
                  </wp:positionH>
                  <wp:positionV relativeFrom="paragraph">
                    <wp:posOffset>635</wp:posOffset>
                  </wp:positionV>
                  <wp:extent cx="539750" cy="539750"/>
                  <wp:effectExtent l="0" t="0" r="0" b="0"/>
                  <wp:wrapNone/>
                  <wp:docPr id="43" name="Picture 4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_ForFurtherHel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6774B8" w:rsidRPr="008814B0" w:rsidRDefault="006774B8" w:rsidP="006774B8">
            <w:r w:rsidRPr="008814B0">
              <w:t xml:space="preserve">For </w:t>
            </w:r>
            <w:r>
              <w:t xml:space="preserve">further information, refer to </w:t>
            </w:r>
            <w:r w:rsidRPr="008814B0">
              <w:t xml:space="preserve">the resource </w:t>
            </w:r>
            <w:r w:rsidRPr="00630422">
              <w:rPr>
                <w:rStyle w:val="Hyperlink"/>
                <w:i/>
                <w:color w:val="auto"/>
                <w:u w:val="none"/>
              </w:rPr>
              <w:t>Using feedback</w:t>
            </w:r>
            <w:r>
              <w:t>, available in the Resources section of the Assessment Bank website.</w:t>
            </w:r>
          </w:p>
        </w:tc>
      </w:tr>
    </w:tbl>
    <w:p w:rsidR="00D61E66" w:rsidRPr="00DB588D" w:rsidRDefault="00D61E66" w:rsidP="00DB588D">
      <w:pPr>
        <w:pStyle w:val="smallspace"/>
      </w:pPr>
    </w:p>
    <w:sectPr w:rsidR="00D61E66" w:rsidRPr="00DB588D" w:rsidSect="00EA2E95">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567" w:left="1134" w:header="709"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2C3" w:rsidRDefault="002542C3">
      <w:r>
        <w:separator/>
      </w:r>
    </w:p>
    <w:p w:rsidR="002542C3" w:rsidRDefault="002542C3"/>
    <w:p w:rsidR="002542C3" w:rsidRDefault="002542C3"/>
    <w:p w:rsidR="002542C3" w:rsidRDefault="002542C3"/>
    <w:p w:rsidR="002542C3" w:rsidRDefault="002542C3"/>
    <w:p w:rsidR="002542C3" w:rsidRDefault="002542C3"/>
  </w:endnote>
  <w:endnote w:type="continuationSeparator" w:id="0">
    <w:p w:rsidR="002542C3" w:rsidRDefault="002542C3">
      <w:r>
        <w:continuationSeparator/>
      </w:r>
    </w:p>
    <w:p w:rsidR="002542C3" w:rsidRDefault="002542C3"/>
    <w:p w:rsidR="002542C3" w:rsidRDefault="002542C3"/>
    <w:p w:rsidR="002542C3" w:rsidRDefault="002542C3"/>
    <w:p w:rsidR="002542C3" w:rsidRDefault="002542C3"/>
    <w:p w:rsidR="002542C3" w:rsidRDefault="00254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9720A3" w:rsidRPr="0090603A">
      <w:trPr>
        <w:trHeight w:hRule="exact" w:val="536"/>
      </w:trPr>
      <w:tc>
        <w:tcPr>
          <w:tcW w:w="4781" w:type="dxa"/>
          <w:tcBorders>
            <w:top w:val="nil"/>
            <w:left w:val="nil"/>
            <w:bottom w:val="nil"/>
            <w:right w:val="nil"/>
          </w:tcBorders>
          <w:vAlign w:val="bottom"/>
        </w:tcPr>
        <w:p w:rsidR="009720A3" w:rsidRPr="0090603A" w:rsidRDefault="009720A3" w:rsidP="00EA2E95">
          <w:pPr>
            <w:framePr w:hSpace="181" w:wrap="around" w:vAnchor="text" w:hAnchor="text" w:y="1"/>
            <w:tabs>
              <w:tab w:val="right" w:pos="9365"/>
            </w:tabs>
            <w:spacing w:before="0" w:after="0"/>
            <w:suppressOverlap/>
            <w:rPr>
              <w:rFonts w:ascii="Arial Narrow" w:hAnsi="Arial Narrow"/>
            </w:rPr>
          </w:pPr>
        </w:p>
      </w:tc>
      <w:tc>
        <w:tcPr>
          <w:tcW w:w="4781" w:type="dxa"/>
          <w:tcBorders>
            <w:top w:val="nil"/>
            <w:left w:val="nil"/>
            <w:bottom w:val="nil"/>
            <w:right w:val="nil"/>
          </w:tcBorders>
          <w:vAlign w:val="bottom"/>
        </w:tcPr>
        <w:p w:rsidR="009720A3" w:rsidRPr="0090603A" w:rsidRDefault="009720A3" w:rsidP="00EA2E95">
          <w:pPr>
            <w:framePr w:hSpace="181" w:wrap="around" w:vAnchor="text" w:hAnchor="text" w:y="1"/>
            <w:tabs>
              <w:tab w:val="right" w:pos="9365"/>
            </w:tabs>
            <w:spacing w:before="0" w:after="0"/>
            <w:suppressOverlap/>
            <w:jc w:val="right"/>
            <w:rPr>
              <w:rFonts w:ascii="Arial Narrow" w:hAnsi="Arial Narrow"/>
            </w:rPr>
          </w:pPr>
          <w:r>
            <w:fldChar w:fldCharType="begin"/>
          </w:r>
          <w:r>
            <w:instrText xml:space="preserve"> PAGE </w:instrText>
          </w:r>
          <w:r>
            <w:fldChar w:fldCharType="separate"/>
          </w:r>
          <w:r w:rsidR="00F222A4">
            <w:rPr>
              <w:noProof/>
            </w:rPr>
            <w:t>2</w:t>
          </w:r>
          <w:r>
            <w:fldChar w:fldCharType="end"/>
          </w:r>
        </w:p>
      </w:tc>
    </w:tr>
  </w:tbl>
  <w:p w:rsidR="009720A3" w:rsidRDefault="009720A3" w:rsidP="00EA2E95">
    <w:pPr>
      <w:framePr w:hSpace="181" w:wrap="around" w:vAnchor="text" w:hAnchor="text" w:y="1"/>
      <w:spacing w:before="0" w:after="0"/>
      <w:suppressOverlap/>
    </w:pPr>
  </w:p>
  <w:p w:rsidR="009720A3" w:rsidRDefault="009720A3" w:rsidP="00DB588D">
    <w:pPr>
      <w:pStyle w:val="tablesml"/>
    </w:pPr>
  </w:p>
  <w:p w:rsidR="009720A3" w:rsidRDefault="009720A3">
    <w:pPr>
      <w:pStyle w:val="Footer"/>
      <w:framePr w:wrap="arou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9720A3" w:rsidRPr="0090603A">
      <w:trPr>
        <w:trHeight w:hRule="exact" w:val="536"/>
        <w:jc w:val="right"/>
      </w:trPr>
      <w:tc>
        <w:tcPr>
          <w:tcW w:w="4781" w:type="dxa"/>
          <w:tcBorders>
            <w:top w:val="nil"/>
            <w:left w:val="nil"/>
            <w:bottom w:val="nil"/>
            <w:right w:val="nil"/>
          </w:tcBorders>
          <w:vAlign w:val="bottom"/>
        </w:tcPr>
        <w:p w:rsidR="009720A3" w:rsidRPr="0090603A" w:rsidRDefault="009720A3" w:rsidP="00C85825">
          <w:pPr>
            <w:tabs>
              <w:tab w:val="right" w:pos="9365"/>
            </w:tabs>
            <w:spacing w:before="0" w:after="0"/>
            <w:rPr>
              <w:rFonts w:ascii="Arial Narrow" w:hAnsi="Arial Narrow"/>
            </w:rPr>
          </w:pPr>
          <w:r>
            <w:fldChar w:fldCharType="begin"/>
          </w:r>
          <w:r>
            <w:instrText xml:space="preserve"> PAGE </w:instrText>
          </w:r>
          <w:r>
            <w:fldChar w:fldCharType="separate"/>
          </w:r>
          <w:r w:rsidR="00F222A4">
            <w:rPr>
              <w:noProof/>
            </w:rPr>
            <w:t>3</w:t>
          </w:r>
          <w:r>
            <w:fldChar w:fldCharType="end"/>
          </w:r>
        </w:p>
      </w:tc>
      <w:tc>
        <w:tcPr>
          <w:tcW w:w="4781" w:type="dxa"/>
          <w:tcBorders>
            <w:top w:val="nil"/>
            <w:left w:val="nil"/>
            <w:bottom w:val="nil"/>
            <w:right w:val="nil"/>
          </w:tcBorders>
          <w:vAlign w:val="bottom"/>
        </w:tcPr>
        <w:p w:rsidR="009720A3" w:rsidRPr="0090603A" w:rsidRDefault="009720A3" w:rsidP="00C85825">
          <w:pPr>
            <w:tabs>
              <w:tab w:val="right" w:pos="9365"/>
            </w:tabs>
            <w:spacing w:before="0" w:after="0"/>
            <w:jc w:val="right"/>
            <w:rPr>
              <w:rFonts w:ascii="Arial Narrow" w:hAnsi="Arial Narrow"/>
            </w:rPr>
          </w:pPr>
        </w:p>
      </w:tc>
    </w:tr>
  </w:tbl>
  <w:p w:rsidR="009720A3" w:rsidRDefault="009720A3" w:rsidP="000875B8">
    <w:pPr>
      <w:spacing w:before="0" w:after="0"/>
    </w:pPr>
  </w:p>
  <w:p w:rsidR="009720A3" w:rsidRDefault="009720A3"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9720A3" w:rsidRPr="0090603A">
      <w:trPr>
        <w:trHeight w:hRule="exact" w:val="1043"/>
        <w:jc w:val="right"/>
      </w:trPr>
      <w:tc>
        <w:tcPr>
          <w:tcW w:w="1800" w:type="dxa"/>
          <w:tcBorders>
            <w:top w:val="nil"/>
            <w:left w:val="nil"/>
            <w:bottom w:val="nil"/>
            <w:right w:val="nil"/>
          </w:tcBorders>
          <w:vAlign w:val="bottom"/>
        </w:tcPr>
        <w:p w:rsidR="009720A3" w:rsidRPr="00FA3FE7" w:rsidRDefault="009720A3" w:rsidP="00C85825">
          <w:pPr>
            <w:spacing w:before="0" w:after="0"/>
            <w:rPr>
              <w:rStyle w:val="Draft"/>
            </w:rPr>
          </w:pPr>
        </w:p>
      </w:tc>
      <w:tc>
        <w:tcPr>
          <w:tcW w:w="5040" w:type="dxa"/>
          <w:tcBorders>
            <w:top w:val="nil"/>
            <w:left w:val="nil"/>
            <w:bottom w:val="nil"/>
            <w:right w:val="nil"/>
          </w:tcBorders>
          <w:shd w:val="clear" w:color="auto" w:fill="auto"/>
          <w:vAlign w:val="bottom"/>
        </w:tcPr>
        <w:p w:rsidR="009720A3" w:rsidRPr="000875B8" w:rsidRDefault="009720A3" w:rsidP="00C85825">
          <w:pPr>
            <w:pStyle w:val="Footer"/>
            <w:framePr w:hSpace="0" w:wrap="auto" w:vAnchor="margin" w:yAlign="inline"/>
            <w:suppressOverlap w:val="0"/>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9720A3" w:rsidRPr="0090603A" w:rsidRDefault="00F222A4" w:rsidP="00C85825">
          <w:pPr>
            <w:pStyle w:val="Footer"/>
            <w:framePr w:hSpace="0" w:wrap="auto" w:vAnchor="margin" w:yAlign="inline"/>
            <w:suppressOverlap w:val="0"/>
            <w:rPr>
              <w:rFonts w:ascii="Arial Narrow" w:hAnsi="Arial Narrow"/>
            </w:rPr>
          </w:pPr>
          <w:r>
            <w:drawing>
              <wp:inline distT="0" distB="0" distL="0" distR="0">
                <wp:extent cx="1536700" cy="660400"/>
                <wp:effectExtent l="0" t="0" r="6350" b="635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660400"/>
                        </a:xfrm>
                        <a:prstGeom prst="rect">
                          <a:avLst/>
                        </a:prstGeom>
                        <a:noFill/>
                        <a:ln>
                          <a:noFill/>
                        </a:ln>
                      </pic:spPr>
                    </pic:pic>
                  </a:graphicData>
                </a:graphic>
              </wp:inline>
            </w:drawing>
          </w:r>
        </w:p>
      </w:tc>
    </w:tr>
  </w:tbl>
  <w:p w:rsidR="009720A3" w:rsidRDefault="009720A3" w:rsidP="001019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2C3" w:rsidRDefault="002542C3">
      <w:r>
        <w:separator/>
      </w:r>
    </w:p>
    <w:p w:rsidR="002542C3" w:rsidRDefault="002542C3"/>
    <w:p w:rsidR="002542C3" w:rsidRDefault="002542C3"/>
    <w:p w:rsidR="002542C3" w:rsidRDefault="002542C3"/>
    <w:p w:rsidR="002542C3" w:rsidRDefault="002542C3"/>
    <w:p w:rsidR="002542C3" w:rsidRDefault="002542C3"/>
  </w:footnote>
  <w:footnote w:type="continuationSeparator" w:id="0">
    <w:p w:rsidR="002542C3" w:rsidRDefault="002542C3">
      <w:r>
        <w:continuationSeparator/>
      </w:r>
    </w:p>
    <w:p w:rsidR="002542C3" w:rsidRDefault="002542C3"/>
    <w:p w:rsidR="002542C3" w:rsidRDefault="002542C3"/>
    <w:p w:rsidR="002542C3" w:rsidRDefault="002542C3"/>
    <w:p w:rsidR="002542C3" w:rsidRDefault="002542C3"/>
    <w:p w:rsidR="002542C3" w:rsidRDefault="002542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0A3" w:rsidRPr="00D61E66" w:rsidRDefault="009720A3" w:rsidP="00D61E66">
    <w:pPr>
      <w:pStyle w:val="Header"/>
      <w:rPr>
        <w:lang w:val="en-US"/>
      </w:rPr>
    </w:pPr>
    <w:r>
      <w:rPr>
        <w:lang w:val="en-US"/>
      </w:rP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0A3" w:rsidRPr="00F674A1" w:rsidRDefault="009720A3" w:rsidP="00F674A1">
    <w:pPr>
      <w:pStyle w:val="Headerright"/>
    </w:pPr>
    <w:r w:rsidRPr="00E03541">
      <w:t xml:space="preserve">Year </w:t>
    </w:r>
    <w:r>
      <w:t>5 Technology</w:t>
    </w:r>
    <w:r w:rsidRPr="007A04D1">
      <w:t xml:space="preserve">: </w:t>
    </w:r>
    <w:r>
      <w:t>Carry 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0A3" w:rsidRDefault="00F222A4">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9" name="Picture 9"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4">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9"/>
  </w:num>
  <w:num w:numId="3">
    <w:abstractNumId w:val="3"/>
  </w:num>
  <w:num w:numId="4">
    <w:abstractNumId w:val="9"/>
  </w:num>
  <w:num w:numId="5">
    <w:abstractNumId w:val="11"/>
  </w:num>
  <w:num w:numId="6">
    <w:abstractNumId w:val="12"/>
  </w:num>
  <w:num w:numId="7">
    <w:abstractNumId w:val="6"/>
  </w:num>
  <w:num w:numId="8">
    <w:abstractNumId w:val="2"/>
  </w:num>
  <w:num w:numId="9">
    <w:abstractNumId w:val="14"/>
  </w:num>
  <w:num w:numId="10">
    <w:abstractNumId w:val="1"/>
  </w:num>
  <w:num w:numId="11">
    <w:abstractNumId w:val="17"/>
  </w:num>
  <w:num w:numId="12">
    <w:abstractNumId w:val="15"/>
  </w:num>
  <w:num w:numId="13">
    <w:abstractNumId w:val="7"/>
  </w:num>
  <w:num w:numId="14">
    <w:abstractNumId w:val="10"/>
  </w:num>
  <w:num w:numId="15">
    <w:abstractNumId w:val="18"/>
  </w:num>
  <w:num w:numId="16">
    <w:abstractNumId w:val="0"/>
  </w:num>
  <w:num w:numId="17">
    <w:abstractNumId w:val="8"/>
  </w:num>
  <w:num w:numId="18">
    <w:abstractNumId w:val="16"/>
  </w:num>
  <w:num w:numId="19">
    <w:abstractNumId w:val="13"/>
  </w:num>
  <w:num w:numId="20">
    <w:abstractNumId w:val="6"/>
  </w:num>
  <w:num w:numId="21">
    <w:abstractNumId w:val="2"/>
  </w:num>
  <w:num w:numId="22">
    <w:abstractNumId w:val="14"/>
  </w:num>
  <w:num w:numId="23">
    <w:abstractNumId w:val="3"/>
  </w:num>
  <w:num w:numId="24">
    <w:abstractNumId w:val="9"/>
  </w:num>
  <w:num w:numId="25">
    <w:abstractNumId w:val="4"/>
  </w:num>
  <w:num w:numId="26">
    <w:abstractNumId w:val="13"/>
  </w:num>
  <w:num w:numId="27">
    <w:abstractNumId w:val="6"/>
  </w:num>
  <w:num w:numId="28">
    <w:abstractNumId w:val="2"/>
  </w:num>
  <w:num w:numId="29">
    <w:abstractNumId w:val="14"/>
  </w:num>
  <w:num w:numId="30">
    <w:abstractNumId w:val="13"/>
  </w:num>
  <w:num w:numId="31">
    <w:abstractNumId w:val="6"/>
  </w:num>
  <w:num w:numId="32">
    <w:abstractNumId w:val="2"/>
  </w:num>
  <w:num w:numId="33">
    <w:abstractNumId w:val="1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B79"/>
    <w:rsid w:val="000022FF"/>
    <w:rsid w:val="00003280"/>
    <w:rsid w:val="000040CE"/>
    <w:rsid w:val="000043A4"/>
    <w:rsid w:val="00007DBF"/>
    <w:rsid w:val="00026548"/>
    <w:rsid w:val="0004134C"/>
    <w:rsid w:val="00042BF3"/>
    <w:rsid w:val="00061D89"/>
    <w:rsid w:val="000736CA"/>
    <w:rsid w:val="000825C6"/>
    <w:rsid w:val="00082765"/>
    <w:rsid w:val="00083BFA"/>
    <w:rsid w:val="00083EF5"/>
    <w:rsid w:val="00085CFC"/>
    <w:rsid w:val="000875B8"/>
    <w:rsid w:val="00095960"/>
    <w:rsid w:val="000A0660"/>
    <w:rsid w:val="000A1635"/>
    <w:rsid w:val="000A6147"/>
    <w:rsid w:val="000A7071"/>
    <w:rsid w:val="000A7CAC"/>
    <w:rsid w:val="000C0E6D"/>
    <w:rsid w:val="000D2039"/>
    <w:rsid w:val="000D6A12"/>
    <w:rsid w:val="000E0E12"/>
    <w:rsid w:val="000E3AB2"/>
    <w:rsid w:val="000F0DAD"/>
    <w:rsid w:val="000F52B5"/>
    <w:rsid w:val="000F5EF5"/>
    <w:rsid w:val="001019F0"/>
    <w:rsid w:val="00101CF6"/>
    <w:rsid w:val="00110264"/>
    <w:rsid w:val="001103BE"/>
    <w:rsid w:val="00120E4C"/>
    <w:rsid w:val="00123E4E"/>
    <w:rsid w:val="001247D8"/>
    <w:rsid w:val="00127A14"/>
    <w:rsid w:val="00130EFC"/>
    <w:rsid w:val="00132BC2"/>
    <w:rsid w:val="00137481"/>
    <w:rsid w:val="00140F5D"/>
    <w:rsid w:val="00155056"/>
    <w:rsid w:val="001574F9"/>
    <w:rsid w:val="001623C9"/>
    <w:rsid w:val="001627BF"/>
    <w:rsid w:val="001634B0"/>
    <w:rsid w:val="001659AA"/>
    <w:rsid w:val="00170657"/>
    <w:rsid w:val="00171987"/>
    <w:rsid w:val="00171A8D"/>
    <w:rsid w:val="00173489"/>
    <w:rsid w:val="0017388F"/>
    <w:rsid w:val="00173B46"/>
    <w:rsid w:val="0017557A"/>
    <w:rsid w:val="001769B4"/>
    <w:rsid w:val="00180C12"/>
    <w:rsid w:val="001839CC"/>
    <w:rsid w:val="00184DFB"/>
    <w:rsid w:val="0018551B"/>
    <w:rsid w:val="00186CDA"/>
    <w:rsid w:val="001871B3"/>
    <w:rsid w:val="00190075"/>
    <w:rsid w:val="00190C5F"/>
    <w:rsid w:val="00191133"/>
    <w:rsid w:val="00193E81"/>
    <w:rsid w:val="001971C2"/>
    <w:rsid w:val="001C1EA7"/>
    <w:rsid w:val="001C4D23"/>
    <w:rsid w:val="001C5BD9"/>
    <w:rsid w:val="001D052F"/>
    <w:rsid w:val="001E0D19"/>
    <w:rsid w:val="001E43BD"/>
    <w:rsid w:val="001F0901"/>
    <w:rsid w:val="00205805"/>
    <w:rsid w:val="00207534"/>
    <w:rsid w:val="00210015"/>
    <w:rsid w:val="00216C8D"/>
    <w:rsid w:val="002170E0"/>
    <w:rsid w:val="00227363"/>
    <w:rsid w:val="002303A7"/>
    <w:rsid w:val="00232959"/>
    <w:rsid w:val="00233FC0"/>
    <w:rsid w:val="0024509A"/>
    <w:rsid w:val="002450D1"/>
    <w:rsid w:val="0024608E"/>
    <w:rsid w:val="002466C7"/>
    <w:rsid w:val="00253D87"/>
    <w:rsid w:val="002542C3"/>
    <w:rsid w:val="00254350"/>
    <w:rsid w:val="0025781C"/>
    <w:rsid w:val="00264F51"/>
    <w:rsid w:val="00271371"/>
    <w:rsid w:val="002723C2"/>
    <w:rsid w:val="002734E6"/>
    <w:rsid w:val="00273DE2"/>
    <w:rsid w:val="00274767"/>
    <w:rsid w:val="00276D36"/>
    <w:rsid w:val="00284B38"/>
    <w:rsid w:val="002859A3"/>
    <w:rsid w:val="002865DA"/>
    <w:rsid w:val="002A79B9"/>
    <w:rsid w:val="002B30EB"/>
    <w:rsid w:val="002B5BFC"/>
    <w:rsid w:val="002C0261"/>
    <w:rsid w:val="002C1299"/>
    <w:rsid w:val="002C1C04"/>
    <w:rsid w:val="002C4CB3"/>
    <w:rsid w:val="002D621B"/>
    <w:rsid w:val="002D7C5D"/>
    <w:rsid w:val="002E18AD"/>
    <w:rsid w:val="002E2F03"/>
    <w:rsid w:val="002E6AD6"/>
    <w:rsid w:val="002F135D"/>
    <w:rsid w:val="002F1520"/>
    <w:rsid w:val="002F3677"/>
    <w:rsid w:val="002F45D0"/>
    <w:rsid w:val="002F4C51"/>
    <w:rsid w:val="002F521D"/>
    <w:rsid w:val="002F69A3"/>
    <w:rsid w:val="00300F05"/>
    <w:rsid w:val="00302E5C"/>
    <w:rsid w:val="00314E3C"/>
    <w:rsid w:val="0032073F"/>
    <w:rsid w:val="00321DA5"/>
    <w:rsid w:val="00327D43"/>
    <w:rsid w:val="00330421"/>
    <w:rsid w:val="00331E85"/>
    <w:rsid w:val="003347CE"/>
    <w:rsid w:val="0033529F"/>
    <w:rsid w:val="0034235F"/>
    <w:rsid w:val="00354B41"/>
    <w:rsid w:val="003573C7"/>
    <w:rsid w:val="00357A2A"/>
    <w:rsid w:val="00360CDA"/>
    <w:rsid w:val="00361735"/>
    <w:rsid w:val="0036290B"/>
    <w:rsid w:val="00363611"/>
    <w:rsid w:val="00364ECF"/>
    <w:rsid w:val="00364F37"/>
    <w:rsid w:val="003774F1"/>
    <w:rsid w:val="00386B43"/>
    <w:rsid w:val="00391A20"/>
    <w:rsid w:val="003931E0"/>
    <w:rsid w:val="0039605F"/>
    <w:rsid w:val="003A0CE3"/>
    <w:rsid w:val="003A1874"/>
    <w:rsid w:val="003A607B"/>
    <w:rsid w:val="003B3B98"/>
    <w:rsid w:val="003C105A"/>
    <w:rsid w:val="003C1342"/>
    <w:rsid w:val="003C1DE1"/>
    <w:rsid w:val="003C302E"/>
    <w:rsid w:val="003C61E5"/>
    <w:rsid w:val="003C702A"/>
    <w:rsid w:val="003E105B"/>
    <w:rsid w:val="003E217B"/>
    <w:rsid w:val="003E33A5"/>
    <w:rsid w:val="003E500C"/>
    <w:rsid w:val="003E7321"/>
    <w:rsid w:val="003F089F"/>
    <w:rsid w:val="003F13E6"/>
    <w:rsid w:val="003F5E8A"/>
    <w:rsid w:val="00411E67"/>
    <w:rsid w:val="00416BAF"/>
    <w:rsid w:val="004172A0"/>
    <w:rsid w:val="00421645"/>
    <w:rsid w:val="00424A51"/>
    <w:rsid w:val="004316D0"/>
    <w:rsid w:val="004423A4"/>
    <w:rsid w:val="004475A2"/>
    <w:rsid w:val="00453F95"/>
    <w:rsid w:val="00457A26"/>
    <w:rsid w:val="004605DF"/>
    <w:rsid w:val="00474B75"/>
    <w:rsid w:val="00480A76"/>
    <w:rsid w:val="00483E6B"/>
    <w:rsid w:val="0048671D"/>
    <w:rsid w:val="00486DDE"/>
    <w:rsid w:val="004876A9"/>
    <w:rsid w:val="004928CF"/>
    <w:rsid w:val="00494EB0"/>
    <w:rsid w:val="00495D94"/>
    <w:rsid w:val="004A1033"/>
    <w:rsid w:val="004B1E27"/>
    <w:rsid w:val="004B2135"/>
    <w:rsid w:val="004B69C7"/>
    <w:rsid w:val="004B7E94"/>
    <w:rsid w:val="004C3EC8"/>
    <w:rsid w:val="004D42F2"/>
    <w:rsid w:val="004E0F30"/>
    <w:rsid w:val="004F20BA"/>
    <w:rsid w:val="004F68EC"/>
    <w:rsid w:val="0050177D"/>
    <w:rsid w:val="0051005F"/>
    <w:rsid w:val="005110F5"/>
    <w:rsid w:val="00511345"/>
    <w:rsid w:val="00515192"/>
    <w:rsid w:val="0052094C"/>
    <w:rsid w:val="00526090"/>
    <w:rsid w:val="00526544"/>
    <w:rsid w:val="0052799A"/>
    <w:rsid w:val="00530616"/>
    <w:rsid w:val="0053141F"/>
    <w:rsid w:val="005336D0"/>
    <w:rsid w:val="00535835"/>
    <w:rsid w:val="005429DB"/>
    <w:rsid w:val="0054355A"/>
    <w:rsid w:val="005438C6"/>
    <w:rsid w:val="005446DD"/>
    <w:rsid w:val="005459CF"/>
    <w:rsid w:val="005500EE"/>
    <w:rsid w:val="00550B85"/>
    <w:rsid w:val="00551A8A"/>
    <w:rsid w:val="00552AAD"/>
    <w:rsid w:val="00555205"/>
    <w:rsid w:val="005571B4"/>
    <w:rsid w:val="00565216"/>
    <w:rsid w:val="00574599"/>
    <w:rsid w:val="005759C7"/>
    <w:rsid w:val="00577012"/>
    <w:rsid w:val="00577F68"/>
    <w:rsid w:val="00585563"/>
    <w:rsid w:val="005A0AA4"/>
    <w:rsid w:val="005A1C09"/>
    <w:rsid w:val="005A52BC"/>
    <w:rsid w:val="005A7039"/>
    <w:rsid w:val="005A7940"/>
    <w:rsid w:val="005A7C02"/>
    <w:rsid w:val="005B0F81"/>
    <w:rsid w:val="005B710F"/>
    <w:rsid w:val="005C19CD"/>
    <w:rsid w:val="005C207A"/>
    <w:rsid w:val="005D0C9A"/>
    <w:rsid w:val="005D5C4E"/>
    <w:rsid w:val="005E138A"/>
    <w:rsid w:val="005F00FC"/>
    <w:rsid w:val="005F1A13"/>
    <w:rsid w:val="005F253C"/>
    <w:rsid w:val="00605CB5"/>
    <w:rsid w:val="00610980"/>
    <w:rsid w:val="00612611"/>
    <w:rsid w:val="0062663E"/>
    <w:rsid w:val="006301F4"/>
    <w:rsid w:val="00630422"/>
    <w:rsid w:val="00635253"/>
    <w:rsid w:val="00636670"/>
    <w:rsid w:val="006432CE"/>
    <w:rsid w:val="00643803"/>
    <w:rsid w:val="0064612E"/>
    <w:rsid w:val="00646423"/>
    <w:rsid w:val="00657BB0"/>
    <w:rsid w:val="00661055"/>
    <w:rsid w:val="00664FEE"/>
    <w:rsid w:val="006651E7"/>
    <w:rsid w:val="00666387"/>
    <w:rsid w:val="00670A05"/>
    <w:rsid w:val="006732D0"/>
    <w:rsid w:val="006740E6"/>
    <w:rsid w:val="0067452E"/>
    <w:rsid w:val="006746D2"/>
    <w:rsid w:val="006760FA"/>
    <w:rsid w:val="00676DF3"/>
    <w:rsid w:val="006774B8"/>
    <w:rsid w:val="0068018A"/>
    <w:rsid w:val="006831F8"/>
    <w:rsid w:val="00683EB7"/>
    <w:rsid w:val="00691536"/>
    <w:rsid w:val="006A24FF"/>
    <w:rsid w:val="006A3901"/>
    <w:rsid w:val="006B383C"/>
    <w:rsid w:val="006B3EA5"/>
    <w:rsid w:val="006C196E"/>
    <w:rsid w:val="006C1A10"/>
    <w:rsid w:val="006C7ECA"/>
    <w:rsid w:val="006D1DD0"/>
    <w:rsid w:val="006D394C"/>
    <w:rsid w:val="006D3F19"/>
    <w:rsid w:val="006D5672"/>
    <w:rsid w:val="006D7994"/>
    <w:rsid w:val="006E382A"/>
    <w:rsid w:val="006E3C63"/>
    <w:rsid w:val="006E3CD1"/>
    <w:rsid w:val="006E4BEF"/>
    <w:rsid w:val="006E59A5"/>
    <w:rsid w:val="006F03B7"/>
    <w:rsid w:val="006F543A"/>
    <w:rsid w:val="00710F10"/>
    <w:rsid w:val="007143F8"/>
    <w:rsid w:val="00715381"/>
    <w:rsid w:val="0071550A"/>
    <w:rsid w:val="00720999"/>
    <w:rsid w:val="00722074"/>
    <w:rsid w:val="00723832"/>
    <w:rsid w:val="0072611F"/>
    <w:rsid w:val="00727BED"/>
    <w:rsid w:val="007335F1"/>
    <w:rsid w:val="007412EC"/>
    <w:rsid w:val="00747A3A"/>
    <w:rsid w:val="00753936"/>
    <w:rsid w:val="00764F67"/>
    <w:rsid w:val="00770160"/>
    <w:rsid w:val="00781794"/>
    <w:rsid w:val="007825B7"/>
    <w:rsid w:val="0078406C"/>
    <w:rsid w:val="007856A2"/>
    <w:rsid w:val="0079630D"/>
    <w:rsid w:val="007A04D1"/>
    <w:rsid w:val="007A1D95"/>
    <w:rsid w:val="007A43AE"/>
    <w:rsid w:val="007B2CAD"/>
    <w:rsid w:val="007C17CD"/>
    <w:rsid w:val="007C2383"/>
    <w:rsid w:val="007C4A1E"/>
    <w:rsid w:val="007E3A33"/>
    <w:rsid w:val="007E7600"/>
    <w:rsid w:val="007F02DC"/>
    <w:rsid w:val="007F1688"/>
    <w:rsid w:val="007F3983"/>
    <w:rsid w:val="007F4428"/>
    <w:rsid w:val="007F75E1"/>
    <w:rsid w:val="00800240"/>
    <w:rsid w:val="008005A0"/>
    <w:rsid w:val="00801AAF"/>
    <w:rsid w:val="008034C1"/>
    <w:rsid w:val="008039CA"/>
    <w:rsid w:val="00806622"/>
    <w:rsid w:val="00807761"/>
    <w:rsid w:val="00810137"/>
    <w:rsid w:val="008111E2"/>
    <w:rsid w:val="00834B4C"/>
    <w:rsid w:val="00852BF6"/>
    <w:rsid w:val="00854A12"/>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E1"/>
    <w:rsid w:val="008A6C51"/>
    <w:rsid w:val="008A6EB3"/>
    <w:rsid w:val="008B58C8"/>
    <w:rsid w:val="008C2C52"/>
    <w:rsid w:val="008C4341"/>
    <w:rsid w:val="008C550A"/>
    <w:rsid w:val="008C6405"/>
    <w:rsid w:val="008E1BD2"/>
    <w:rsid w:val="008F1AA2"/>
    <w:rsid w:val="008F3048"/>
    <w:rsid w:val="008F4790"/>
    <w:rsid w:val="008F4B4C"/>
    <w:rsid w:val="008F6176"/>
    <w:rsid w:val="008F65CF"/>
    <w:rsid w:val="008F70A1"/>
    <w:rsid w:val="00900DA6"/>
    <w:rsid w:val="00902DE5"/>
    <w:rsid w:val="00904640"/>
    <w:rsid w:val="00910369"/>
    <w:rsid w:val="0091354C"/>
    <w:rsid w:val="009146FA"/>
    <w:rsid w:val="0092016E"/>
    <w:rsid w:val="009239B7"/>
    <w:rsid w:val="00926820"/>
    <w:rsid w:val="0092782A"/>
    <w:rsid w:val="00931054"/>
    <w:rsid w:val="00932B1D"/>
    <w:rsid w:val="00934842"/>
    <w:rsid w:val="00934DA2"/>
    <w:rsid w:val="009412D1"/>
    <w:rsid w:val="00943157"/>
    <w:rsid w:val="00943DC9"/>
    <w:rsid w:val="00946FB9"/>
    <w:rsid w:val="00953881"/>
    <w:rsid w:val="009611E2"/>
    <w:rsid w:val="00961B9F"/>
    <w:rsid w:val="00964264"/>
    <w:rsid w:val="009720A3"/>
    <w:rsid w:val="0097215D"/>
    <w:rsid w:val="00972963"/>
    <w:rsid w:val="009738DE"/>
    <w:rsid w:val="0098016C"/>
    <w:rsid w:val="009814CC"/>
    <w:rsid w:val="00981E46"/>
    <w:rsid w:val="00986690"/>
    <w:rsid w:val="00987A0A"/>
    <w:rsid w:val="009935D7"/>
    <w:rsid w:val="009A1A6E"/>
    <w:rsid w:val="009A6895"/>
    <w:rsid w:val="009B7248"/>
    <w:rsid w:val="009C02F6"/>
    <w:rsid w:val="009C2FE1"/>
    <w:rsid w:val="009C3444"/>
    <w:rsid w:val="009D15D5"/>
    <w:rsid w:val="009D1AE5"/>
    <w:rsid w:val="009E1352"/>
    <w:rsid w:val="009F0A5B"/>
    <w:rsid w:val="009F1EAE"/>
    <w:rsid w:val="009F4C61"/>
    <w:rsid w:val="00A004E1"/>
    <w:rsid w:val="00A05F30"/>
    <w:rsid w:val="00A1340E"/>
    <w:rsid w:val="00A138DA"/>
    <w:rsid w:val="00A14EA8"/>
    <w:rsid w:val="00A3071F"/>
    <w:rsid w:val="00A30C8E"/>
    <w:rsid w:val="00A326AC"/>
    <w:rsid w:val="00A3309D"/>
    <w:rsid w:val="00A33417"/>
    <w:rsid w:val="00A44765"/>
    <w:rsid w:val="00A456F4"/>
    <w:rsid w:val="00A55BB8"/>
    <w:rsid w:val="00A56A9B"/>
    <w:rsid w:val="00A652E4"/>
    <w:rsid w:val="00A67D85"/>
    <w:rsid w:val="00A705F2"/>
    <w:rsid w:val="00A70DDA"/>
    <w:rsid w:val="00A725DD"/>
    <w:rsid w:val="00A74B73"/>
    <w:rsid w:val="00A74C89"/>
    <w:rsid w:val="00A75BB6"/>
    <w:rsid w:val="00A84698"/>
    <w:rsid w:val="00A86041"/>
    <w:rsid w:val="00A9169C"/>
    <w:rsid w:val="00A91E04"/>
    <w:rsid w:val="00A9650D"/>
    <w:rsid w:val="00AA464E"/>
    <w:rsid w:val="00AB7681"/>
    <w:rsid w:val="00AC154F"/>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5ABE"/>
    <w:rsid w:val="00AF6182"/>
    <w:rsid w:val="00B03C83"/>
    <w:rsid w:val="00B0620A"/>
    <w:rsid w:val="00B07D01"/>
    <w:rsid w:val="00B13E44"/>
    <w:rsid w:val="00B15D35"/>
    <w:rsid w:val="00B207F1"/>
    <w:rsid w:val="00B20A68"/>
    <w:rsid w:val="00B25C0D"/>
    <w:rsid w:val="00B27069"/>
    <w:rsid w:val="00B339DD"/>
    <w:rsid w:val="00B34779"/>
    <w:rsid w:val="00B429CB"/>
    <w:rsid w:val="00B4358E"/>
    <w:rsid w:val="00B52BB3"/>
    <w:rsid w:val="00B578F3"/>
    <w:rsid w:val="00B63195"/>
    <w:rsid w:val="00B63703"/>
    <w:rsid w:val="00B63DA9"/>
    <w:rsid w:val="00B64E78"/>
    <w:rsid w:val="00B74071"/>
    <w:rsid w:val="00B82E85"/>
    <w:rsid w:val="00B85FF2"/>
    <w:rsid w:val="00B910EC"/>
    <w:rsid w:val="00B9722E"/>
    <w:rsid w:val="00BA2970"/>
    <w:rsid w:val="00BA3968"/>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6C0C"/>
    <w:rsid w:val="00C10E44"/>
    <w:rsid w:val="00C11486"/>
    <w:rsid w:val="00C115C4"/>
    <w:rsid w:val="00C11F18"/>
    <w:rsid w:val="00C23AF2"/>
    <w:rsid w:val="00C3021B"/>
    <w:rsid w:val="00C312CA"/>
    <w:rsid w:val="00C34701"/>
    <w:rsid w:val="00C36344"/>
    <w:rsid w:val="00C400C7"/>
    <w:rsid w:val="00C4055B"/>
    <w:rsid w:val="00C42C54"/>
    <w:rsid w:val="00C53E99"/>
    <w:rsid w:val="00C55404"/>
    <w:rsid w:val="00C557B7"/>
    <w:rsid w:val="00C6009E"/>
    <w:rsid w:val="00C61C2F"/>
    <w:rsid w:val="00C740A4"/>
    <w:rsid w:val="00C74303"/>
    <w:rsid w:val="00C85825"/>
    <w:rsid w:val="00C875B3"/>
    <w:rsid w:val="00C946AF"/>
    <w:rsid w:val="00C9531C"/>
    <w:rsid w:val="00C9682B"/>
    <w:rsid w:val="00CA27BC"/>
    <w:rsid w:val="00CA2B94"/>
    <w:rsid w:val="00CA5CD9"/>
    <w:rsid w:val="00CB2853"/>
    <w:rsid w:val="00CB63B6"/>
    <w:rsid w:val="00CC19F9"/>
    <w:rsid w:val="00CC247C"/>
    <w:rsid w:val="00CD0037"/>
    <w:rsid w:val="00CD0397"/>
    <w:rsid w:val="00CD5F98"/>
    <w:rsid w:val="00CE11B0"/>
    <w:rsid w:val="00CE1AFF"/>
    <w:rsid w:val="00CE1E8A"/>
    <w:rsid w:val="00CE3336"/>
    <w:rsid w:val="00CE34DF"/>
    <w:rsid w:val="00CE4055"/>
    <w:rsid w:val="00CF1A05"/>
    <w:rsid w:val="00CF41D8"/>
    <w:rsid w:val="00CF5C48"/>
    <w:rsid w:val="00D00E39"/>
    <w:rsid w:val="00D013A3"/>
    <w:rsid w:val="00D0400B"/>
    <w:rsid w:val="00D05C0E"/>
    <w:rsid w:val="00D10209"/>
    <w:rsid w:val="00D11B98"/>
    <w:rsid w:val="00D25A86"/>
    <w:rsid w:val="00D32A2C"/>
    <w:rsid w:val="00D43526"/>
    <w:rsid w:val="00D43BC1"/>
    <w:rsid w:val="00D442BF"/>
    <w:rsid w:val="00D52EC3"/>
    <w:rsid w:val="00D566E3"/>
    <w:rsid w:val="00D56D88"/>
    <w:rsid w:val="00D57E32"/>
    <w:rsid w:val="00D61E66"/>
    <w:rsid w:val="00D6560C"/>
    <w:rsid w:val="00D66A63"/>
    <w:rsid w:val="00D71223"/>
    <w:rsid w:val="00D82FD6"/>
    <w:rsid w:val="00DA483D"/>
    <w:rsid w:val="00DA60AF"/>
    <w:rsid w:val="00DA612D"/>
    <w:rsid w:val="00DB0CB9"/>
    <w:rsid w:val="00DB51CE"/>
    <w:rsid w:val="00DB588D"/>
    <w:rsid w:val="00DC16A2"/>
    <w:rsid w:val="00DC597F"/>
    <w:rsid w:val="00DC7626"/>
    <w:rsid w:val="00DC7DB5"/>
    <w:rsid w:val="00DD52A4"/>
    <w:rsid w:val="00DD6F88"/>
    <w:rsid w:val="00DE4277"/>
    <w:rsid w:val="00DF337F"/>
    <w:rsid w:val="00DF4AC2"/>
    <w:rsid w:val="00E002DD"/>
    <w:rsid w:val="00E00B81"/>
    <w:rsid w:val="00E01ABA"/>
    <w:rsid w:val="00E060B6"/>
    <w:rsid w:val="00E0662E"/>
    <w:rsid w:val="00E071D9"/>
    <w:rsid w:val="00E07785"/>
    <w:rsid w:val="00E14E07"/>
    <w:rsid w:val="00E221B2"/>
    <w:rsid w:val="00E226E1"/>
    <w:rsid w:val="00E300AA"/>
    <w:rsid w:val="00E33BF2"/>
    <w:rsid w:val="00E34F87"/>
    <w:rsid w:val="00E420DF"/>
    <w:rsid w:val="00E503E5"/>
    <w:rsid w:val="00E51F63"/>
    <w:rsid w:val="00E53A4A"/>
    <w:rsid w:val="00E53A66"/>
    <w:rsid w:val="00E53F6C"/>
    <w:rsid w:val="00E602B7"/>
    <w:rsid w:val="00E6385B"/>
    <w:rsid w:val="00E668A0"/>
    <w:rsid w:val="00E7289C"/>
    <w:rsid w:val="00E74CD8"/>
    <w:rsid w:val="00E908C7"/>
    <w:rsid w:val="00E91D82"/>
    <w:rsid w:val="00EA2D4B"/>
    <w:rsid w:val="00EA2E95"/>
    <w:rsid w:val="00EA2FC8"/>
    <w:rsid w:val="00EA6839"/>
    <w:rsid w:val="00EA6C2B"/>
    <w:rsid w:val="00EB13DA"/>
    <w:rsid w:val="00EB41A9"/>
    <w:rsid w:val="00EB42B2"/>
    <w:rsid w:val="00EC226D"/>
    <w:rsid w:val="00EC28BC"/>
    <w:rsid w:val="00EC4833"/>
    <w:rsid w:val="00EC6481"/>
    <w:rsid w:val="00EC6858"/>
    <w:rsid w:val="00EC7F8B"/>
    <w:rsid w:val="00ED0644"/>
    <w:rsid w:val="00ED24D2"/>
    <w:rsid w:val="00ED405F"/>
    <w:rsid w:val="00EE0587"/>
    <w:rsid w:val="00EE42D2"/>
    <w:rsid w:val="00EE5D2C"/>
    <w:rsid w:val="00EF0769"/>
    <w:rsid w:val="00EF2B79"/>
    <w:rsid w:val="00EF3318"/>
    <w:rsid w:val="00EF6E26"/>
    <w:rsid w:val="00F07104"/>
    <w:rsid w:val="00F125B0"/>
    <w:rsid w:val="00F222A4"/>
    <w:rsid w:val="00F22F83"/>
    <w:rsid w:val="00F23E06"/>
    <w:rsid w:val="00F26AC6"/>
    <w:rsid w:val="00F27946"/>
    <w:rsid w:val="00F3010A"/>
    <w:rsid w:val="00F3032B"/>
    <w:rsid w:val="00F33D66"/>
    <w:rsid w:val="00F4324A"/>
    <w:rsid w:val="00F446C1"/>
    <w:rsid w:val="00F52581"/>
    <w:rsid w:val="00F52C39"/>
    <w:rsid w:val="00F536F4"/>
    <w:rsid w:val="00F56DA4"/>
    <w:rsid w:val="00F632C1"/>
    <w:rsid w:val="00F65244"/>
    <w:rsid w:val="00F66CF9"/>
    <w:rsid w:val="00F674A1"/>
    <w:rsid w:val="00F70F2F"/>
    <w:rsid w:val="00F71307"/>
    <w:rsid w:val="00F754EE"/>
    <w:rsid w:val="00F80C7B"/>
    <w:rsid w:val="00F86FDA"/>
    <w:rsid w:val="00F924E5"/>
    <w:rsid w:val="00F945F2"/>
    <w:rsid w:val="00F9534A"/>
    <w:rsid w:val="00F97082"/>
    <w:rsid w:val="00FA0019"/>
    <w:rsid w:val="00FA0483"/>
    <w:rsid w:val="00FA1BF1"/>
    <w:rsid w:val="00FA3FE7"/>
    <w:rsid w:val="00FA5455"/>
    <w:rsid w:val="00FA550E"/>
    <w:rsid w:val="00FA5AC5"/>
    <w:rsid w:val="00FA5B88"/>
    <w:rsid w:val="00FB0779"/>
    <w:rsid w:val="00FB11F8"/>
    <w:rsid w:val="00FB1489"/>
    <w:rsid w:val="00FB2245"/>
    <w:rsid w:val="00FB6997"/>
    <w:rsid w:val="00FB6E93"/>
    <w:rsid w:val="00FB7803"/>
    <w:rsid w:val="00FB7E44"/>
    <w:rsid w:val="00FC5837"/>
    <w:rsid w:val="00FD18B3"/>
    <w:rsid w:val="00FD1C29"/>
    <w:rsid w:val="00FD34EC"/>
    <w:rsid w:val="00FE258B"/>
    <w:rsid w:val="00FE2B0C"/>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character" w:styleId="CommentReference">
    <w:name w:val="annotation reference"/>
    <w:semiHidden/>
    <w:rsid w:val="00AF6182"/>
    <w:rPr>
      <w:sz w:val="16"/>
      <w:szCs w:val="16"/>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styleId="CommentText">
    <w:name w:val="annotation text"/>
    <w:basedOn w:val="Normal"/>
    <w:semiHidden/>
    <w:rsid w:val="00AF6182"/>
    <w:rPr>
      <w:sz w:val="20"/>
      <w:szCs w:val="20"/>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styleId="CommentSubject">
    <w:name w:val="annotation subject"/>
    <w:basedOn w:val="CommentText"/>
    <w:next w:val="CommentText"/>
    <w:semiHidden/>
    <w:rsid w:val="00AF6182"/>
    <w:rPr>
      <w:b/>
      <w:bCs/>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character" w:styleId="CommentReference">
    <w:name w:val="annotation reference"/>
    <w:semiHidden/>
    <w:rsid w:val="00AF6182"/>
    <w:rPr>
      <w:sz w:val="16"/>
      <w:szCs w:val="16"/>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styleId="CommentText">
    <w:name w:val="annotation text"/>
    <w:basedOn w:val="Normal"/>
    <w:semiHidden/>
    <w:rsid w:val="00AF6182"/>
    <w:rPr>
      <w:sz w:val="20"/>
      <w:szCs w:val="20"/>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styleId="CommentSubject">
    <w:name w:val="annotation subject"/>
    <w:basedOn w:val="CommentText"/>
    <w:next w:val="CommentText"/>
    <w:semiHidden/>
    <w:rsid w:val="00AF6182"/>
    <w:rPr>
      <w:b/>
      <w:bCs/>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ducation.qld.gov.au/corporate/doem" TargetMode="Externa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_v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B968C-ADC7-4A4A-B308-39B66AD8118E}">
  <ds:schemaRefs>
    <ds:schemaRef ds:uri="http://schemas.microsoft.com/office/2006/metadata/longProperties"/>
  </ds:schemaRefs>
</ds:datastoreItem>
</file>

<file path=customXml/itemProps2.xml><?xml version="1.0" encoding="utf-8"?>
<ds:datastoreItem xmlns:ds="http://schemas.openxmlformats.org/officeDocument/2006/customXml" ds:itemID="{A5A848A4-AA36-4878-86FE-4AEE10DBDFC8}">
  <ds:schemaRefs>
    <ds:schemaRef ds:uri="http://schemas.microsoft.com/sharepoint/v3/contenttype/forms"/>
  </ds:schemaRefs>
</ds:datastoreItem>
</file>

<file path=customXml/itemProps3.xml><?xml version="1.0" encoding="utf-8"?>
<ds:datastoreItem xmlns:ds="http://schemas.openxmlformats.org/officeDocument/2006/customXml" ds:itemID="{6A9D74C4-DCC4-4558-B842-3D2F976E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09037F-CFAD-453B-861D-EC384AE39C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9_v5.dot</Template>
  <TotalTime>0</TotalTime>
  <Pages>4</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Year 5 Technology assessment teacher guidelines | Carry it| Queensland Essential Learnings and Standards</vt:lpstr>
    </vt:vector>
  </TitlesOfParts>
  <Company>QSA</Company>
  <LinksUpToDate>false</LinksUpToDate>
  <CharactersWithSpaces>9373</CharactersWithSpaces>
  <SharedDoc>false</SharedDoc>
  <HLinks>
    <vt:vector size="6" baseType="variant">
      <vt:variant>
        <vt:i4>2293814</vt:i4>
      </vt:variant>
      <vt:variant>
        <vt:i4>0</vt:i4>
      </vt:variant>
      <vt:variant>
        <vt:i4>0</vt:i4>
      </vt:variant>
      <vt:variant>
        <vt:i4>5</vt:i4>
      </vt:variant>
      <vt:variant>
        <vt:lpwstr>http://education.qld.gov.au/corporate/doem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Technology assessment teacher guidelines | Carry it | Queensland Essential Learnings and Standards</dc:title>
  <dc:subject/>
  <dc:creator>Queensland Studies Authority</dc:creator>
  <cp:keywords/>
  <dc:description>Students design, make a bag and evaluate for a specific purpose with set materials.</dc:description>
  <cp:lastModifiedBy>QSA</cp:lastModifiedBy>
  <cp:revision>2</cp:revision>
  <cp:lastPrinted>2008-06-04T05:43:00Z</cp:lastPrinted>
  <dcterms:created xsi:type="dcterms:W3CDTF">2014-06-18T06:11:00Z</dcterms:created>
  <dcterms:modified xsi:type="dcterms:W3CDTF">2014-06-18T06:11:00Z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Subject">
    <vt:lpwstr/>
  </property>
  <property fmtid="{D5CDD505-2E9C-101B-9397-08002B2CF9AE}" pid="26" name="_Category">
    <vt:lpwstr/>
  </property>
  <property fmtid="{D5CDD505-2E9C-101B-9397-08002B2CF9AE}" pid="27" name="Categories">
    <vt:lpwstr/>
  </property>
  <property fmtid="{D5CDD505-2E9C-101B-9397-08002B2CF9AE}" pid="28" name="Approval Level">
    <vt:lpwstr/>
  </property>
  <property fmtid="{D5CDD505-2E9C-101B-9397-08002B2CF9AE}" pid="29" name="_Comments">
    <vt:lpwstr>Template V4</vt:lpwstr>
  </property>
  <property fmtid="{D5CDD505-2E9C-101B-9397-08002B2CF9AE}" pid="30" name="Assigned To">
    <vt:lpwstr/>
  </property>
  <property fmtid="{D5CDD505-2E9C-101B-9397-08002B2CF9AE}" pid="31" name="Keywords">
    <vt:lpwstr/>
  </property>
  <property fmtid="{D5CDD505-2E9C-101B-9397-08002B2CF9AE}" pid="32" name="_Author">
    <vt:lpwstr>defaultsetup</vt:lpwstr>
  </property>
</Properties>
</file>