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71CAA" w:rsidRDefault="002F70D8" w:rsidP="00BC58D9">
      <w:pPr>
        <w:pStyle w:val="CoverTitle"/>
      </w:pPr>
      <w:bookmarkStart w:id="0" w:name="_GoBack"/>
      <w:bookmarkEnd w:id="0"/>
      <w:r w:rsidRPr="00A71CAA">
        <w:t>Community celebrations — Carnevale</w:t>
      </w:r>
    </w:p>
    <w:tbl>
      <w:tblPr>
        <w:tblW w:w="0" w:type="auto"/>
        <w:tblLook w:val="01E0" w:firstRow="1" w:lastRow="1" w:firstColumn="1" w:lastColumn="1" w:noHBand="0" w:noVBand="0"/>
      </w:tblPr>
      <w:tblGrid>
        <w:gridCol w:w="1874"/>
        <w:gridCol w:w="219"/>
        <w:gridCol w:w="6177"/>
      </w:tblGrid>
      <w:tr w:rsidR="00321DA5" w:rsidRPr="00A71CAA">
        <w:trPr>
          <w:trHeight w:val="614"/>
        </w:trPr>
        <w:tc>
          <w:tcPr>
            <w:tcW w:w="2093" w:type="dxa"/>
            <w:gridSpan w:val="2"/>
            <w:shd w:val="clear" w:color="auto" w:fill="B4A7C0"/>
            <w:tcMar>
              <w:top w:w="113" w:type="dxa"/>
              <w:left w:w="113" w:type="dxa"/>
              <w:bottom w:w="113" w:type="dxa"/>
              <w:right w:w="113" w:type="dxa"/>
            </w:tcMar>
          </w:tcPr>
          <w:p w:rsidR="00321DA5" w:rsidRPr="00A71CAA" w:rsidRDefault="00394ACE" w:rsidP="00216C2B">
            <w:pPr>
              <w:pStyle w:val="CoverYearKLAName"/>
            </w:pPr>
            <w:r w:rsidRPr="00A71CAA">
              <w:t xml:space="preserve">Beginner </w:t>
            </w:r>
            <w:r w:rsidR="00321DA5" w:rsidRPr="00A71CAA">
              <w:t>Year</w:t>
            </w:r>
            <w:r w:rsidRPr="00A71CAA">
              <w:t>s</w:t>
            </w:r>
            <w:r w:rsidR="00321DA5" w:rsidRPr="00A71CAA">
              <w:t xml:space="preserve"> </w:t>
            </w:r>
            <w:r w:rsidR="00216C2B" w:rsidRPr="00A71CAA">
              <w:t>6–8</w:t>
            </w:r>
          </w:p>
        </w:tc>
        <w:tc>
          <w:tcPr>
            <w:tcW w:w="6177" w:type="dxa"/>
            <w:shd w:val="clear" w:color="auto" w:fill="E3DEE8"/>
            <w:tcMar>
              <w:top w:w="113" w:type="dxa"/>
              <w:left w:w="113" w:type="dxa"/>
              <w:bottom w:w="113" w:type="dxa"/>
              <w:right w:w="113" w:type="dxa"/>
            </w:tcMar>
          </w:tcPr>
          <w:p w:rsidR="00321DA5" w:rsidRPr="00A71CAA" w:rsidRDefault="00216C2B" w:rsidP="00FE53A4">
            <w:pPr>
              <w:pStyle w:val="CoverYearKLAName"/>
            </w:pPr>
            <w:r w:rsidRPr="00A71CAA">
              <w:t>Languages — Italian</w:t>
            </w:r>
          </w:p>
        </w:tc>
      </w:tr>
      <w:tr w:rsidR="00321DA5" w:rsidRPr="00A71CAA">
        <w:tc>
          <w:tcPr>
            <w:tcW w:w="8270" w:type="dxa"/>
            <w:gridSpan w:val="3"/>
            <w:tcBorders>
              <w:bottom w:val="single" w:sz="12" w:space="0" w:color="E3DEE8"/>
            </w:tcBorders>
            <w:tcMar>
              <w:top w:w="113" w:type="dxa"/>
              <w:left w:w="113" w:type="dxa"/>
              <w:bottom w:w="113" w:type="dxa"/>
              <w:right w:w="113" w:type="dxa"/>
            </w:tcMar>
            <w:vAlign w:val="center"/>
          </w:tcPr>
          <w:p w:rsidR="00321DA5" w:rsidRPr="00A71CAA" w:rsidRDefault="00216C2B" w:rsidP="00CD0037">
            <w:pPr>
              <w:pStyle w:val="CoverOverview"/>
            </w:pPr>
            <w:r w:rsidRPr="00A71CAA">
              <w:t xml:space="preserve">Students </w:t>
            </w:r>
            <w:r w:rsidR="00E0275E" w:rsidRPr="00A71CAA">
              <w:t xml:space="preserve">investigate the Italian festival </w:t>
            </w:r>
            <w:r w:rsidR="00E0275E" w:rsidRPr="00A71CAA">
              <w:rPr>
                <w:i/>
              </w:rPr>
              <w:t>Carnevale</w:t>
            </w:r>
            <w:r w:rsidR="00E0275E" w:rsidRPr="00A71CAA">
              <w:t xml:space="preserve"> to develop language skills in Italian</w:t>
            </w:r>
            <w:r w:rsidRPr="00A71CAA">
              <w:t>.</w:t>
            </w:r>
          </w:p>
        </w:tc>
      </w:tr>
      <w:tr w:rsidR="00416910" w:rsidRPr="00A71CAA">
        <w:tc>
          <w:tcPr>
            <w:tcW w:w="1874" w:type="dxa"/>
            <w:tcBorders>
              <w:top w:val="single" w:sz="12" w:space="0" w:color="E3DEE8"/>
              <w:bottom w:val="single" w:sz="12" w:space="0" w:color="E3DEE8"/>
            </w:tcBorders>
            <w:tcMar>
              <w:top w:w="113" w:type="dxa"/>
              <w:left w:w="113" w:type="dxa"/>
              <w:bottom w:w="113" w:type="dxa"/>
              <w:right w:w="113" w:type="dxa"/>
            </w:tcMar>
          </w:tcPr>
          <w:p w:rsidR="00416910" w:rsidRPr="00A71CAA" w:rsidRDefault="00416910" w:rsidP="00416910">
            <w:pPr>
              <w:spacing w:before="120" w:after="120" w:line="240" w:lineRule="auto"/>
              <w:rPr>
                <w:b/>
              </w:rPr>
            </w:pPr>
            <w:r w:rsidRPr="00A71CAA">
              <w:rPr>
                <w:b/>
              </w:rPr>
              <w:t>Time allocation</w:t>
            </w:r>
          </w:p>
        </w:tc>
        <w:tc>
          <w:tcPr>
            <w:tcW w:w="6396" w:type="dxa"/>
            <w:gridSpan w:val="2"/>
            <w:tcBorders>
              <w:top w:val="single" w:sz="12" w:space="0" w:color="E3DEE8"/>
              <w:bottom w:val="single" w:sz="12" w:space="0" w:color="E3DEE8"/>
            </w:tcBorders>
            <w:tcMar>
              <w:top w:w="113" w:type="dxa"/>
              <w:left w:w="113" w:type="dxa"/>
              <w:bottom w:w="113" w:type="dxa"/>
              <w:right w:w="113" w:type="dxa"/>
            </w:tcMar>
          </w:tcPr>
          <w:p w:rsidR="00416910" w:rsidRPr="00A71CAA" w:rsidRDefault="00416910" w:rsidP="00416910">
            <w:pPr>
              <w:spacing w:before="120" w:after="120" w:line="240" w:lineRule="auto"/>
            </w:pPr>
            <w:r w:rsidRPr="00A71CAA">
              <w:t>70 minutes</w:t>
            </w:r>
          </w:p>
        </w:tc>
      </w:tr>
      <w:tr w:rsidR="00416910" w:rsidRPr="00A71CAA">
        <w:tc>
          <w:tcPr>
            <w:tcW w:w="1874" w:type="dxa"/>
            <w:tcBorders>
              <w:top w:val="single" w:sz="12" w:space="0" w:color="E3DEE8"/>
              <w:bottom w:val="single" w:sz="12" w:space="0" w:color="E3DEE8"/>
            </w:tcBorders>
            <w:tcMar>
              <w:top w:w="113" w:type="dxa"/>
              <w:left w:w="113" w:type="dxa"/>
              <w:bottom w:w="113" w:type="dxa"/>
              <w:right w:w="113" w:type="dxa"/>
            </w:tcMar>
          </w:tcPr>
          <w:p w:rsidR="00416910" w:rsidRPr="00A71CAA" w:rsidRDefault="00416910" w:rsidP="00416910">
            <w:pPr>
              <w:spacing w:before="120" w:after="120" w:line="240" w:lineRule="auto"/>
              <w:rPr>
                <w:b/>
              </w:rPr>
            </w:pPr>
            <w:r w:rsidRPr="00A71CAA">
              <w:rPr>
                <w:b/>
              </w:rPr>
              <w:t>Student roles</w:t>
            </w:r>
          </w:p>
        </w:tc>
        <w:tc>
          <w:tcPr>
            <w:tcW w:w="6396" w:type="dxa"/>
            <w:gridSpan w:val="2"/>
            <w:tcBorders>
              <w:top w:val="single" w:sz="12" w:space="0" w:color="E3DEE8"/>
              <w:bottom w:val="single" w:sz="12" w:space="0" w:color="E3DEE8"/>
            </w:tcBorders>
            <w:tcMar>
              <w:top w:w="113" w:type="dxa"/>
              <w:left w:w="113" w:type="dxa"/>
              <w:bottom w:w="113" w:type="dxa"/>
              <w:right w:w="113" w:type="dxa"/>
            </w:tcMar>
          </w:tcPr>
          <w:p w:rsidR="00416910" w:rsidRPr="00A71CAA" w:rsidRDefault="00A71CAA" w:rsidP="00416910">
            <w:pPr>
              <w:spacing w:before="120" w:after="120" w:line="240" w:lineRule="auto"/>
            </w:pPr>
            <w:r w:rsidRPr="00A71CAA">
              <w:t>Work individually</w:t>
            </w:r>
          </w:p>
        </w:tc>
      </w:tr>
      <w:tr w:rsidR="00321DA5" w:rsidRPr="00A71CAA">
        <w:tc>
          <w:tcPr>
            <w:tcW w:w="8270" w:type="dxa"/>
            <w:gridSpan w:val="3"/>
            <w:tcBorders>
              <w:top w:val="single" w:sz="12" w:space="0" w:color="E3DEE8"/>
            </w:tcBorders>
            <w:tcMar>
              <w:top w:w="113" w:type="dxa"/>
              <w:left w:w="113" w:type="dxa"/>
              <w:bottom w:w="113" w:type="dxa"/>
              <w:right w:w="113" w:type="dxa"/>
            </w:tcMar>
            <w:vAlign w:val="center"/>
          </w:tcPr>
          <w:p w:rsidR="00321DA5" w:rsidRPr="00A71CAA" w:rsidRDefault="00321DA5" w:rsidP="00CD0037">
            <w:pPr>
              <w:pStyle w:val="CoverOverview"/>
            </w:pPr>
            <w:r w:rsidRPr="00A71CAA">
              <w:t>Context for assessment</w:t>
            </w:r>
          </w:p>
          <w:p w:rsidR="00321DA5" w:rsidRPr="00A71CAA" w:rsidRDefault="00216C2B" w:rsidP="00CD0037">
            <w:r w:rsidRPr="00A71CAA">
              <w:t xml:space="preserve">Carnevale is one of the largest festivals in </w:t>
            </w:r>
            <w:smartTag w:uri="urn:schemas-microsoft-com:office:smarttags" w:element="country-region">
              <w:r w:rsidRPr="00A71CAA">
                <w:t>Italy</w:t>
              </w:r>
            </w:smartTag>
            <w:r w:rsidR="00E0275E" w:rsidRPr="00A71CAA">
              <w:t xml:space="preserve">, and </w:t>
            </w:r>
            <w:r w:rsidRPr="00A71CAA">
              <w:t xml:space="preserve">it is celebrated all over the world </w:t>
            </w:r>
            <w:r w:rsidR="00E0275E" w:rsidRPr="00A71CAA">
              <w:t xml:space="preserve">— </w:t>
            </w:r>
            <w:r w:rsidRPr="00A71CAA">
              <w:t xml:space="preserve">including </w:t>
            </w:r>
            <w:smartTag w:uri="urn:schemas-microsoft-com:office:smarttags" w:element="place">
              <w:smartTag w:uri="urn:schemas-microsoft-com:office:smarttags" w:element="country-region">
                <w:r w:rsidRPr="00A71CAA">
                  <w:t>Australia</w:t>
                </w:r>
              </w:smartTag>
            </w:smartTag>
            <w:r w:rsidRPr="00A71CAA">
              <w:t>. Students explore the</w:t>
            </w:r>
            <w:r w:rsidR="00CB5A41">
              <w:t xml:space="preserve"> concept of Carnevale and why it is</w:t>
            </w:r>
            <w:r w:rsidRPr="00A71CAA">
              <w:t xml:space="preserve"> celebrated.</w:t>
            </w:r>
          </w:p>
        </w:tc>
      </w:tr>
    </w:tbl>
    <w:p w:rsidR="0054418E" w:rsidRPr="00A71CAA" w:rsidRDefault="0054418E" w:rsidP="00216C2B"/>
    <w:p w:rsidR="00B34779" w:rsidRPr="00A71CAA" w:rsidRDefault="003D7864"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A71CAA">
        <w:t xml:space="preserve">This assessment gathers evidence of learning for the following </w:t>
      </w:r>
      <w:r w:rsidR="00B34779" w:rsidRPr="00A71CAA">
        <w:rPr>
          <w:b/>
        </w:rPr>
        <w:t>Essential Learnings</w:t>
      </w:r>
      <w:r w:rsidR="00971609" w:rsidRPr="00A71CAA">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6398"/>
      </w:tblGrid>
      <w:tr w:rsidR="00CD0037" w:rsidRPr="00A71CAA">
        <w:trPr>
          <w:trHeight w:val="76"/>
          <w:jc w:val="center"/>
        </w:trPr>
        <w:tc>
          <w:tcPr>
            <w:tcW w:w="9639" w:type="dxa"/>
            <w:gridSpan w:val="2"/>
            <w:shd w:val="clear" w:color="auto" w:fill="E6E6E6"/>
          </w:tcPr>
          <w:p w:rsidR="00CD0037" w:rsidRPr="00A71CAA" w:rsidRDefault="00216C2B" w:rsidP="00C20914">
            <w:pPr>
              <w:pStyle w:val="Heading2Table"/>
            </w:pPr>
            <w:r w:rsidRPr="00A71CAA">
              <w:t>Languages</w:t>
            </w:r>
            <w:r w:rsidRPr="00A71CAA">
              <w:tab/>
              <w:t>Essential Learnings by the end of Beginner stage</w:t>
            </w:r>
          </w:p>
        </w:tc>
      </w:tr>
      <w:tr w:rsidR="00934842" w:rsidRPr="00A71CAA">
        <w:trPr>
          <w:trHeight w:val="3454"/>
          <w:jc w:val="center"/>
        </w:trPr>
        <w:tc>
          <w:tcPr>
            <w:tcW w:w="3241" w:type="dxa"/>
          </w:tcPr>
          <w:p w:rsidR="00934842" w:rsidRPr="00A71CAA" w:rsidRDefault="00934842" w:rsidP="002C1299">
            <w:pPr>
              <w:pStyle w:val="Heading3"/>
              <w:keepLines/>
            </w:pPr>
            <w:r w:rsidRPr="00A71CAA">
              <w:t>Ways of working</w:t>
            </w:r>
          </w:p>
          <w:p w:rsidR="00934842" w:rsidRPr="00A71CAA" w:rsidRDefault="00934842" w:rsidP="00271417">
            <w:pPr>
              <w:pStyle w:val="Organiser"/>
            </w:pPr>
            <w:r w:rsidRPr="00A71CAA">
              <w:t>Students are able to:</w:t>
            </w:r>
          </w:p>
          <w:p w:rsidR="00216C2B" w:rsidRPr="00A71CAA" w:rsidRDefault="00216C2B" w:rsidP="00216C2B">
            <w:pPr>
              <w:pStyle w:val="Bulletslevel1"/>
              <w:keepNext/>
              <w:keepLines/>
            </w:pPr>
            <w:r w:rsidRPr="00A71CAA">
              <w:t>construct simple spoken and written texts in familiar contexts</w:t>
            </w:r>
          </w:p>
          <w:p w:rsidR="00216C2B" w:rsidRPr="00A71CAA" w:rsidRDefault="00216C2B" w:rsidP="00216C2B">
            <w:pPr>
              <w:pStyle w:val="Bulletslevel1"/>
              <w:keepNext/>
              <w:keepLines/>
            </w:pPr>
            <w:r w:rsidRPr="00A71CAA">
              <w:t>notice and compare aspects of the target language and English and/or other familiar languages</w:t>
            </w:r>
          </w:p>
          <w:p w:rsidR="00934842" w:rsidRPr="00A71CAA" w:rsidRDefault="00216C2B" w:rsidP="00216C2B">
            <w:pPr>
              <w:pStyle w:val="Bulletslevel1"/>
              <w:keepNext/>
              <w:keepLines/>
            </w:pPr>
            <w:r w:rsidRPr="00A71CAA">
              <w:t>notice and compare aspects of their own cultures and of the target cultures.</w:t>
            </w:r>
          </w:p>
        </w:tc>
        <w:tc>
          <w:tcPr>
            <w:tcW w:w="6398" w:type="dxa"/>
          </w:tcPr>
          <w:p w:rsidR="00934842" w:rsidRPr="00A71CAA" w:rsidRDefault="00934842" w:rsidP="002C1299">
            <w:pPr>
              <w:pStyle w:val="Heading3"/>
              <w:keepLines/>
            </w:pPr>
            <w:r w:rsidRPr="00A71CAA">
              <w:t>Knowledge and understanding</w:t>
            </w:r>
          </w:p>
          <w:p w:rsidR="00216C2B" w:rsidRPr="00A71CAA" w:rsidRDefault="00216C2B" w:rsidP="00271417">
            <w:pPr>
              <w:pStyle w:val="Organiser"/>
              <w:rPr>
                <w:i/>
              </w:rPr>
            </w:pPr>
            <w:r w:rsidRPr="00A71CAA">
              <w:rPr>
                <w:i/>
              </w:rPr>
              <w:t>Comprehending and composing in the target language</w:t>
            </w:r>
          </w:p>
          <w:p w:rsidR="00216C2B" w:rsidRPr="00A71CAA" w:rsidRDefault="00216C2B" w:rsidP="00216C2B">
            <w:pPr>
              <w:pStyle w:val="Organiser"/>
            </w:pPr>
            <w:r w:rsidRPr="00A71CAA">
              <w:t>Comprehending and composing skills are used to understand language input, to convey information and to express ideas in response to needs and interests.</w:t>
            </w:r>
          </w:p>
          <w:p w:rsidR="00216C2B" w:rsidRPr="00A71CAA" w:rsidRDefault="00216C2B" w:rsidP="00216C2B">
            <w:pPr>
              <w:pStyle w:val="Bulletslevel1"/>
              <w:keepNext/>
              <w:keepLines/>
            </w:pPr>
            <w:r w:rsidRPr="00A71CAA">
              <w:t>Verbal language and non-verbal language are used in simple, routine exchanges to negotiate meaning.</w:t>
            </w:r>
          </w:p>
          <w:p w:rsidR="00216C2B" w:rsidRPr="00A71CAA" w:rsidRDefault="00216C2B" w:rsidP="00216C2B">
            <w:pPr>
              <w:pStyle w:val="Bulletslevel1"/>
              <w:keepNext/>
              <w:keepLines/>
            </w:pPr>
            <w:r w:rsidRPr="00A71CAA">
              <w:t>Language forms, functions, grammar and vocabulary are combined with process skills and strategies to make meaning.</w:t>
            </w:r>
          </w:p>
          <w:p w:rsidR="00216C2B" w:rsidRPr="00A71CAA" w:rsidRDefault="00216C2B" w:rsidP="00216C2B">
            <w:pPr>
              <w:pStyle w:val="Bulletslevel1"/>
              <w:keepNext/>
              <w:keepLines/>
            </w:pPr>
            <w:r w:rsidRPr="00A71CAA">
              <w:t>Listening for and locating key words and phrases, and using memorised material helps to make meaning.</w:t>
            </w:r>
          </w:p>
          <w:p w:rsidR="00216C2B" w:rsidRPr="00A71CAA" w:rsidRDefault="00216C2B" w:rsidP="00216C2B">
            <w:pPr>
              <w:pStyle w:val="Bulletslevel1"/>
              <w:keepNext/>
              <w:keepLines/>
              <w:rPr>
                <w:i/>
              </w:rPr>
            </w:pPr>
            <w:r w:rsidRPr="00A71CAA">
              <w:t>Manipulating known language helps to make meaning in different contexts.</w:t>
            </w:r>
          </w:p>
          <w:p w:rsidR="00216C2B" w:rsidRPr="00A71CAA" w:rsidRDefault="00216C2B" w:rsidP="00271417">
            <w:pPr>
              <w:pStyle w:val="Organiser"/>
              <w:rPr>
                <w:i/>
              </w:rPr>
            </w:pPr>
            <w:r w:rsidRPr="00A71CAA">
              <w:rPr>
                <w:i/>
              </w:rPr>
              <w:t>Intercultural competence and language awareness</w:t>
            </w:r>
          </w:p>
          <w:p w:rsidR="00216C2B" w:rsidRPr="00A71CAA" w:rsidRDefault="00216C2B" w:rsidP="00216C2B">
            <w:pPr>
              <w:pStyle w:val="Organiser"/>
            </w:pPr>
            <w:r w:rsidRPr="00A71CAA">
              <w:t>Noticing and comparing similarities and differences between languages and cultures informs intercultural communication.</w:t>
            </w:r>
          </w:p>
          <w:p w:rsidR="00216C2B" w:rsidRPr="00A71CAA" w:rsidRDefault="00216C2B" w:rsidP="00216C2B">
            <w:pPr>
              <w:pStyle w:val="Bulletslevel1"/>
            </w:pPr>
            <w:r w:rsidRPr="00A71CAA">
              <w:t>Learning languages provides insights into one’s own languages and the target language, and how concepts are expressed across languages.</w:t>
            </w:r>
          </w:p>
          <w:p w:rsidR="00216C2B" w:rsidRPr="00A71CAA" w:rsidRDefault="00216C2B" w:rsidP="00216C2B">
            <w:pPr>
              <w:pStyle w:val="Bulletslevel1"/>
            </w:pPr>
            <w:r w:rsidRPr="00A71CAA">
              <w:t>Ways of using language provide information about cultures.</w:t>
            </w:r>
          </w:p>
          <w:p w:rsidR="00934842" w:rsidRPr="00A71CAA" w:rsidRDefault="00216C2B" w:rsidP="00216C2B">
            <w:pPr>
              <w:pStyle w:val="Bulletslevel1"/>
            </w:pPr>
            <w:r w:rsidRPr="00A71CAA">
              <w:t>Languages and cultural practices have particular features, conventions, patterns and practices that may be similar or different from one’s own language and culture.</w:t>
            </w:r>
          </w:p>
        </w:tc>
      </w:tr>
      <w:tr w:rsidR="00B34779" w:rsidRPr="00A71CAA">
        <w:trPr>
          <w:trHeight w:val="1559"/>
          <w:jc w:val="center"/>
        </w:trPr>
        <w:tc>
          <w:tcPr>
            <w:tcW w:w="9639" w:type="dxa"/>
            <w:gridSpan w:val="2"/>
          </w:tcPr>
          <w:p w:rsidR="00B34779" w:rsidRPr="00A71CAA" w:rsidRDefault="00B34779" w:rsidP="002C1299">
            <w:pPr>
              <w:pStyle w:val="Heading3"/>
              <w:keepLines/>
            </w:pPr>
            <w:r w:rsidRPr="00A71CAA">
              <w:t>Assessable elements</w:t>
            </w:r>
          </w:p>
          <w:p w:rsidR="00216C2B" w:rsidRPr="00A71CAA" w:rsidRDefault="00216C2B" w:rsidP="00216C2B">
            <w:pPr>
              <w:pStyle w:val="Bulletslevel1"/>
              <w:keepNext/>
              <w:keepLines/>
            </w:pPr>
            <w:r w:rsidRPr="00A71CAA">
              <w:t>Knowledge and understanding</w:t>
            </w:r>
          </w:p>
          <w:p w:rsidR="00216C2B" w:rsidRPr="00A71CAA" w:rsidRDefault="00216C2B" w:rsidP="00216C2B">
            <w:pPr>
              <w:pStyle w:val="Bulletslevel1"/>
              <w:keepNext/>
              <w:keepLines/>
            </w:pPr>
            <w:r w:rsidRPr="00A71CAA">
              <w:t>Composing texts</w:t>
            </w:r>
          </w:p>
          <w:p w:rsidR="00B34779" w:rsidRPr="00A71CAA" w:rsidRDefault="00216C2B" w:rsidP="00216C2B">
            <w:pPr>
              <w:pStyle w:val="Bulletslevel1"/>
              <w:keepNext/>
              <w:keepLines/>
            </w:pPr>
            <w:r w:rsidRPr="00A71CAA">
              <w:t>Intercultural competence</w:t>
            </w:r>
          </w:p>
        </w:tc>
      </w:tr>
      <w:tr w:rsidR="00216C2B" w:rsidRPr="00A71CAA">
        <w:trPr>
          <w:trHeight w:val="76"/>
          <w:jc w:val="center"/>
        </w:trPr>
        <w:tc>
          <w:tcPr>
            <w:tcW w:w="9639" w:type="dxa"/>
            <w:gridSpan w:val="2"/>
          </w:tcPr>
          <w:p w:rsidR="00216C2B" w:rsidRPr="00A71CAA" w:rsidRDefault="00216C2B" w:rsidP="00216C2B">
            <w:pPr>
              <w:pStyle w:val="Source"/>
            </w:pPr>
            <w:r w:rsidRPr="00A71CAA">
              <w:t xml:space="preserve">Source: </w:t>
            </w:r>
            <w:smartTag w:uri="urn:schemas-microsoft-com:office:smarttags" w:element="State">
              <w:r w:rsidRPr="00A71CAA">
                <w:t>Queensland</w:t>
              </w:r>
            </w:smartTag>
            <w:r w:rsidRPr="00A71CAA">
              <w:t xml:space="preserve"> Studies Authority 2007, </w:t>
            </w:r>
            <w:r w:rsidRPr="00A71CAA">
              <w:rPr>
                <w:rStyle w:val="SourceTitleChar"/>
              </w:rPr>
              <w:t>Languages Essential Learnings by the end of Beginner stage</w:t>
            </w:r>
            <w:r w:rsidRPr="00A71CAA">
              <w:t xml:space="preserve">, QSA, </w:t>
            </w:r>
            <w:smartTag w:uri="urn:schemas-microsoft-com:office:smarttags" w:element="place">
              <w:smartTag w:uri="urn:schemas-microsoft-com:office:smarttags" w:element="City">
                <w:r w:rsidRPr="00A71CAA">
                  <w:t>Brisbane</w:t>
                </w:r>
              </w:smartTag>
            </w:smartTag>
            <w:r w:rsidRPr="00A71CAA">
              <w:t>.</w:t>
            </w:r>
          </w:p>
        </w:tc>
      </w:tr>
    </w:tbl>
    <w:p w:rsidR="00E8667A" w:rsidRPr="00A71CAA" w:rsidRDefault="00E8667A" w:rsidP="00E935F6"/>
    <w:p w:rsidR="008F3048" w:rsidRPr="00A71CAA" w:rsidRDefault="006651E7" w:rsidP="008A37AF">
      <w:r w:rsidRPr="00A71CAA">
        <w:lastRenderedPageBreak/>
        <w:t>Listed here are s</w:t>
      </w:r>
      <w:r w:rsidR="008F3048" w:rsidRPr="00A71CAA">
        <w:t xml:space="preserve">uggested </w:t>
      </w:r>
      <w:r w:rsidR="008F3048" w:rsidRPr="00A71CAA">
        <w:rPr>
          <w:b/>
        </w:rPr>
        <w:t>learning experiences</w:t>
      </w:r>
      <w:r w:rsidR="008F3048" w:rsidRPr="00A71CAA">
        <w:t xml:space="preserve"> for students be</w:t>
      </w:r>
      <w:r w:rsidR="00D43BC1" w:rsidRPr="00A71CAA">
        <w:t xml:space="preserve">fore </w:t>
      </w:r>
      <w:r w:rsidR="00CB5A41">
        <w:t>implementing</w:t>
      </w:r>
      <w:r w:rsidR="00D43BC1" w:rsidRPr="00A71CAA">
        <w:t xml:space="preserve"> this assessment.</w:t>
      </w:r>
    </w:p>
    <w:p w:rsidR="00422C81" w:rsidRPr="00A71CAA" w:rsidRDefault="003D7864" w:rsidP="00422C81">
      <w:pPr>
        <w:pStyle w:val="Bulletslevel1"/>
      </w:pPr>
      <w:r>
        <w:rPr>
          <w:noProof/>
        </w:rPr>
        <w:drawing>
          <wp:anchor distT="0" distB="0" distL="114300" distR="114300" simplePos="0" relativeHeight="251659776" behindDoc="0" locked="0" layoutInCell="1" allowOverlap="1">
            <wp:simplePos x="0" y="0"/>
            <wp:positionH relativeFrom="page">
              <wp:posOffset>575945</wp:posOffset>
            </wp:positionH>
            <wp:positionV relativeFrom="margin">
              <wp:posOffset>38100</wp:posOffset>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2B" w:rsidRPr="00A71CAA">
        <w:t xml:space="preserve">View videos and other stimulus material about celebrations in </w:t>
      </w:r>
      <w:smartTag w:uri="urn:schemas-microsoft-com:office:smarttags" w:element="country-region">
        <w:smartTag w:uri="urn:schemas-microsoft-com:office:smarttags" w:element="place">
          <w:r w:rsidR="00216C2B" w:rsidRPr="00A71CAA">
            <w:t>Italy</w:t>
          </w:r>
        </w:smartTag>
      </w:smartTag>
      <w:r w:rsidR="00216C2B" w:rsidRPr="00A71CAA">
        <w:t>, noting key concepts and vocabulary.</w:t>
      </w:r>
      <w:r w:rsidR="00E0275E" w:rsidRPr="00A71CAA">
        <w:t xml:space="preserve"> </w:t>
      </w:r>
      <w:r w:rsidR="00422C81" w:rsidRPr="00A71CAA">
        <w:t xml:space="preserve">Read short stories about celebration days in </w:t>
      </w:r>
      <w:smartTag w:uri="urn:schemas-microsoft-com:office:smarttags" w:element="country-region">
        <w:smartTag w:uri="urn:schemas-microsoft-com:office:smarttags" w:element="place">
          <w:r w:rsidR="00422C81" w:rsidRPr="00A71CAA">
            <w:t>Italy</w:t>
          </w:r>
        </w:smartTag>
      </w:smartTag>
      <w:r w:rsidR="00422C81" w:rsidRPr="00A71CAA">
        <w:t>.</w:t>
      </w:r>
    </w:p>
    <w:p w:rsidR="00422C81" w:rsidRPr="00A71CAA" w:rsidRDefault="00422C81" w:rsidP="00422C81">
      <w:pPr>
        <w:pStyle w:val="Bulletslevel1"/>
      </w:pPr>
      <w:r w:rsidRPr="00A71CAA">
        <w:t>Look at stimulus pictures of celebration days and write a short description based on the stimulus.</w:t>
      </w:r>
    </w:p>
    <w:p w:rsidR="00422C81" w:rsidRPr="00A71CAA" w:rsidRDefault="00422C81" w:rsidP="00422C81">
      <w:pPr>
        <w:pStyle w:val="Bulletslevel1"/>
      </w:pPr>
      <w:r w:rsidRPr="00A71CAA">
        <w:t xml:space="preserve">Make contact with the local Italian community to find out what celebrations are formally celebrated here in </w:t>
      </w:r>
      <w:smartTag w:uri="urn:schemas-microsoft-com:office:smarttags" w:element="place">
        <w:smartTag w:uri="urn:schemas-microsoft-com:office:smarttags" w:element="country-region">
          <w:r w:rsidRPr="00A71CAA">
            <w:t>Australia</w:t>
          </w:r>
        </w:smartTag>
      </w:smartTag>
      <w:r w:rsidRPr="00A71CAA">
        <w:t>.</w:t>
      </w:r>
      <w:r w:rsidR="00E0275E" w:rsidRPr="00A71CAA">
        <w:t xml:space="preserve"> </w:t>
      </w:r>
      <w:r w:rsidRPr="00A71CAA">
        <w:t>Interview Italians in the community to find out about celebrations — relatives of peers, Consulate General.</w:t>
      </w:r>
    </w:p>
    <w:p w:rsidR="00422C81" w:rsidRPr="00A71CAA" w:rsidRDefault="00422C81" w:rsidP="00422C81">
      <w:pPr>
        <w:pStyle w:val="Bulletslevel1"/>
      </w:pPr>
      <w:r w:rsidRPr="00A71CAA">
        <w:t>Create a calendar or a poster showcasing various celebration days.</w:t>
      </w:r>
      <w:r w:rsidR="00E0275E" w:rsidRPr="00A71CAA">
        <w:t xml:space="preserve"> </w:t>
      </w:r>
      <w:r w:rsidRPr="00A71CAA">
        <w:t xml:space="preserve">Make comparisons with celebrations in </w:t>
      </w:r>
      <w:smartTag w:uri="urn:schemas-microsoft-com:office:smarttags" w:element="country-region">
        <w:smartTag w:uri="urn:schemas-microsoft-com:office:smarttags" w:element="place">
          <w:r w:rsidRPr="00A71CAA">
            <w:t>Australia</w:t>
          </w:r>
        </w:smartTag>
      </w:smartTag>
      <w:r w:rsidRPr="00A71CAA">
        <w:t>, noting similarities and differences.</w:t>
      </w:r>
    </w:p>
    <w:p w:rsidR="00216C2B" w:rsidRPr="00A71CAA" w:rsidRDefault="00216C2B" w:rsidP="00216C2B">
      <w:pPr>
        <w:pStyle w:val="Bulletslevel1"/>
      </w:pPr>
      <w:r w:rsidRPr="00A71CAA">
        <w:t>Individually research a celebration day of interest using the library or internet. Write down the history related to the celebration day, famous people, etc.</w:t>
      </w:r>
      <w:r w:rsidR="00E0275E" w:rsidRPr="00A71CAA">
        <w:t xml:space="preserve"> </w:t>
      </w:r>
      <w:r w:rsidR="00422C81" w:rsidRPr="00A71CAA">
        <w:t>G</w:t>
      </w:r>
      <w:r w:rsidRPr="00A71CAA">
        <w:t xml:space="preserve">ive a short talk about </w:t>
      </w:r>
      <w:r w:rsidR="00422C81" w:rsidRPr="00A71CAA">
        <w:t>the</w:t>
      </w:r>
      <w:r w:rsidRPr="00A71CAA">
        <w:t xml:space="preserve"> researched topic.</w:t>
      </w:r>
    </w:p>
    <w:p w:rsidR="00422C81" w:rsidRPr="00A71CAA" w:rsidRDefault="00422C81" w:rsidP="00422C81">
      <w:pPr>
        <w:pStyle w:val="Bulletslevel1"/>
      </w:pPr>
      <w:r w:rsidRPr="00A71CAA">
        <w:t xml:space="preserve">Explore </w:t>
      </w:r>
      <w:r w:rsidR="00E0275E" w:rsidRPr="00A71CAA">
        <w:t xml:space="preserve">Carnevale: </w:t>
      </w:r>
      <w:r w:rsidRPr="00A71CAA">
        <w:t xml:space="preserve">the significance, purpose, diffusion, period of celebration, </w:t>
      </w:r>
      <w:r w:rsidR="00CB5A41">
        <w:t>people</w:t>
      </w:r>
      <w:r w:rsidRPr="00A71CAA">
        <w:t xml:space="preserve"> involved and how </w:t>
      </w:r>
      <w:r w:rsidR="00E0275E" w:rsidRPr="00A71CAA">
        <w:t>it</w:t>
      </w:r>
      <w:r w:rsidRPr="00A71CAA">
        <w:t xml:space="preserve"> is celebrated.</w:t>
      </w:r>
    </w:p>
    <w:p w:rsidR="00422C81" w:rsidRPr="00A71CAA" w:rsidRDefault="00E0275E" w:rsidP="00422C81">
      <w:pPr>
        <w:pStyle w:val="Bulletslevel1"/>
        <w:rPr>
          <w:noProof/>
        </w:rPr>
      </w:pPr>
      <w:r w:rsidRPr="00A71CAA">
        <w:t>Develop a</w:t>
      </w:r>
      <w:r w:rsidR="00422C81" w:rsidRPr="00A71CAA">
        <w:t>wareness of word meanings and association with English,</w:t>
      </w:r>
      <w:r w:rsidRPr="00A71CAA">
        <w:t xml:space="preserve"> e.g. “c</w:t>
      </w:r>
      <w:r w:rsidR="00422C81" w:rsidRPr="00A71CAA">
        <w:t>arne</w:t>
      </w:r>
      <w:r w:rsidRPr="00A71CAA">
        <w:t>”</w:t>
      </w:r>
      <w:r w:rsidR="006423C7" w:rsidRPr="00A71CAA">
        <w:t xml:space="preserve"> —</w:t>
      </w:r>
      <w:r w:rsidR="00422C81" w:rsidRPr="00A71CAA">
        <w:t xml:space="preserve"> meat, </w:t>
      </w:r>
      <w:r w:rsidRPr="00A71CAA">
        <w:t>“</w:t>
      </w:r>
      <w:r w:rsidR="00422C81" w:rsidRPr="00A71CAA">
        <w:t>vale</w:t>
      </w:r>
      <w:r w:rsidRPr="00A71CAA">
        <w:t>”</w:t>
      </w:r>
      <w:r w:rsidR="006423C7" w:rsidRPr="00A71CAA">
        <w:t xml:space="preserve"> —</w:t>
      </w:r>
      <w:r w:rsidR="00422C81" w:rsidRPr="00A71CAA">
        <w:t xml:space="preserve"> leaving out.</w:t>
      </w:r>
      <w:r w:rsidRPr="00A71CAA">
        <w:t xml:space="preserve"> </w:t>
      </w:r>
      <w:r w:rsidR="00422C81" w:rsidRPr="00A71CAA">
        <w:rPr>
          <w:noProof/>
        </w:rPr>
        <w:t xml:space="preserve">From this, students can be made aware that Carnevale is a celebration held prior to the Christian period of Lent before Easter. </w:t>
      </w:r>
      <w:r w:rsidRPr="00A71CAA">
        <w:rPr>
          <w:noProof/>
        </w:rPr>
        <w:t>D</w:t>
      </w:r>
      <w:r w:rsidR="00422C81" w:rsidRPr="00A71CAA">
        <w:rPr>
          <w:noProof/>
        </w:rPr>
        <w:t>uring Lent</w:t>
      </w:r>
      <w:r w:rsidRPr="00A71CAA">
        <w:rPr>
          <w:noProof/>
        </w:rPr>
        <w:t>,</w:t>
      </w:r>
      <w:r w:rsidR="00422C81" w:rsidRPr="00A71CAA">
        <w:rPr>
          <w:noProof/>
        </w:rPr>
        <w:t xml:space="preserve"> people “leave out meat” from their diet on the Friday. Note: This seems to be a traditional practice that is not always followed by migrants in </w:t>
      </w:r>
      <w:smartTag w:uri="urn:schemas-microsoft-com:office:smarttags" w:element="country-region">
        <w:smartTag w:uri="urn:schemas-microsoft-com:office:smarttags" w:element="place">
          <w:r w:rsidR="00422C81" w:rsidRPr="00A71CAA">
            <w:rPr>
              <w:noProof/>
            </w:rPr>
            <w:t>Australia</w:t>
          </w:r>
        </w:smartTag>
      </w:smartTag>
      <w:r w:rsidR="00422C81" w:rsidRPr="00A71CAA">
        <w:rPr>
          <w:noProof/>
        </w:rPr>
        <w:t>.</w:t>
      </w:r>
    </w:p>
    <w:p w:rsidR="00422C81" w:rsidRPr="00A71CAA" w:rsidRDefault="00E0275E" w:rsidP="00422C81">
      <w:pPr>
        <w:pStyle w:val="Bulletslevel1"/>
      </w:pPr>
      <w:r w:rsidRPr="00A71CAA">
        <w:t>Investigate c</w:t>
      </w:r>
      <w:r w:rsidR="00422C81" w:rsidRPr="00A71CAA">
        <w:t>haracters from La Commedia dell’Arte: their names, origin, physical appearance, mode of dress, occupation and personality traits.</w:t>
      </w:r>
    </w:p>
    <w:p w:rsidR="00422C81" w:rsidRPr="00A71CAA" w:rsidRDefault="00422C81" w:rsidP="00422C81">
      <w:pPr>
        <w:pStyle w:val="Bulletslevel1"/>
      </w:pPr>
      <w:r w:rsidRPr="00A71CAA">
        <w:t xml:space="preserve">Notice and discuss similarities </w:t>
      </w:r>
      <w:r w:rsidR="00830D41" w:rsidRPr="00A71CAA">
        <w:t xml:space="preserve">and differences </w:t>
      </w:r>
      <w:r w:rsidRPr="00A71CAA">
        <w:t xml:space="preserve">between </w:t>
      </w:r>
      <w:r w:rsidR="00CB5A41">
        <w:t>Italian</w:t>
      </w:r>
      <w:r w:rsidRPr="00A71CAA">
        <w:t xml:space="preserve"> and English</w:t>
      </w:r>
      <w:r w:rsidR="00E0275E" w:rsidRPr="00A71CAA">
        <w:t xml:space="preserve">, </w:t>
      </w:r>
      <w:r w:rsidR="00830D41" w:rsidRPr="00A71CAA">
        <w:br/>
      </w:r>
      <w:r w:rsidR="00E0275E" w:rsidRPr="00A71CAA">
        <w:t>e.g. carnevale —</w:t>
      </w:r>
      <w:r w:rsidR="00D84091" w:rsidRPr="00A71CAA">
        <w:t xml:space="preserve"> </w:t>
      </w:r>
      <w:r w:rsidR="00E0275E" w:rsidRPr="00A71CAA">
        <w:t>c</w:t>
      </w:r>
      <w:r w:rsidRPr="00A71CAA">
        <w:t>arnival.</w:t>
      </w:r>
    </w:p>
    <w:p w:rsidR="00216C2B" w:rsidRPr="00A71CAA" w:rsidRDefault="00E0275E" w:rsidP="00216C2B">
      <w:pPr>
        <w:pStyle w:val="Bulletslevel1"/>
      </w:pPr>
      <w:r w:rsidRPr="00A71CAA">
        <w:t>Develop Italian language elements:</w:t>
      </w:r>
    </w:p>
    <w:p w:rsidR="00216C2B" w:rsidRPr="00A71CAA" w:rsidRDefault="00394ACE" w:rsidP="00E0275E">
      <w:pPr>
        <w:pStyle w:val="Bulletslevel2"/>
        <w:spacing w:after="120"/>
      </w:pPr>
      <w:r w:rsidRPr="00A71CAA">
        <w:t>Identifying and</w:t>
      </w:r>
      <w:r w:rsidR="00216C2B" w:rsidRPr="00A71CAA">
        <w:t xml:space="preserve"> a</w:t>
      </w:r>
      <w:r w:rsidR="00F75B03" w:rsidRPr="00A71CAA">
        <w:t xml:space="preserve">sking about people, places and </w:t>
      </w:r>
      <w:r w:rsidRPr="00A71CAA">
        <w:t>things: characters, regions and</w:t>
      </w:r>
      <w:r w:rsidR="00216C2B" w:rsidRPr="00A71CAA">
        <w:t xml:space="preserve"> locations, occupations and Carneval</w:t>
      </w:r>
      <w:r w:rsidR="00CB5A41">
        <w:t>e celebrations:</w:t>
      </w:r>
      <w:r w:rsidR="00216C2B" w:rsidRPr="00A71CAA">
        <w:t xml:space="preserve"> </w:t>
      </w:r>
      <w:r w:rsidRPr="00A71CAA">
        <w:t>“</w:t>
      </w:r>
      <w:r w:rsidR="00216C2B" w:rsidRPr="00A71CAA">
        <w:t>Chi e`?</w:t>
      </w:r>
      <w:r w:rsidRPr="00A71CAA">
        <w:t>”</w:t>
      </w:r>
      <w:r w:rsidR="00A71CAA" w:rsidRPr="00A71CAA">
        <w:t>,</w:t>
      </w:r>
      <w:r w:rsidR="00216C2B" w:rsidRPr="00A71CAA">
        <w:t xml:space="preserve"> </w:t>
      </w:r>
      <w:r w:rsidRPr="00A71CAA">
        <w:t>“</w:t>
      </w:r>
      <w:r w:rsidR="00216C2B" w:rsidRPr="00A71CAA">
        <w:t>Che lavoro fa?</w:t>
      </w:r>
      <w:r w:rsidRPr="00A71CAA">
        <w:t>”</w:t>
      </w:r>
      <w:r w:rsidR="00A71CAA" w:rsidRPr="00A71CAA">
        <w:t>,</w:t>
      </w:r>
      <w:r w:rsidR="00216C2B" w:rsidRPr="00A71CAA">
        <w:t xml:space="preserve"> </w:t>
      </w:r>
      <w:r w:rsidRPr="00A71CAA">
        <w:t>“</w:t>
      </w:r>
      <w:r w:rsidR="00216C2B" w:rsidRPr="00A71CAA">
        <w:t>Dove abita?</w:t>
      </w:r>
      <w:r w:rsidRPr="00A71CAA">
        <w:t>”</w:t>
      </w:r>
    </w:p>
    <w:p w:rsidR="00216C2B" w:rsidRPr="00A71CAA" w:rsidRDefault="00216C2B" w:rsidP="00E0275E">
      <w:pPr>
        <w:pStyle w:val="Bulletslevel2"/>
        <w:spacing w:after="120"/>
      </w:pPr>
      <w:r w:rsidRPr="00A71CAA">
        <w:t xml:space="preserve">Describing people: appearance, mode </w:t>
      </w:r>
      <w:r w:rsidR="00394ACE" w:rsidRPr="00A71CAA">
        <w:t>of dress and personality traits</w:t>
      </w:r>
      <w:r w:rsidR="00E0275E" w:rsidRPr="00A71CAA">
        <w:t>.</w:t>
      </w:r>
    </w:p>
    <w:p w:rsidR="00216C2B" w:rsidRPr="00A71CAA" w:rsidRDefault="00216C2B" w:rsidP="00E0275E">
      <w:pPr>
        <w:pStyle w:val="Bulletslevel2"/>
        <w:spacing w:after="120"/>
      </w:pPr>
      <w:r w:rsidRPr="00A71CAA">
        <w:t>Identifying</w:t>
      </w:r>
      <w:r w:rsidR="00394ACE" w:rsidRPr="00A71CAA">
        <w:t xml:space="preserve"> and askin</w:t>
      </w:r>
      <w:r w:rsidR="00CB5A41">
        <w:t>g when: month, dates and period:</w:t>
      </w:r>
      <w:r w:rsidR="00394ACE" w:rsidRPr="00A71CAA">
        <w:t xml:space="preserve"> “</w:t>
      </w:r>
      <w:r w:rsidRPr="00A71CAA">
        <w:t>Quando c’e` Carnevale?</w:t>
      </w:r>
      <w:r w:rsidR="00394ACE" w:rsidRPr="00A71CAA">
        <w:t>”</w:t>
      </w:r>
    </w:p>
    <w:p w:rsidR="00216C2B" w:rsidRPr="00A71CAA" w:rsidRDefault="00216C2B" w:rsidP="00E0275E">
      <w:pPr>
        <w:pStyle w:val="Bulletslevel2"/>
        <w:spacing w:after="120"/>
      </w:pPr>
      <w:r w:rsidRPr="00A71CAA">
        <w:t>Describing events and activities: ballare, cantar</w:t>
      </w:r>
      <w:r w:rsidR="00CB5A41">
        <w:t>e, mangiare:</w:t>
      </w:r>
      <w:r w:rsidRPr="00A71CAA">
        <w:t xml:space="preserve"> “Ogni scherzo vale!”</w:t>
      </w:r>
    </w:p>
    <w:p w:rsidR="00216C2B" w:rsidRPr="00A71CAA" w:rsidRDefault="00216C2B" w:rsidP="00E0275E">
      <w:pPr>
        <w:pStyle w:val="Bulletslevel2"/>
        <w:spacing w:after="120"/>
      </w:pPr>
      <w:r w:rsidRPr="00A71CAA">
        <w:t xml:space="preserve">Comparing appearance and behaviour: </w:t>
      </w:r>
      <w:r w:rsidR="00394ACE" w:rsidRPr="00A71CAA">
        <w:t>“E` piu` bella”, “E` meno simpatico”</w:t>
      </w:r>
    </w:p>
    <w:p w:rsidR="00216C2B" w:rsidRPr="00A71CAA" w:rsidRDefault="00216C2B" w:rsidP="00E0275E">
      <w:pPr>
        <w:pStyle w:val="Bulletslevel2"/>
        <w:spacing w:after="120"/>
      </w:pPr>
      <w:r w:rsidRPr="00A71CAA">
        <w:t xml:space="preserve">Commenting on relationship with </w:t>
      </w:r>
      <w:r w:rsidR="00394ACE" w:rsidRPr="00A71CAA">
        <w:t>others: “Pantalone ama Colombina”</w:t>
      </w:r>
      <w:r w:rsidR="00A71CAA" w:rsidRPr="00A71CAA">
        <w:t>,</w:t>
      </w:r>
      <w:r w:rsidRPr="00A71CAA">
        <w:t xml:space="preserve"> </w:t>
      </w:r>
      <w:r w:rsidR="00394ACE" w:rsidRPr="00A71CAA">
        <w:t>“</w:t>
      </w:r>
      <w:r w:rsidRPr="00A71CAA">
        <w:t xml:space="preserve">E` geloso di </w:t>
      </w:r>
      <w:r w:rsidR="00394ACE" w:rsidRPr="00A71CAA">
        <w:t>Arlecchino”</w:t>
      </w:r>
    </w:p>
    <w:p w:rsidR="00216C2B" w:rsidRPr="00A71CAA" w:rsidRDefault="00394ACE" w:rsidP="00CB5A41">
      <w:pPr>
        <w:pStyle w:val="Bulletslevel2"/>
        <w:keepNext/>
        <w:spacing w:after="120"/>
      </w:pPr>
      <w:r w:rsidRPr="00A71CAA">
        <w:t>Expressing likes, dislikes and</w:t>
      </w:r>
      <w:r w:rsidR="00A71CAA">
        <w:t xml:space="preserve"> preferences:</w:t>
      </w:r>
      <w:r w:rsidR="00216C2B" w:rsidRPr="00A71CAA">
        <w:t xml:space="preserve"> </w:t>
      </w:r>
      <w:r w:rsidRPr="00A71CAA">
        <w:t>“</w:t>
      </w:r>
      <w:r w:rsidR="00216C2B" w:rsidRPr="00A71CAA">
        <w:t>Mi piace</w:t>
      </w:r>
      <w:r w:rsidRPr="00A71CAA">
        <w:t>”,</w:t>
      </w:r>
      <w:r w:rsidR="00216C2B" w:rsidRPr="00A71CAA">
        <w:t xml:space="preserve"> </w:t>
      </w:r>
      <w:r w:rsidRPr="00A71CAA">
        <w:t>“</w:t>
      </w:r>
      <w:r w:rsidR="00216C2B" w:rsidRPr="00A71CAA">
        <w:t>Non mi piace</w:t>
      </w:r>
      <w:r w:rsidRPr="00A71CAA">
        <w:t>”,</w:t>
      </w:r>
      <w:r w:rsidR="00216C2B" w:rsidRPr="00A71CAA">
        <w:t xml:space="preserve"> </w:t>
      </w:r>
      <w:r w:rsidRPr="00A71CAA">
        <w:t>“</w:t>
      </w:r>
      <w:r w:rsidR="00216C2B" w:rsidRPr="00A71CAA">
        <w:t>Preferisco</w:t>
      </w:r>
      <w:r w:rsidR="00E0275E" w:rsidRPr="00A71CAA">
        <w:t xml:space="preserve"> </w:t>
      </w:r>
      <w:r w:rsidR="00216C2B" w:rsidRPr="00A71CAA">
        <w:t>…</w:t>
      </w:r>
      <w:r w:rsidRPr="00A71CAA">
        <w:t>”</w:t>
      </w:r>
    </w:p>
    <w:p w:rsidR="00394ACE" w:rsidRPr="00A71CAA" w:rsidRDefault="00216C2B" w:rsidP="00CB5A41">
      <w:pPr>
        <w:pStyle w:val="Bulletslevel2"/>
        <w:keepNext/>
        <w:spacing w:after="120"/>
      </w:pPr>
      <w:r w:rsidRPr="00A71CAA">
        <w:t xml:space="preserve">Giving reasons for choice: </w:t>
      </w:r>
      <w:r w:rsidR="00394ACE" w:rsidRPr="00A71CAA">
        <w:t>“</w:t>
      </w:r>
      <w:r w:rsidRPr="00A71CAA">
        <w:t>Mi piace perche’ e` carino</w:t>
      </w:r>
      <w:r w:rsidR="00394ACE" w:rsidRPr="00A71CAA">
        <w:t>”</w:t>
      </w:r>
      <w:r w:rsidRPr="00A71CAA">
        <w:t>.</w:t>
      </w:r>
    </w:p>
    <w:tbl>
      <w:tblPr>
        <w:tblW w:w="9639" w:type="dxa"/>
        <w:tblLook w:val="01E0" w:firstRow="1" w:lastRow="1" w:firstColumn="1" w:lastColumn="1" w:noHBand="0" w:noVBand="0"/>
      </w:tblPr>
      <w:tblGrid>
        <w:gridCol w:w="1086"/>
        <w:gridCol w:w="8553"/>
      </w:tblGrid>
      <w:tr w:rsidR="00C61C2F" w:rsidRPr="00A71CAA">
        <w:trPr>
          <w:trHeight w:val="870"/>
        </w:trPr>
        <w:tc>
          <w:tcPr>
            <w:tcW w:w="557" w:type="pct"/>
          </w:tcPr>
          <w:p w:rsidR="00C61C2F" w:rsidRPr="00A71CAA" w:rsidRDefault="003D7864" w:rsidP="00C20914">
            <w:pPr>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C61C2F" w:rsidRPr="00A71CAA" w:rsidRDefault="00C61C2F" w:rsidP="00AB2C0A">
            <w:pPr>
              <w:pStyle w:val="Heading2"/>
              <w:spacing w:before="0" w:after="0"/>
            </w:pPr>
            <w:r w:rsidRPr="00A71CAA">
              <w:rPr>
                <w:noProof/>
              </w:rPr>
              <w:t>Teacher resources</w:t>
            </w:r>
          </w:p>
        </w:tc>
      </w:tr>
    </w:tbl>
    <w:p w:rsidR="00216C2B" w:rsidRPr="00A71CAA" w:rsidRDefault="003D7864" w:rsidP="00233FC0">
      <w:r>
        <w:rPr>
          <w:noProof/>
        </w:rPr>
        <w:drawing>
          <wp:anchor distT="0" distB="0" distL="114300" distR="114300" simplePos="0" relativeHeight="251655680" behindDoc="0" locked="0" layoutInCell="1" allowOverlap="1">
            <wp:simplePos x="0" y="0"/>
            <wp:positionH relativeFrom="page">
              <wp:posOffset>423545</wp:posOffset>
            </wp:positionH>
            <wp:positionV relativeFrom="paragraph">
              <wp:posOffset>908050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2B" w:rsidRPr="00A71CAA">
        <w:t xml:space="preserve">For information about teacher language to support implementation of this assessment, please refer to the Years 4 to 10 LOTE Curriculum materials on CD-ROM (Middle Primary, Sourcebook modules </w:t>
      </w:r>
      <w:r w:rsidR="00025E77" w:rsidRPr="00A71CAA">
        <w:t>—</w:t>
      </w:r>
      <w:r w:rsidR="00216C2B" w:rsidRPr="00A71CAA">
        <w:t xml:space="preserve"> </w:t>
      </w:r>
      <w:r w:rsidR="00216C2B" w:rsidRPr="00A71CAA">
        <w:rPr>
          <w:i/>
        </w:rPr>
        <w:t>Personal and Community Life: Community Celebrations</w:t>
      </w:r>
      <w:r w:rsidR="00216C2B" w:rsidRPr="00A71CAA">
        <w:t xml:space="preserve">). </w:t>
      </w:r>
    </w:p>
    <w:p w:rsidR="00233FC0" w:rsidRPr="00A71CAA" w:rsidRDefault="00233FC0" w:rsidP="00233FC0">
      <w:pPr>
        <w:pStyle w:val="Heading2"/>
      </w:pPr>
      <w:r w:rsidRPr="00A71CAA">
        <w:t>Preparing</w:t>
      </w:r>
    </w:p>
    <w:p w:rsidR="00216C2B" w:rsidRPr="00A71CAA" w:rsidRDefault="00216C2B" w:rsidP="00216C2B">
      <w:pPr>
        <w:pStyle w:val="Bulletslevel1"/>
      </w:pPr>
      <w:r w:rsidRPr="00A71CAA">
        <w:t xml:space="preserve">Revise any key text structures and language elements targeted </w:t>
      </w:r>
      <w:r w:rsidR="00EF26B5" w:rsidRPr="00A71CAA">
        <w:t>in the</w:t>
      </w:r>
      <w:r w:rsidRPr="00A71CAA">
        <w:t xml:space="preserve"> assessment. Students should have significant opportunity </w:t>
      </w:r>
      <w:r w:rsidR="00CB5A41">
        <w:t>to learn</w:t>
      </w:r>
      <w:r w:rsidRPr="00A71CAA">
        <w:t xml:space="preserve"> the required language elements before the formal assessment.</w:t>
      </w:r>
    </w:p>
    <w:p w:rsidR="00EA355A" w:rsidRPr="00A71CAA" w:rsidRDefault="00EA355A" w:rsidP="00216C2B">
      <w:pPr>
        <w:pStyle w:val="Bulletslevel1"/>
      </w:pPr>
      <w:r w:rsidRPr="00A71CAA">
        <w:t xml:space="preserve">Ensure students have acquired knowledge and understanding of the cultural significance of Carnevale before implementing the assessment. </w:t>
      </w:r>
    </w:p>
    <w:p w:rsidR="00751F79" w:rsidRPr="00A71CAA" w:rsidRDefault="00EA355A" w:rsidP="00216C2B">
      <w:pPr>
        <w:pStyle w:val="Bulletslevel1"/>
      </w:pPr>
      <w:r w:rsidRPr="00A71CAA">
        <w:t>Draw attention to resources, such as the library or computer rooms</w:t>
      </w:r>
      <w:r w:rsidR="00751F79" w:rsidRPr="00A71CAA">
        <w:t>.</w:t>
      </w:r>
    </w:p>
    <w:p w:rsidR="00EA355A" w:rsidRPr="00A71CAA" w:rsidRDefault="00EA355A" w:rsidP="00216C2B">
      <w:pPr>
        <w:pStyle w:val="Bulletslevel1"/>
      </w:pPr>
      <w:r w:rsidRPr="00A71CAA">
        <w:t>When discussing sources of information and referencing, draw attention to the reliability of information from websites.</w:t>
      </w:r>
    </w:p>
    <w:p w:rsidR="00EA355A" w:rsidRPr="00A71CAA" w:rsidRDefault="00EA355A" w:rsidP="00D27992">
      <w:pPr>
        <w:pStyle w:val="Bulletslevel1"/>
      </w:pPr>
      <w:r w:rsidRPr="00A71CAA">
        <w:t>Print any relevant and required resources. Consider what objects could be offered as stimulus for students to complete the assessment.</w:t>
      </w:r>
      <w:r w:rsidR="00751F79" w:rsidRPr="00A71CAA">
        <w:t xml:space="preserve"> Appendix A: Carnevale</w:t>
      </w:r>
      <w:r w:rsidR="00416910" w:rsidRPr="00A71CAA">
        <w:t>!</w:t>
      </w:r>
      <w:r w:rsidR="00751F79" w:rsidRPr="00A71CAA">
        <w:t>, provides some background information.</w:t>
      </w:r>
    </w:p>
    <w:p w:rsidR="00025E77" w:rsidRPr="00A71CAA" w:rsidRDefault="00216C2B" w:rsidP="00025E77">
      <w:pPr>
        <w:pStyle w:val="Bulletslevel1"/>
      </w:pPr>
      <w:r w:rsidRPr="00A71CAA">
        <w:t>Employ the support strategies used in everyday practice for students who may require additional support to complete the assessment.</w:t>
      </w:r>
    </w:p>
    <w:p w:rsidR="00233FC0" w:rsidRPr="00A71CAA" w:rsidRDefault="00025E77" w:rsidP="00025E77">
      <w:pPr>
        <w:pStyle w:val="Heading2"/>
      </w:pPr>
      <w:r w:rsidRPr="00A71CAA">
        <w:t>S</w:t>
      </w:r>
      <w:r w:rsidR="00233FC0" w:rsidRPr="00A71CAA">
        <w:t>ample implementation plan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216C8D" w:rsidRPr="00A71CAA">
        <w:trPr>
          <w:jc w:val="center"/>
        </w:trPr>
        <w:tc>
          <w:tcPr>
            <w:tcW w:w="3213" w:type="dxa"/>
            <w:shd w:val="clear" w:color="auto" w:fill="CCCCCC"/>
          </w:tcPr>
          <w:p w:rsidR="00216C8D" w:rsidRPr="00A71CAA" w:rsidRDefault="00216C8D" w:rsidP="00C11F18">
            <w:pPr>
              <w:keepNext/>
              <w:spacing w:before="120" w:after="120"/>
              <w:rPr>
                <w:b/>
              </w:rPr>
            </w:pPr>
            <w:r w:rsidRPr="00A71CAA">
              <w:rPr>
                <w:b/>
              </w:rPr>
              <w:t>Suggested time</w:t>
            </w:r>
          </w:p>
        </w:tc>
        <w:tc>
          <w:tcPr>
            <w:tcW w:w="3213" w:type="dxa"/>
            <w:shd w:val="clear" w:color="auto" w:fill="CCCCCC"/>
          </w:tcPr>
          <w:p w:rsidR="00216C8D" w:rsidRPr="00A71CAA" w:rsidRDefault="00216C8D" w:rsidP="00C11F18">
            <w:pPr>
              <w:keepNext/>
              <w:spacing w:before="120" w:after="120"/>
              <w:rPr>
                <w:b/>
              </w:rPr>
            </w:pPr>
            <w:r w:rsidRPr="00A71CAA">
              <w:rPr>
                <w:b/>
              </w:rPr>
              <w:t>Student activity</w:t>
            </w:r>
          </w:p>
        </w:tc>
        <w:tc>
          <w:tcPr>
            <w:tcW w:w="3213" w:type="dxa"/>
            <w:shd w:val="clear" w:color="auto" w:fill="CCCCCC"/>
          </w:tcPr>
          <w:p w:rsidR="00216C8D" w:rsidRPr="00A71CAA" w:rsidRDefault="00216C8D" w:rsidP="00C11F18">
            <w:pPr>
              <w:keepNext/>
              <w:spacing w:before="120" w:after="120"/>
              <w:rPr>
                <w:b/>
              </w:rPr>
            </w:pPr>
            <w:r w:rsidRPr="00A71CAA">
              <w:rPr>
                <w:b/>
              </w:rPr>
              <w:t>Teacher role</w:t>
            </w:r>
          </w:p>
        </w:tc>
      </w:tr>
      <w:tr w:rsidR="00C11F18" w:rsidRPr="00A71CAA">
        <w:trPr>
          <w:jc w:val="center"/>
        </w:trPr>
        <w:tc>
          <w:tcPr>
            <w:tcW w:w="9639" w:type="dxa"/>
            <w:gridSpan w:val="3"/>
            <w:shd w:val="clear" w:color="auto" w:fill="E6E6E6"/>
          </w:tcPr>
          <w:p w:rsidR="00C11F18" w:rsidRPr="00A71CAA" w:rsidRDefault="00C11F18" w:rsidP="00C11F18">
            <w:pPr>
              <w:keepNext/>
              <w:spacing w:before="120" w:after="120"/>
              <w:rPr>
                <w:b/>
              </w:rPr>
            </w:pPr>
            <w:r w:rsidRPr="00A71CAA">
              <w:rPr>
                <w:b/>
              </w:rPr>
              <w:t xml:space="preserve">Section 1. </w:t>
            </w:r>
            <w:r w:rsidR="00847FE7" w:rsidRPr="00A71CAA">
              <w:rPr>
                <w:b/>
              </w:rPr>
              <w:t>Identity card</w:t>
            </w:r>
          </w:p>
        </w:tc>
      </w:tr>
      <w:tr w:rsidR="00216C8D" w:rsidRPr="00A71CAA">
        <w:trPr>
          <w:jc w:val="center"/>
        </w:trPr>
        <w:tc>
          <w:tcPr>
            <w:tcW w:w="3213" w:type="dxa"/>
          </w:tcPr>
          <w:p w:rsidR="00216C8D" w:rsidRPr="00A71CAA" w:rsidRDefault="00847FE7" w:rsidP="00964AFA">
            <w:pPr>
              <w:pStyle w:val="tablesml"/>
            </w:pPr>
            <w:r w:rsidRPr="00A71CAA">
              <w:t>10 min</w:t>
            </w:r>
            <w:r w:rsidR="00751F79" w:rsidRPr="00A71CAA">
              <w:t>s</w:t>
            </w:r>
          </w:p>
        </w:tc>
        <w:tc>
          <w:tcPr>
            <w:tcW w:w="3213" w:type="dxa"/>
          </w:tcPr>
          <w:p w:rsidR="00847FE7" w:rsidRPr="00A71CAA" w:rsidRDefault="00847FE7" w:rsidP="00847FE7">
            <w:pPr>
              <w:pStyle w:val="tablesml"/>
            </w:pPr>
            <w:r w:rsidRPr="00A71CAA">
              <w:t xml:space="preserve">Read through </w:t>
            </w:r>
            <w:r w:rsidRPr="00A71CAA">
              <w:rPr>
                <w:i/>
              </w:rPr>
              <w:t>Student booklet</w:t>
            </w:r>
            <w:r w:rsidRPr="00A71CAA">
              <w:t xml:space="preserve"> and </w:t>
            </w:r>
            <w:r w:rsidR="00EF26B5" w:rsidRPr="00A71CAA">
              <w:rPr>
                <w:i/>
              </w:rPr>
              <w:t>Guide to making judg</w:t>
            </w:r>
            <w:r w:rsidRPr="00A71CAA">
              <w:rPr>
                <w:i/>
              </w:rPr>
              <w:t>ments</w:t>
            </w:r>
            <w:r w:rsidRPr="00A71CAA">
              <w:t>.</w:t>
            </w:r>
          </w:p>
          <w:p w:rsidR="00216C8D" w:rsidRPr="00A71CAA" w:rsidRDefault="00847FE7" w:rsidP="00847FE7">
            <w:pPr>
              <w:pStyle w:val="tablesml"/>
            </w:pPr>
            <w:r w:rsidRPr="00A71CAA">
              <w:t>Construct an identity card with specific information about a Carnevale character</w:t>
            </w:r>
            <w:r w:rsidR="003A0EF4" w:rsidRPr="00A71CAA">
              <w:t>.</w:t>
            </w:r>
          </w:p>
        </w:tc>
        <w:tc>
          <w:tcPr>
            <w:tcW w:w="3213" w:type="dxa"/>
          </w:tcPr>
          <w:p w:rsidR="00847FE7" w:rsidRPr="00A71CAA" w:rsidRDefault="00847FE7" w:rsidP="00847FE7">
            <w:pPr>
              <w:pStyle w:val="tablesml"/>
            </w:pPr>
            <w:bookmarkStart w:id="1" w:name="OLE_LINK1"/>
            <w:bookmarkStart w:id="2" w:name="OLE_LINK2"/>
            <w:r w:rsidRPr="00A71CAA">
              <w:t xml:space="preserve">Clarify what is required in the assessment and the </w:t>
            </w:r>
            <w:r w:rsidRPr="00A71CAA">
              <w:rPr>
                <w:i/>
              </w:rPr>
              <w:t>Guide to making judgments</w:t>
            </w:r>
            <w:r w:rsidRPr="00A71CAA">
              <w:t xml:space="preserve"> as needed.</w:t>
            </w:r>
            <w:bookmarkEnd w:id="1"/>
            <w:bookmarkEnd w:id="2"/>
          </w:p>
          <w:p w:rsidR="00847FE7" w:rsidRPr="00A71CAA" w:rsidRDefault="00847FE7" w:rsidP="00847FE7">
            <w:pPr>
              <w:pStyle w:val="tablesml"/>
            </w:pPr>
            <w:r w:rsidRPr="00A71CAA">
              <w:t>Ensure access to necessary materials.</w:t>
            </w:r>
          </w:p>
          <w:p w:rsidR="00216C8D" w:rsidRPr="00A71CAA" w:rsidRDefault="00847FE7" w:rsidP="00847FE7">
            <w:pPr>
              <w:pStyle w:val="tablesml"/>
            </w:pPr>
            <w:r w:rsidRPr="00A71CAA">
              <w:t>Assist as required.</w:t>
            </w:r>
          </w:p>
        </w:tc>
      </w:tr>
      <w:tr w:rsidR="00C11F18" w:rsidRPr="00A71CAA">
        <w:trPr>
          <w:jc w:val="center"/>
        </w:trPr>
        <w:tc>
          <w:tcPr>
            <w:tcW w:w="9639" w:type="dxa"/>
            <w:gridSpan w:val="3"/>
            <w:shd w:val="clear" w:color="auto" w:fill="E6E6E6"/>
          </w:tcPr>
          <w:p w:rsidR="00C11F18" w:rsidRPr="00A71CAA" w:rsidRDefault="00C11F18" w:rsidP="00C11F18">
            <w:pPr>
              <w:keepNext/>
              <w:spacing w:before="120" w:after="120"/>
              <w:rPr>
                <w:b/>
              </w:rPr>
            </w:pPr>
            <w:r w:rsidRPr="00A71CAA">
              <w:rPr>
                <w:b/>
              </w:rPr>
              <w:t xml:space="preserve">Section 2. </w:t>
            </w:r>
            <w:r w:rsidR="00751F79" w:rsidRPr="00A71CAA">
              <w:rPr>
                <w:b/>
              </w:rPr>
              <w:t>Questions and responses in Italian</w:t>
            </w:r>
          </w:p>
        </w:tc>
      </w:tr>
      <w:tr w:rsidR="00216C8D" w:rsidRPr="00A71CAA">
        <w:trPr>
          <w:jc w:val="center"/>
        </w:trPr>
        <w:tc>
          <w:tcPr>
            <w:tcW w:w="3213" w:type="dxa"/>
          </w:tcPr>
          <w:p w:rsidR="00216C8D" w:rsidRPr="00A71CAA" w:rsidRDefault="00847FE7" w:rsidP="00964AFA">
            <w:pPr>
              <w:pStyle w:val="tablesml"/>
            </w:pPr>
            <w:r w:rsidRPr="00A71CAA">
              <w:t>40 mins</w:t>
            </w:r>
          </w:p>
        </w:tc>
        <w:tc>
          <w:tcPr>
            <w:tcW w:w="3213" w:type="dxa"/>
          </w:tcPr>
          <w:p w:rsidR="00216C8D" w:rsidRPr="00A71CAA" w:rsidRDefault="00847FE7" w:rsidP="00964AFA">
            <w:pPr>
              <w:pStyle w:val="tablesml"/>
            </w:pPr>
            <w:r w:rsidRPr="00A71CAA">
              <w:t xml:space="preserve">Compose 10 questions </w:t>
            </w:r>
            <w:r w:rsidR="00751F79" w:rsidRPr="00A71CAA">
              <w:t xml:space="preserve">and answers </w:t>
            </w:r>
            <w:r w:rsidRPr="00A71CAA">
              <w:t xml:space="preserve">in </w:t>
            </w:r>
            <w:r w:rsidR="00751F79" w:rsidRPr="00A71CAA">
              <w:t>Italian</w:t>
            </w:r>
            <w:r w:rsidRPr="00A71CAA">
              <w:t xml:space="preserve"> about Carnevale.</w:t>
            </w:r>
          </w:p>
        </w:tc>
        <w:tc>
          <w:tcPr>
            <w:tcW w:w="3213" w:type="dxa"/>
          </w:tcPr>
          <w:p w:rsidR="00847FE7" w:rsidRPr="00A71CAA" w:rsidRDefault="00847FE7" w:rsidP="00847FE7">
            <w:pPr>
              <w:pStyle w:val="tablesml"/>
            </w:pPr>
            <w:r w:rsidRPr="00A71CAA">
              <w:t xml:space="preserve">Clarify what is required in the assessment and the </w:t>
            </w:r>
            <w:r w:rsidRPr="00A71CAA">
              <w:rPr>
                <w:i/>
              </w:rPr>
              <w:t>Guide to making judgments</w:t>
            </w:r>
            <w:r w:rsidRPr="00A71CAA">
              <w:t xml:space="preserve"> as needed.</w:t>
            </w:r>
          </w:p>
          <w:p w:rsidR="00751F79" w:rsidRPr="00A71CAA" w:rsidRDefault="00847FE7" w:rsidP="00847FE7">
            <w:pPr>
              <w:pStyle w:val="tablesml"/>
            </w:pPr>
            <w:r w:rsidRPr="00A71CAA">
              <w:t xml:space="preserve">Assist as needed. </w:t>
            </w:r>
          </w:p>
          <w:p w:rsidR="00216C8D" w:rsidRPr="00A71CAA" w:rsidRDefault="00847FE7" w:rsidP="00847FE7">
            <w:pPr>
              <w:pStyle w:val="tablesml"/>
            </w:pPr>
            <w:r w:rsidRPr="00A71CAA">
              <w:t>Give feedback.</w:t>
            </w:r>
          </w:p>
        </w:tc>
      </w:tr>
      <w:tr w:rsidR="00847FE7" w:rsidRPr="00A71CAA">
        <w:trPr>
          <w:jc w:val="center"/>
        </w:trPr>
        <w:tc>
          <w:tcPr>
            <w:tcW w:w="9639" w:type="dxa"/>
            <w:gridSpan w:val="3"/>
            <w:shd w:val="clear" w:color="auto" w:fill="E6E6E6"/>
          </w:tcPr>
          <w:p w:rsidR="00847FE7" w:rsidRPr="00A71CAA" w:rsidRDefault="00847FE7" w:rsidP="003D2EEC">
            <w:pPr>
              <w:keepNext/>
              <w:spacing w:before="120" w:after="120"/>
              <w:rPr>
                <w:b/>
              </w:rPr>
            </w:pPr>
            <w:r w:rsidRPr="00A71CAA">
              <w:rPr>
                <w:b/>
              </w:rPr>
              <w:t xml:space="preserve">Section 3. </w:t>
            </w:r>
            <w:r w:rsidR="00751F79" w:rsidRPr="00A71CAA">
              <w:rPr>
                <w:b/>
              </w:rPr>
              <w:t>S</w:t>
            </w:r>
            <w:r w:rsidRPr="00A71CAA">
              <w:rPr>
                <w:b/>
              </w:rPr>
              <w:t>imilarities and differences</w:t>
            </w:r>
          </w:p>
        </w:tc>
      </w:tr>
      <w:tr w:rsidR="00216C8D" w:rsidRPr="00A71CAA">
        <w:trPr>
          <w:jc w:val="center"/>
        </w:trPr>
        <w:tc>
          <w:tcPr>
            <w:tcW w:w="3213" w:type="dxa"/>
          </w:tcPr>
          <w:p w:rsidR="00216C8D" w:rsidRPr="00A71CAA" w:rsidRDefault="00847FE7" w:rsidP="00964AFA">
            <w:pPr>
              <w:pStyle w:val="tablesml"/>
            </w:pPr>
            <w:r w:rsidRPr="00A71CAA">
              <w:t>20 mins</w:t>
            </w:r>
          </w:p>
        </w:tc>
        <w:tc>
          <w:tcPr>
            <w:tcW w:w="3213" w:type="dxa"/>
          </w:tcPr>
          <w:p w:rsidR="00216C8D" w:rsidRPr="00A71CAA" w:rsidRDefault="00751F79" w:rsidP="00964AFA">
            <w:pPr>
              <w:pStyle w:val="tablesml"/>
            </w:pPr>
            <w:r w:rsidRPr="00A71CAA">
              <w:t>Analyse language and cultural similarities and differences.</w:t>
            </w:r>
          </w:p>
        </w:tc>
        <w:tc>
          <w:tcPr>
            <w:tcW w:w="3213" w:type="dxa"/>
          </w:tcPr>
          <w:p w:rsidR="00847FE7" w:rsidRPr="00A71CAA" w:rsidRDefault="00847FE7" w:rsidP="00847FE7">
            <w:pPr>
              <w:pStyle w:val="tablesml"/>
            </w:pPr>
            <w:r w:rsidRPr="00A71CAA">
              <w:t xml:space="preserve">Clarify what is required in the assessment and the </w:t>
            </w:r>
            <w:r w:rsidRPr="00A71CAA">
              <w:rPr>
                <w:i/>
              </w:rPr>
              <w:t>Guide to making judgments</w:t>
            </w:r>
            <w:r w:rsidRPr="00A71CAA">
              <w:t xml:space="preserve"> as needed.</w:t>
            </w:r>
          </w:p>
          <w:p w:rsidR="00847FE7" w:rsidRPr="00A71CAA" w:rsidRDefault="00847FE7" w:rsidP="00847FE7">
            <w:pPr>
              <w:pStyle w:val="tablesml"/>
            </w:pPr>
            <w:r w:rsidRPr="00A71CAA">
              <w:t>Ensure access to required materials.</w:t>
            </w:r>
          </w:p>
          <w:p w:rsidR="00847FE7" w:rsidRPr="00A71CAA" w:rsidRDefault="00847FE7" w:rsidP="00847FE7">
            <w:pPr>
              <w:pStyle w:val="tablesml"/>
            </w:pPr>
            <w:r w:rsidRPr="00A71CAA">
              <w:t xml:space="preserve">Assist as needed. </w:t>
            </w:r>
          </w:p>
          <w:p w:rsidR="00216C8D" w:rsidRPr="00A71CAA" w:rsidRDefault="00847FE7" w:rsidP="00847FE7">
            <w:pPr>
              <w:pStyle w:val="tablesml"/>
            </w:pPr>
            <w:r w:rsidRPr="00A71CAA">
              <w:t>Give feedback.</w:t>
            </w:r>
          </w:p>
        </w:tc>
      </w:tr>
    </w:tbl>
    <w:p w:rsidR="009F1EAE" w:rsidRPr="00A71CAA" w:rsidRDefault="009F1EAE" w:rsidP="00847FE7"/>
    <w:tbl>
      <w:tblPr>
        <w:tblW w:w="9639" w:type="dxa"/>
        <w:tblLook w:val="01E0" w:firstRow="1" w:lastRow="1" w:firstColumn="1" w:lastColumn="1" w:noHBand="0" w:noVBand="0"/>
      </w:tblPr>
      <w:tblGrid>
        <w:gridCol w:w="1086"/>
        <w:gridCol w:w="8553"/>
      </w:tblGrid>
      <w:tr w:rsidR="00AB2C0A" w:rsidRPr="00A71CAA">
        <w:trPr>
          <w:trHeight w:val="870"/>
        </w:trPr>
        <w:tc>
          <w:tcPr>
            <w:tcW w:w="557" w:type="pct"/>
          </w:tcPr>
          <w:p w:rsidR="00AB2C0A" w:rsidRPr="00A71CAA" w:rsidRDefault="00AB2C0A" w:rsidP="00847FE7">
            <w:pPr>
              <w:spacing w:before="0" w:after="0" w:line="240" w:lineRule="auto"/>
            </w:pPr>
            <w:r w:rsidRPr="00A71CAA">
              <w:br w:type="page"/>
            </w:r>
            <w:r w:rsidR="003D7864">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AB2C0A" w:rsidRPr="00A71CAA" w:rsidRDefault="00AB2C0A" w:rsidP="00AA4B06">
            <w:pPr>
              <w:pStyle w:val="Heading2"/>
              <w:pageBreakBefore/>
              <w:spacing w:before="0" w:after="0"/>
            </w:pPr>
            <w:r w:rsidRPr="00A71CAA">
              <w:rPr>
                <w:noProof/>
              </w:rPr>
              <w:t>Resources for the assessment</w:t>
            </w:r>
          </w:p>
        </w:tc>
      </w:tr>
    </w:tbl>
    <w:p w:rsidR="00847FE7" w:rsidRPr="00A71CAA" w:rsidRDefault="00847FE7" w:rsidP="00FA5455">
      <w:r w:rsidRPr="00A71CAA">
        <w:t>Appendix A</w:t>
      </w:r>
      <w:r w:rsidRPr="00A71CAA">
        <w:tab/>
      </w:r>
      <w:r w:rsidRPr="00A71CAA">
        <w:tab/>
        <w:t>Carnevale</w:t>
      </w:r>
      <w:r w:rsidR="00416910" w:rsidRPr="00A71CAA">
        <w:t>!</w:t>
      </w:r>
      <w:r w:rsidRPr="00A71CAA">
        <w:t xml:space="preserve"> (English text)</w:t>
      </w:r>
    </w:p>
    <w:p w:rsidR="00025E77" w:rsidRPr="00A71CAA" w:rsidRDefault="00751F79" w:rsidP="00025E77">
      <w:r w:rsidRPr="00A71CAA">
        <w:t>E</w:t>
      </w:r>
      <w:r w:rsidR="00025E77" w:rsidRPr="00A71CAA">
        <w:t>nsure students have access to</w:t>
      </w:r>
      <w:r w:rsidRPr="00A71CAA">
        <w:t xml:space="preserve"> support materials, such as</w:t>
      </w:r>
      <w:r w:rsidR="00025E77" w:rsidRPr="00A71CAA">
        <w:t>:</w:t>
      </w:r>
    </w:p>
    <w:p w:rsidR="00025E77" w:rsidRPr="00A71CAA" w:rsidRDefault="00025E77" w:rsidP="00751F79">
      <w:pPr>
        <w:pStyle w:val="Bulletslevel1"/>
      </w:pPr>
      <w:r w:rsidRPr="00A71CAA">
        <w:t xml:space="preserve">relevant vocabulary lists </w:t>
      </w:r>
      <w:r w:rsidR="00EF26B5" w:rsidRPr="00A71CAA">
        <w:t>in Italian about Carnevale</w:t>
      </w:r>
    </w:p>
    <w:p w:rsidR="00025E77" w:rsidRPr="00A71CAA" w:rsidRDefault="00025E77" w:rsidP="00751F79">
      <w:pPr>
        <w:pStyle w:val="Bulletslevel1"/>
      </w:pPr>
      <w:r w:rsidRPr="00A71CAA">
        <w:t>samples of character profiles</w:t>
      </w:r>
    </w:p>
    <w:p w:rsidR="00025E77" w:rsidRPr="00A71CAA" w:rsidRDefault="00025E77" w:rsidP="00751F79">
      <w:pPr>
        <w:pStyle w:val="Bulletslevel1"/>
      </w:pPr>
      <w:r w:rsidRPr="00A71CAA">
        <w:t xml:space="preserve">map of </w:t>
      </w:r>
      <w:smartTag w:uri="urn:schemas-microsoft-com:office:smarttags" w:element="country-region">
        <w:smartTag w:uri="urn:schemas-microsoft-com:office:smarttags" w:element="place">
          <w:r w:rsidRPr="00A71CAA">
            <w:t>Italy</w:t>
          </w:r>
        </w:smartTag>
      </w:smartTag>
    </w:p>
    <w:p w:rsidR="00025E77" w:rsidRPr="00A71CAA" w:rsidRDefault="00025E77" w:rsidP="00751F79">
      <w:pPr>
        <w:pStyle w:val="Bulletslevel1"/>
      </w:pPr>
      <w:r w:rsidRPr="00A71CAA">
        <w:t>model of an identity card</w:t>
      </w:r>
    </w:p>
    <w:p w:rsidR="00025E77" w:rsidRPr="00A71CAA" w:rsidRDefault="00025E77" w:rsidP="00751F79">
      <w:pPr>
        <w:pStyle w:val="Bulletslevel1"/>
      </w:pPr>
      <w:r w:rsidRPr="00A71CAA">
        <w:t>bilingual dictionaries.</w:t>
      </w:r>
    </w:p>
    <w:p w:rsidR="00FA5455" w:rsidRPr="00A71CAA" w:rsidRDefault="003D7864" w:rsidP="00FA5455">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71CAA">
        <w:t xml:space="preserve">During the learning process, you and your students should have developed a shared understanding of the curriculum expectations identified as part of the planning process. </w:t>
      </w:r>
    </w:p>
    <w:p w:rsidR="00FA5455" w:rsidRPr="00A71CAA" w:rsidRDefault="00FA5455" w:rsidP="00FA5455">
      <w:r w:rsidRPr="00A71CAA">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A71CAA" w:rsidRDefault="00FA5455" w:rsidP="005571B4">
      <w:pPr>
        <w:pStyle w:val="Bulletslevel1"/>
        <w:rPr>
          <w:i/>
        </w:rPr>
      </w:pPr>
      <w:r w:rsidRPr="00A71CAA">
        <w:rPr>
          <w:i/>
        </w:rPr>
        <w:t>Guide to making judgments</w:t>
      </w:r>
    </w:p>
    <w:p w:rsidR="00FA5455" w:rsidRPr="00A71CAA" w:rsidRDefault="00FA5455" w:rsidP="005571B4">
      <w:pPr>
        <w:pStyle w:val="Bulletslevel1"/>
        <w:rPr>
          <w:i/>
        </w:rPr>
      </w:pPr>
      <w:r w:rsidRPr="00A71CAA">
        <w:rPr>
          <w:i/>
        </w:rPr>
        <w:t>Indicative A response</w:t>
      </w:r>
    </w:p>
    <w:p w:rsidR="00FA5455" w:rsidRPr="00A71CAA" w:rsidRDefault="00FA5455" w:rsidP="005571B4">
      <w:pPr>
        <w:pStyle w:val="Bulletslevel1"/>
        <w:rPr>
          <w:i/>
        </w:rPr>
      </w:pPr>
      <w:r w:rsidRPr="00A71CAA">
        <w:rPr>
          <w:i/>
        </w:rPr>
        <w:t xml:space="preserve">Sample responses </w:t>
      </w:r>
      <w:r w:rsidRPr="00A71CAA">
        <w:t>(where available).</w:t>
      </w:r>
    </w:p>
    <w:p w:rsidR="005110F5" w:rsidRPr="00A71CAA" w:rsidRDefault="005110F5" w:rsidP="005110F5">
      <w:pPr>
        <w:pStyle w:val="Heading3"/>
      </w:pPr>
      <w:r w:rsidRPr="00A71CAA">
        <w:t>Making judgments about this assessment</w:t>
      </w:r>
    </w:p>
    <w:p w:rsidR="00847FE7" w:rsidRPr="00A71CAA" w:rsidRDefault="00F82568" w:rsidP="00847FE7">
      <w:pPr>
        <w:spacing w:after="120"/>
      </w:pPr>
      <w:r w:rsidRPr="00A71CAA">
        <w:rPr>
          <w:rFonts w:cs="Arial"/>
        </w:rPr>
        <w:t xml:space="preserve">The </w:t>
      </w:r>
      <w:r w:rsidRPr="00A71CAA">
        <w:rPr>
          <w:rFonts w:cs="Arial"/>
          <w:i/>
        </w:rPr>
        <w:t>Guide to making judgments</w:t>
      </w:r>
      <w:r w:rsidRPr="00A71CAA">
        <w:rPr>
          <w:rFonts w:cs="Arial"/>
        </w:rPr>
        <w:t xml:space="preserve"> for this assessment demonstrates student development along a continuum. It uses task-specific descriptors to describe the quality of student performance as a standard from A to E across each of the assessable elements. In the continua model, each higher standard grade has those below nested within it. In short, an A standard includes all qualities previously described along the continuum. </w:t>
      </w:r>
      <w:r w:rsidR="00CB5A41">
        <w:rPr>
          <w:rFonts w:cs="Arial"/>
        </w:rPr>
        <w:t>As</w:t>
      </w:r>
      <w:r w:rsidRPr="00A71CAA">
        <w:rPr>
          <w:rFonts w:cs="Arial"/>
        </w:rPr>
        <w:t xml:space="preserve"> the continua model plots noticeable differences in student performance, the descriptor shows what students can do, not what students cannot do.</w:t>
      </w:r>
    </w:p>
    <w:p w:rsidR="00F82568" w:rsidRPr="00A71CAA" w:rsidRDefault="00F82568" w:rsidP="00847FE7">
      <w:pPr>
        <w:spacing w:after="120"/>
      </w:pPr>
      <w:r w:rsidRPr="00A71CAA">
        <w:rPr>
          <w:rFonts w:cs="Arial"/>
        </w:rPr>
        <w:t>Evidence of Intercultural competence is taken from Section 3 but use of the target language is not required to demonstrate this competence. Target language proficiency is assessed through the assessable elements</w:t>
      </w:r>
      <w:r w:rsidR="001D0614" w:rsidRPr="00A71CAA">
        <w:rPr>
          <w:rFonts w:cs="Arial"/>
        </w:rPr>
        <w:t xml:space="preserve"> Knowledge and understanding and Composing texts</w:t>
      </w:r>
      <w:r w:rsidRPr="00A71CAA">
        <w:rPr>
          <w:rFonts w:cs="Arial"/>
        </w:rPr>
        <w:t>.</w:t>
      </w:r>
      <w:r w:rsidR="001D0614" w:rsidRPr="00A71CAA">
        <w:t xml:space="preserve"> It may be possible to see some evidence of Intercultural competence in target language texts composed or comprehended by the student, and this should also be cons</w:t>
      </w:r>
      <w:r w:rsidR="00EF26B5" w:rsidRPr="00A71CAA">
        <w:t>idered when making a final judg</w:t>
      </w:r>
      <w:r w:rsidR="001D0614" w:rsidRPr="00A71CAA">
        <w:t>ment of this assessable element.</w:t>
      </w:r>
    </w:p>
    <w:p w:rsidR="00CB5A41" w:rsidRDefault="00CB5A41"/>
    <w:tbl>
      <w:tblPr>
        <w:tblW w:w="9639" w:type="dxa"/>
        <w:tblLook w:val="01E0" w:firstRow="1" w:lastRow="1" w:firstColumn="1" w:lastColumn="1" w:noHBand="0" w:noVBand="0"/>
      </w:tblPr>
      <w:tblGrid>
        <w:gridCol w:w="1076"/>
        <w:gridCol w:w="8563"/>
      </w:tblGrid>
      <w:tr w:rsidR="00FA5455" w:rsidRPr="00A71CAA" w:rsidTr="00CB5A41">
        <w:trPr>
          <w:trHeight w:val="870"/>
        </w:trPr>
        <w:tc>
          <w:tcPr>
            <w:tcW w:w="556" w:type="pct"/>
            <w:vAlign w:val="bottom"/>
          </w:tcPr>
          <w:p w:rsidR="00FA5455" w:rsidRPr="00A71CAA" w:rsidRDefault="003D7864" w:rsidP="002C1E49">
            <w:pPr>
              <w:spacing w:before="0" w:after="0" w:line="240" w:lineRule="auto"/>
            </w:pPr>
            <w:r>
              <w:rPr>
                <w:noProof/>
              </w:rPr>
              <w:drawing>
                <wp:inline distT="0" distB="0" distL="0" distR="0">
                  <wp:extent cx="546100" cy="546100"/>
                  <wp:effectExtent l="0" t="0" r="0" b="635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4" w:type="pct"/>
            <w:vAlign w:val="center"/>
          </w:tcPr>
          <w:p w:rsidR="00FA5455" w:rsidRPr="00A71CAA" w:rsidRDefault="00FA5455" w:rsidP="005571B4">
            <w:r w:rsidRPr="00A71CAA">
              <w:t xml:space="preserve">For further information, refer to the resource </w:t>
            </w:r>
            <w:r w:rsidRPr="00A71CAA">
              <w:rPr>
                <w:i/>
              </w:rPr>
              <w:t>Using a Guide to making judgments</w:t>
            </w:r>
            <w:r w:rsidRPr="00A71CAA">
              <w:t>, available in the Resources section of the Assessment Bank website.</w:t>
            </w:r>
          </w:p>
        </w:tc>
      </w:tr>
    </w:tbl>
    <w:p w:rsidR="00FA5455" w:rsidRPr="00A71CAA" w:rsidRDefault="003D7864" w:rsidP="001D0614">
      <w:pPr>
        <w:pageBreakBefore/>
      </w:pPr>
      <w:r>
        <w:rPr>
          <w:noProof/>
        </w:rPr>
        <w:drawing>
          <wp:anchor distT="0" distB="0" distL="114300" distR="114300" simplePos="0" relativeHeight="251658752" behindDoc="0" locked="0" layoutInCell="1" allowOverlap="1">
            <wp:simplePos x="0" y="0"/>
            <wp:positionH relativeFrom="page">
              <wp:posOffset>377190</wp:posOffset>
            </wp:positionH>
            <wp:positionV relativeFrom="margin">
              <wp:posOffset>-13970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71CAA">
        <w:t xml:space="preserve">Focus feedback on the student’s personal progress. Emphasise continuous progress relative to </w:t>
      </w:r>
      <w:r w:rsidR="00171987" w:rsidRPr="00A71CAA">
        <w:t>their</w:t>
      </w:r>
      <w:r w:rsidR="00FA5455" w:rsidRPr="00A71CAA">
        <w:t xml:space="preserve"> previous achievement and to the learning expectations — avoid comparing a student with their classmates.</w:t>
      </w:r>
    </w:p>
    <w:p w:rsidR="00CB5A41" w:rsidRPr="00A71CAA" w:rsidRDefault="00CB5A41" w:rsidP="00CB5A41">
      <w:r w:rsidRPr="00A71CAA">
        <w:t>Evaluate the information gathered from the assessment to inform teaching and learning strategies.</w:t>
      </w:r>
    </w:p>
    <w:p w:rsidR="00CB5A41" w:rsidRPr="00A71CAA" w:rsidRDefault="00CB5A41" w:rsidP="00CB5A41">
      <w:r w:rsidRPr="00A71CAA">
        <w:t>Involve students in the feedback process. Give students opportunities to ask follow-up questions and share their learning observations or experiences.</w:t>
      </w:r>
    </w:p>
    <w:tbl>
      <w:tblPr>
        <w:tblW w:w="9639" w:type="dxa"/>
        <w:tblLook w:val="01E0" w:firstRow="1" w:lastRow="1" w:firstColumn="1" w:lastColumn="1" w:noHBand="0" w:noVBand="0"/>
      </w:tblPr>
      <w:tblGrid>
        <w:gridCol w:w="1076"/>
        <w:gridCol w:w="8563"/>
      </w:tblGrid>
      <w:tr w:rsidR="006774B8" w:rsidRPr="00A71CAA" w:rsidTr="00CB5A41">
        <w:tc>
          <w:tcPr>
            <w:tcW w:w="556" w:type="pct"/>
            <w:shd w:val="clear" w:color="auto" w:fill="auto"/>
          </w:tcPr>
          <w:p w:rsidR="006774B8" w:rsidRPr="00A71CAA" w:rsidRDefault="003D7864" w:rsidP="002C1E49">
            <w:pPr>
              <w:spacing w:before="0" w:after="0" w:line="240" w:lineRule="auto"/>
            </w:pPr>
            <w:r>
              <w:rPr>
                <w:noProof/>
              </w:rPr>
              <w:drawing>
                <wp:inline distT="0" distB="0" distL="0" distR="0">
                  <wp:extent cx="546100" cy="546100"/>
                  <wp:effectExtent l="0" t="0" r="0" b="635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4" w:type="pct"/>
            <w:shd w:val="clear" w:color="auto" w:fill="auto"/>
            <w:vAlign w:val="center"/>
          </w:tcPr>
          <w:p w:rsidR="006774B8" w:rsidRPr="00A71CAA" w:rsidRDefault="006774B8" w:rsidP="002C1E49">
            <w:r w:rsidRPr="00A71CAA">
              <w:t xml:space="preserve">For further information, refer to the resource </w:t>
            </w:r>
            <w:r w:rsidR="00CB5A41">
              <w:rPr>
                <w:i/>
              </w:rPr>
              <w:t>About</w:t>
            </w:r>
            <w:r w:rsidRPr="00A71CAA">
              <w:rPr>
                <w:i/>
              </w:rPr>
              <w:t xml:space="preserve"> feedback</w:t>
            </w:r>
            <w:r w:rsidRPr="00A71CAA">
              <w:t>, available in the Resources section of the Assessment Bank website.</w:t>
            </w:r>
          </w:p>
        </w:tc>
      </w:tr>
    </w:tbl>
    <w:p w:rsidR="00327D43" w:rsidRPr="00A71CAA" w:rsidRDefault="00327D43" w:rsidP="006774B8">
      <w:pPr>
        <w:pStyle w:val="smallspace"/>
      </w:pPr>
    </w:p>
    <w:p w:rsidR="002F45D0" w:rsidRPr="00A71CAA" w:rsidRDefault="002F45D0" w:rsidP="002F45D0">
      <w:pPr>
        <w:sectPr w:rsidR="002F45D0" w:rsidRPr="00A71CAA" w:rsidSect="00F83B2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820"/>
      </w:tblGrid>
      <w:tr w:rsidR="00606C9D" w:rsidRPr="00A71CAA" w:rsidTr="000F0EAA">
        <w:tc>
          <w:tcPr>
            <w:tcW w:w="9820" w:type="dxa"/>
            <w:shd w:val="clear" w:color="auto" w:fill="E0E0E0"/>
          </w:tcPr>
          <w:p w:rsidR="00606C9D" w:rsidRPr="000F0EAA" w:rsidRDefault="00606C9D" w:rsidP="000F0EAA">
            <w:pPr>
              <w:widowControl w:val="0"/>
              <w:spacing w:after="80"/>
              <w:jc w:val="center"/>
              <w:rPr>
                <w:b/>
                <w:sz w:val="40"/>
                <w:szCs w:val="40"/>
              </w:rPr>
            </w:pPr>
            <w:r w:rsidRPr="000F0EAA">
              <w:rPr>
                <w:b/>
                <w:i/>
                <w:sz w:val="40"/>
                <w:szCs w:val="40"/>
              </w:rPr>
              <w:t>Carnevale</w:t>
            </w:r>
            <w:r w:rsidR="00416910" w:rsidRPr="000F0EAA">
              <w:rPr>
                <w:b/>
                <w:i/>
                <w:sz w:val="40"/>
                <w:szCs w:val="40"/>
              </w:rPr>
              <w:t>!</w:t>
            </w:r>
          </w:p>
        </w:tc>
      </w:tr>
      <w:tr w:rsidR="00606C9D" w:rsidRPr="00A71CAA" w:rsidTr="000F0EAA">
        <w:tc>
          <w:tcPr>
            <w:tcW w:w="9820" w:type="dxa"/>
            <w:shd w:val="clear" w:color="auto" w:fill="auto"/>
          </w:tcPr>
          <w:p w:rsidR="00606C9D" w:rsidRPr="000F0EAA" w:rsidRDefault="00606C9D" w:rsidP="000F0EAA">
            <w:pPr>
              <w:widowControl w:val="0"/>
              <w:rPr>
                <w:sz w:val="24"/>
                <w:szCs w:val="22"/>
              </w:rPr>
            </w:pPr>
            <w:r w:rsidRPr="000F0EAA">
              <w:rPr>
                <w:i/>
                <w:sz w:val="24"/>
                <w:szCs w:val="22"/>
              </w:rPr>
              <w:t>Carnevale</w:t>
            </w:r>
            <w:r w:rsidRPr="000F0EAA">
              <w:rPr>
                <w:sz w:val="24"/>
                <w:szCs w:val="22"/>
              </w:rPr>
              <w:t xml:space="preserve"> is an ancient festival — one of the oldest and most celebrated festivals in </w:t>
            </w:r>
            <w:smartTag w:uri="urn:schemas-microsoft-com:office:smarttags" w:element="place">
              <w:r w:rsidRPr="000F0EAA">
                <w:rPr>
                  <w:sz w:val="24"/>
                  <w:szCs w:val="22"/>
                </w:rPr>
                <w:t>Europe</w:t>
              </w:r>
            </w:smartTag>
            <w:r w:rsidRPr="000F0EAA">
              <w:rPr>
                <w:sz w:val="24"/>
                <w:szCs w:val="22"/>
              </w:rPr>
              <w:t>. Even the Romans celebrated the end of winter. It was an agricultural festival to cast away the evil spirits and to hope for a plentiful crop for the coming year.</w:t>
            </w:r>
          </w:p>
          <w:p w:rsidR="00606C9D" w:rsidRPr="000F0EAA" w:rsidRDefault="00606C9D" w:rsidP="000F0EAA">
            <w:pPr>
              <w:widowControl w:val="0"/>
              <w:rPr>
                <w:sz w:val="24"/>
                <w:szCs w:val="22"/>
              </w:rPr>
            </w:pPr>
            <w:r w:rsidRPr="000F0EAA">
              <w:rPr>
                <w:i/>
                <w:sz w:val="24"/>
                <w:szCs w:val="22"/>
              </w:rPr>
              <w:t>Carnevale</w:t>
            </w:r>
            <w:r w:rsidRPr="000F0EAA">
              <w:rPr>
                <w:sz w:val="24"/>
                <w:szCs w:val="22"/>
              </w:rPr>
              <w:t xml:space="preserve"> is celebrated around the world 40 days before Easter — a final party before Ash Wednesday and Lent. </w:t>
            </w:r>
            <w:r w:rsidR="00CB5A41" w:rsidRPr="000F0EAA">
              <w:rPr>
                <w:sz w:val="24"/>
                <w:szCs w:val="22"/>
              </w:rPr>
              <w:t>As</w:t>
            </w:r>
            <w:r w:rsidRPr="000F0EAA">
              <w:rPr>
                <w:sz w:val="24"/>
                <w:szCs w:val="22"/>
              </w:rPr>
              <w:t xml:space="preserve"> the date of Easter changes yearly, so does the date for </w:t>
            </w:r>
            <w:r w:rsidRPr="000F0EAA">
              <w:rPr>
                <w:i/>
                <w:sz w:val="24"/>
                <w:szCs w:val="22"/>
              </w:rPr>
              <w:t>Carnevale</w:t>
            </w:r>
            <w:r w:rsidRPr="000F0EAA">
              <w:rPr>
                <w:sz w:val="24"/>
                <w:szCs w:val="22"/>
              </w:rPr>
              <w:t>, but it usually falls in February or early March.</w:t>
            </w:r>
          </w:p>
          <w:p w:rsidR="00606C9D" w:rsidRPr="000F0EAA" w:rsidRDefault="00606C9D" w:rsidP="000F0EAA">
            <w:pPr>
              <w:widowControl w:val="0"/>
              <w:rPr>
                <w:sz w:val="24"/>
                <w:szCs w:val="22"/>
              </w:rPr>
            </w:pPr>
            <w:r w:rsidRPr="000F0EAA">
              <w:rPr>
                <w:sz w:val="24"/>
                <w:szCs w:val="22"/>
              </w:rPr>
              <w:t xml:space="preserve">The word </w:t>
            </w:r>
            <w:r w:rsidRPr="000F0EAA">
              <w:rPr>
                <w:i/>
                <w:sz w:val="24"/>
                <w:szCs w:val="22"/>
              </w:rPr>
              <w:t>Carnevale</w:t>
            </w:r>
            <w:r w:rsidRPr="000F0EAA">
              <w:rPr>
                <w:sz w:val="24"/>
                <w:szCs w:val="22"/>
              </w:rPr>
              <w:t xml:space="preserve"> is derived from the Latin </w:t>
            </w:r>
            <w:r w:rsidRPr="000F0EAA">
              <w:rPr>
                <w:i/>
                <w:sz w:val="24"/>
                <w:szCs w:val="22"/>
              </w:rPr>
              <w:t>carnem levare</w:t>
            </w:r>
            <w:r w:rsidR="00416910" w:rsidRPr="000F0EAA">
              <w:rPr>
                <w:sz w:val="24"/>
                <w:szCs w:val="22"/>
              </w:rPr>
              <w:t>,</w:t>
            </w:r>
            <w:r w:rsidRPr="000F0EAA">
              <w:rPr>
                <w:sz w:val="24"/>
                <w:szCs w:val="22"/>
              </w:rPr>
              <w:t xml:space="preserve"> which means to abstain from meat.</w:t>
            </w:r>
          </w:p>
          <w:p w:rsidR="00606C9D" w:rsidRPr="000F0EAA" w:rsidRDefault="00606C9D" w:rsidP="000F0EAA">
            <w:pPr>
              <w:widowControl w:val="0"/>
              <w:rPr>
                <w:sz w:val="24"/>
                <w:szCs w:val="22"/>
              </w:rPr>
            </w:pPr>
            <w:r w:rsidRPr="000F0EAA">
              <w:rPr>
                <w:sz w:val="24"/>
                <w:szCs w:val="22"/>
              </w:rPr>
              <w:t xml:space="preserve">At this time of the year people in cities and villages celebrate </w:t>
            </w:r>
            <w:r w:rsidRPr="000F0EAA">
              <w:rPr>
                <w:i/>
                <w:sz w:val="24"/>
                <w:szCs w:val="22"/>
              </w:rPr>
              <w:t>Carnevale</w:t>
            </w:r>
            <w:r w:rsidRPr="000F0EAA">
              <w:rPr>
                <w:sz w:val="24"/>
                <w:szCs w:val="22"/>
              </w:rPr>
              <w:t xml:space="preserve"> and have fun with much dancing, singing, eating, drinking as well as playing tricks on others. In </w:t>
            </w:r>
            <w:smartTag w:uri="urn:schemas-microsoft-com:office:smarttags" w:element="place">
              <w:smartTag w:uri="urn:schemas-microsoft-com:office:smarttags" w:element="country-region">
                <w:r w:rsidRPr="000F0EAA">
                  <w:rPr>
                    <w:sz w:val="24"/>
                    <w:szCs w:val="22"/>
                  </w:rPr>
                  <w:t>Italy</w:t>
                </w:r>
              </w:smartTag>
            </w:smartTag>
            <w:r w:rsidRPr="000F0EAA">
              <w:rPr>
                <w:sz w:val="24"/>
                <w:szCs w:val="22"/>
              </w:rPr>
              <w:t xml:space="preserve"> there is a saying that goes like this: “</w:t>
            </w:r>
            <w:r w:rsidRPr="000F0EAA">
              <w:rPr>
                <w:i/>
                <w:sz w:val="24"/>
                <w:szCs w:val="22"/>
              </w:rPr>
              <w:t>A Carnevale Ogni Scherzo Vale!</w:t>
            </w:r>
            <w:r w:rsidRPr="000F0EAA">
              <w:rPr>
                <w:sz w:val="24"/>
                <w:szCs w:val="22"/>
              </w:rPr>
              <w:t xml:space="preserve">” It simply means that during the celebration of </w:t>
            </w:r>
            <w:r w:rsidRPr="000F0EAA">
              <w:rPr>
                <w:i/>
                <w:sz w:val="24"/>
                <w:szCs w:val="22"/>
              </w:rPr>
              <w:t>Carnevale,</w:t>
            </w:r>
            <w:r w:rsidRPr="000F0EAA">
              <w:rPr>
                <w:sz w:val="24"/>
                <w:szCs w:val="22"/>
              </w:rPr>
              <w:t xml:space="preserve"> any trick is allowed.</w:t>
            </w:r>
          </w:p>
          <w:p w:rsidR="00606C9D" w:rsidRPr="000F0EAA" w:rsidRDefault="00606C9D" w:rsidP="000F0EAA">
            <w:pPr>
              <w:widowControl w:val="0"/>
              <w:rPr>
                <w:sz w:val="24"/>
                <w:szCs w:val="22"/>
              </w:rPr>
            </w:pPr>
            <w:r w:rsidRPr="000F0EAA">
              <w:rPr>
                <w:sz w:val="24"/>
                <w:szCs w:val="22"/>
              </w:rPr>
              <w:t xml:space="preserve">One of the characteristics of </w:t>
            </w:r>
            <w:r w:rsidRPr="000F0EAA">
              <w:rPr>
                <w:i/>
                <w:sz w:val="24"/>
                <w:szCs w:val="22"/>
              </w:rPr>
              <w:t>Carnevale</w:t>
            </w:r>
            <w:r w:rsidRPr="000F0EAA">
              <w:rPr>
                <w:sz w:val="24"/>
                <w:szCs w:val="22"/>
              </w:rPr>
              <w:t xml:space="preserve"> is to break away from the monotony of daily routine. Everyone can choose to become someone else: the poor can dress up as kings, women can dress up as men, men as women and so on. For this reason, masks</w:t>
            </w:r>
            <w:r w:rsidR="00CB5A41" w:rsidRPr="000F0EAA">
              <w:rPr>
                <w:sz w:val="24"/>
                <w:szCs w:val="22"/>
              </w:rPr>
              <w:t xml:space="preserve"> (</w:t>
            </w:r>
            <w:r w:rsidRPr="000F0EAA">
              <w:rPr>
                <w:i/>
                <w:iCs/>
                <w:sz w:val="24"/>
                <w:szCs w:val="22"/>
              </w:rPr>
              <w:t>maschere</w:t>
            </w:r>
            <w:r w:rsidR="00CB5A41" w:rsidRPr="000F0EAA">
              <w:rPr>
                <w:i/>
                <w:iCs/>
                <w:sz w:val="24"/>
                <w:szCs w:val="22"/>
              </w:rPr>
              <w:t>)</w:t>
            </w:r>
            <w:r w:rsidRPr="000F0EAA">
              <w:rPr>
                <w:sz w:val="24"/>
                <w:szCs w:val="22"/>
              </w:rPr>
              <w:t xml:space="preserve"> are an important part of the festival, as they allow people to pretend to become someone else. </w:t>
            </w:r>
          </w:p>
          <w:p w:rsidR="00606C9D" w:rsidRPr="000F0EAA" w:rsidRDefault="00606C9D" w:rsidP="000F0EAA">
            <w:pPr>
              <w:widowControl w:val="0"/>
              <w:rPr>
                <w:sz w:val="24"/>
                <w:szCs w:val="22"/>
              </w:rPr>
            </w:pPr>
            <w:r w:rsidRPr="000F0EAA">
              <w:rPr>
                <w:sz w:val="24"/>
                <w:szCs w:val="22"/>
              </w:rPr>
              <w:t xml:space="preserve">At </w:t>
            </w:r>
            <w:r w:rsidRPr="000F0EAA">
              <w:rPr>
                <w:i/>
                <w:sz w:val="24"/>
                <w:szCs w:val="22"/>
              </w:rPr>
              <w:t>Carnevale</w:t>
            </w:r>
            <w:r w:rsidRPr="000F0EAA">
              <w:rPr>
                <w:sz w:val="24"/>
                <w:szCs w:val="22"/>
              </w:rPr>
              <w:t xml:space="preserve">, young and old dress up to have fun. Some copy fairytale characters while others dress up as famous characters from </w:t>
            </w:r>
            <w:r w:rsidRPr="000F0EAA">
              <w:rPr>
                <w:i/>
                <w:sz w:val="24"/>
                <w:szCs w:val="22"/>
              </w:rPr>
              <w:t>La Commedia Dell’Arte</w:t>
            </w:r>
            <w:r w:rsidRPr="000F0EAA">
              <w:rPr>
                <w:sz w:val="24"/>
                <w:szCs w:val="22"/>
              </w:rPr>
              <w:t xml:space="preserve">, an early form of theatre popular in </w:t>
            </w:r>
            <w:smartTag w:uri="urn:schemas-microsoft-com:office:smarttags" w:element="country-region">
              <w:smartTag w:uri="urn:schemas-microsoft-com:office:smarttags" w:element="place">
                <w:r w:rsidRPr="000F0EAA">
                  <w:rPr>
                    <w:sz w:val="24"/>
                    <w:szCs w:val="22"/>
                  </w:rPr>
                  <w:t>Italy</w:t>
                </w:r>
              </w:smartTag>
            </w:smartTag>
            <w:r w:rsidRPr="000F0EAA">
              <w:rPr>
                <w:sz w:val="24"/>
                <w:szCs w:val="22"/>
              </w:rPr>
              <w:t xml:space="preserve"> from 1550 to 1650. Some of its main characters were </w:t>
            </w:r>
            <w:r w:rsidRPr="000F0EAA">
              <w:rPr>
                <w:i/>
                <w:sz w:val="24"/>
                <w:szCs w:val="22"/>
              </w:rPr>
              <w:t>Arlecchino</w:t>
            </w:r>
            <w:r w:rsidRPr="000F0EAA">
              <w:rPr>
                <w:sz w:val="24"/>
                <w:szCs w:val="22"/>
              </w:rPr>
              <w:t xml:space="preserve">, </w:t>
            </w:r>
            <w:r w:rsidRPr="000F0EAA">
              <w:rPr>
                <w:i/>
                <w:sz w:val="24"/>
                <w:szCs w:val="22"/>
              </w:rPr>
              <w:t>Colombina,</w:t>
            </w:r>
            <w:r w:rsidRPr="000F0EAA">
              <w:rPr>
                <w:sz w:val="24"/>
                <w:szCs w:val="22"/>
              </w:rPr>
              <w:t xml:space="preserve"> </w:t>
            </w:r>
            <w:r w:rsidRPr="000F0EAA">
              <w:rPr>
                <w:i/>
                <w:sz w:val="24"/>
                <w:szCs w:val="22"/>
              </w:rPr>
              <w:t>Pantalone, Dottor Balanzone</w:t>
            </w:r>
            <w:r w:rsidRPr="000F0EAA">
              <w:rPr>
                <w:sz w:val="24"/>
                <w:szCs w:val="22"/>
              </w:rPr>
              <w:t xml:space="preserve">, </w:t>
            </w:r>
            <w:r w:rsidRPr="000F0EAA">
              <w:rPr>
                <w:i/>
                <w:sz w:val="24"/>
                <w:szCs w:val="22"/>
              </w:rPr>
              <w:t>Pulcinella</w:t>
            </w:r>
            <w:r w:rsidRPr="000F0EAA">
              <w:rPr>
                <w:sz w:val="24"/>
                <w:szCs w:val="22"/>
              </w:rPr>
              <w:t xml:space="preserve"> and </w:t>
            </w:r>
            <w:r w:rsidRPr="000F0EAA">
              <w:rPr>
                <w:i/>
                <w:sz w:val="24"/>
                <w:szCs w:val="22"/>
              </w:rPr>
              <w:t>Brighella.</w:t>
            </w:r>
            <w:r w:rsidRPr="000F0EAA">
              <w:rPr>
                <w:sz w:val="24"/>
                <w:szCs w:val="22"/>
              </w:rPr>
              <w:t xml:space="preserve"> During </w:t>
            </w:r>
            <w:r w:rsidRPr="000F0EAA">
              <w:rPr>
                <w:i/>
                <w:sz w:val="24"/>
                <w:szCs w:val="22"/>
              </w:rPr>
              <w:t>Carnevale</w:t>
            </w:r>
            <w:r w:rsidRPr="000F0EAA">
              <w:rPr>
                <w:sz w:val="24"/>
                <w:szCs w:val="22"/>
              </w:rPr>
              <w:t xml:space="preserve"> some people prefer to masquerade as everyday people, as a doctor or a patient, a student or a teacher, or even a politician.</w:t>
            </w:r>
          </w:p>
          <w:p w:rsidR="00606C9D" w:rsidRPr="000F0EAA" w:rsidRDefault="00606C9D" w:rsidP="000F0EAA">
            <w:pPr>
              <w:widowControl w:val="0"/>
              <w:rPr>
                <w:sz w:val="24"/>
                <w:szCs w:val="22"/>
              </w:rPr>
            </w:pPr>
            <w:r w:rsidRPr="000F0EAA">
              <w:rPr>
                <w:sz w:val="24"/>
                <w:szCs w:val="22"/>
              </w:rPr>
              <w:t xml:space="preserve">One of the most splendid carnivals in </w:t>
            </w:r>
            <w:smartTag w:uri="urn:schemas-microsoft-com:office:smarttags" w:element="country-region">
              <w:smartTag w:uri="urn:schemas-microsoft-com:office:smarttags" w:element="place">
                <w:r w:rsidRPr="000F0EAA">
                  <w:rPr>
                    <w:sz w:val="24"/>
                    <w:szCs w:val="22"/>
                  </w:rPr>
                  <w:t>Italy</w:t>
                </w:r>
              </w:smartTag>
            </w:smartTag>
            <w:r w:rsidRPr="000F0EAA">
              <w:rPr>
                <w:sz w:val="24"/>
                <w:szCs w:val="22"/>
              </w:rPr>
              <w:t xml:space="preserve"> is </w:t>
            </w:r>
            <w:r w:rsidRPr="000F0EAA">
              <w:rPr>
                <w:i/>
                <w:sz w:val="24"/>
                <w:szCs w:val="22"/>
              </w:rPr>
              <w:t>the Carnevale di Venezia</w:t>
            </w:r>
            <w:r w:rsidRPr="000F0EAA">
              <w:rPr>
                <w:sz w:val="24"/>
                <w:szCs w:val="22"/>
              </w:rPr>
              <w:t xml:space="preserve">. Piazza San Marco, the main </w:t>
            </w:r>
            <w:smartTag w:uri="urn:schemas-microsoft-com:office:smarttags" w:element="place">
              <w:smartTag w:uri="urn:schemas-microsoft-com:office:smarttags" w:element="PlaceType">
                <w:r w:rsidRPr="000F0EAA">
                  <w:rPr>
                    <w:sz w:val="24"/>
                    <w:szCs w:val="22"/>
                  </w:rPr>
                  <w:t>square</w:t>
                </w:r>
              </w:smartTag>
              <w:r w:rsidRPr="000F0EAA">
                <w:rPr>
                  <w:sz w:val="24"/>
                  <w:szCs w:val="22"/>
                </w:rPr>
                <w:t xml:space="preserve"> of </w:t>
              </w:r>
              <w:smartTag w:uri="urn:schemas-microsoft-com:office:smarttags" w:element="PlaceName">
                <w:r w:rsidRPr="000F0EAA">
                  <w:rPr>
                    <w:sz w:val="24"/>
                    <w:szCs w:val="22"/>
                  </w:rPr>
                  <w:t>Venice</w:t>
                </w:r>
              </w:smartTag>
            </w:smartTag>
            <w:r w:rsidRPr="000F0EAA">
              <w:rPr>
                <w:sz w:val="24"/>
                <w:szCs w:val="22"/>
              </w:rPr>
              <w:t xml:space="preserve">, is transformed into a grand theatre. It is here that the masked characters assemble, as they are the protagonists of the festival. Some masks recall the past, others the world of fantasy. </w:t>
            </w:r>
            <w:r w:rsidRPr="000F0EAA">
              <w:rPr>
                <w:i/>
                <w:sz w:val="24"/>
                <w:szCs w:val="22"/>
              </w:rPr>
              <w:t>Pantalone</w:t>
            </w:r>
            <w:r w:rsidRPr="000F0EAA">
              <w:rPr>
                <w:sz w:val="24"/>
                <w:szCs w:val="22"/>
              </w:rPr>
              <w:t xml:space="preserve"> and </w:t>
            </w:r>
            <w:r w:rsidRPr="000F0EAA">
              <w:rPr>
                <w:i/>
                <w:sz w:val="24"/>
                <w:szCs w:val="22"/>
              </w:rPr>
              <w:t>Colombina</w:t>
            </w:r>
            <w:r w:rsidRPr="000F0EAA">
              <w:rPr>
                <w:sz w:val="24"/>
                <w:szCs w:val="22"/>
              </w:rPr>
              <w:t xml:space="preserve"> are famous masks created in </w:t>
            </w:r>
            <w:smartTag w:uri="urn:schemas-microsoft-com:office:smarttags" w:element="City">
              <w:smartTag w:uri="urn:schemas-microsoft-com:office:smarttags" w:element="place">
                <w:r w:rsidRPr="000F0EAA">
                  <w:rPr>
                    <w:sz w:val="24"/>
                    <w:szCs w:val="22"/>
                  </w:rPr>
                  <w:t>Venice</w:t>
                </w:r>
              </w:smartTag>
            </w:smartTag>
            <w:r w:rsidRPr="000F0EAA">
              <w:rPr>
                <w:sz w:val="24"/>
                <w:szCs w:val="22"/>
              </w:rPr>
              <w:t>. Every mask has its own characteristic: happy, sad, ironic, melancholic. If one does not wear a mask, one can paint one’s face.</w:t>
            </w:r>
          </w:p>
          <w:p w:rsidR="00606C9D" w:rsidRPr="000F0EAA" w:rsidRDefault="00606C9D" w:rsidP="000F0EAA">
            <w:pPr>
              <w:widowControl w:val="0"/>
              <w:rPr>
                <w:sz w:val="24"/>
                <w:szCs w:val="22"/>
              </w:rPr>
            </w:pPr>
            <w:r w:rsidRPr="000F0EAA">
              <w:rPr>
                <w:sz w:val="24"/>
                <w:szCs w:val="22"/>
              </w:rPr>
              <w:t>A bonfire is lit</w:t>
            </w:r>
            <w:r w:rsidR="00416910" w:rsidRPr="000F0EAA">
              <w:rPr>
                <w:sz w:val="24"/>
                <w:szCs w:val="22"/>
              </w:rPr>
              <w:t>, and at midnight</w:t>
            </w:r>
            <w:r w:rsidRPr="000F0EAA">
              <w:rPr>
                <w:sz w:val="24"/>
                <w:szCs w:val="22"/>
              </w:rPr>
              <w:t xml:space="preserve"> the puppet that represents </w:t>
            </w:r>
            <w:r w:rsidRPr="000F0EAA">
              <w:rPr>
                <w:i/>
                <w:sz w:val="24"/>
                <w:szCs w:val="22"/>
              </w:rPr>
              <w:t>Carnevale</w:t>
            </w:r>
            <w:r w:rsidRPr="000F0EAA">
              <w:rPr>
                <w:sz w:val="24"/>
                <w:szCs w:val="22"/>
              </w:rPr>
              <w:t xml:space="preserve"> is set alight. This puppet is the symbol of the finished year and the toils of winter. By setting it alight, people prepare for the happiness of the new year.</w:t>
            </w:r>
          </w:p>
          <w:p w:rsidR="00606C9D" w:rsidRPr="000F0EAA" w:rsidRDefault="00606C9D" w:rsidP="000F0EAA">
            <w:pPr>
              <w:widowControl w:val="0"/>
              <w:spacing w:before="240" w:after="240"/>
              <w:jc w:val="center"/>
              <w:rPr>
                <w:b/>
                <w:szCs w:val="22"/>
              </w:rPr>
            </w:pPr>
            <w:r w:rsidRPr="000F0EAA">
              <w:rPr>
                <w:b/>
                <w:sz w:val="28"/>
                <w:szCs w:val="22"/>
              </w:rPr>
              <w:t>A Carnevale Ogni Scherzo Vale!</w:t>
            </w:r>
          </w:p>
        </w:tc>
      </w:tr>
    </w:tbl>
    <w:p w:rsidR="00606C9D" w:rsidRPr="00A71CAA" w:rsidRDefault="00606C9D" w:rsidP="00606C9D"/>
    <w:sectPr w:rsidR="00606C9D" w:rsidRPr="00A71CAA" w:rsidSect="00F83B2C">
      <w:headerReference w:type="even" r:id="rId24"/>
      <w:headerReference w:type="default" r:id="rId25"/>
      <w:footerReference w:type="even" r:id="rId26"/>
      <w:footerReference w:type="default" r:id="rId27"/>
      <w:headerReference w:type="first" r:id="rId28"/>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F4" w:rsidRDefault="005A75F4">
      <w:r>
        <w:separator/>
      </w:r>
    </w:p>
    <w:p w:rsidR="005A75F4" w:rsidRDefault="005A75F4"/>
    <w:p w:rsidR="005A75F4" w:rsidRDefault="005A75F4"/>
    <w:p w:rsidR="005A75F4" w:rsidRDefault="005A75F4"/>
    <w:p w:rsidR="005A75F4" w:rsidRDefault="005A75F4"/>
    <w:p w:rsidR="005A75F4" w:rsidRDefault="005A75F4"/>
  </w:endnote>
  <w:endnote w:type="continuationSeparator" w:id="0">
    <w:p w:rsidR="005A75F4" w:rsidRDefault="005A75F4">
      <w:r>
        <w:continuationSeparator/>
      </w:r>
    </w:p>
    <w:p w:rsidR="005A75F4" w:rsidRDefault="005A75F4"/>
    <w:p w:rsidR="005A75F4" w:rsidRDefault="005A75F4"/>
    <w:p w:rsidR="005A75F4" w:rsidRDefault="005A75F4"/>
    <w:p w:rsidR="005A75F4" w:rsidRDefault="005A75F4"/>
    <w:p w:rsidR="005A75F4" w:rsidRDefault="005A7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D84091" w:rsidP="00C20914">
    <w:pPr>
      <w:pStyle w:val="Footereven"/>
    </w:pPr>
    <w:r w:rsidRPr="00EA7134">
      <w:fldChar w:fldCharType="begin"/>
    </w:r>
    <w:r w:rsidRPr="00EA7134">
      <w:instrText xml:space="preserve">PAGE  </w:instrText>
    </w:r>
    <w:r w:rsidRPr="00EA7134">
      <w:fldChar w:fldCharType="separate"/>
    </w:r>
    <w:r w:rsidR="003D7864">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D84091" w:rsidP="00C20914">
    <w:pPr>
      <w:pStyle w:val="Footerodd"/>
    </w:pPr>
    <w:r>
      <w:fldChar w:fldCharType="begin"/>
    </w:r>
    <w:r>
      <w:instrText xml:space="preserve">PAGE  </w:instrText>
    </w:r>
    <w:r>
      <w:fldChar w:fldCharType="separate"/>
    </w:r>
    <w:r w:rsidR="002719ED">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007EC6" w:rsidRPr="0090603A" w:rsidTr="00007EC6">
      <w:trPr>
        <w:cantSplit/>
        <w:trHeight w:hRule="exact" w:val="1043"/>
        <w:jc w:val="right"/>
      </w:trPr>
      <w:tc>
        <w:tcPr>
          <w:tcW w:w="1814" w:type="dxa"/>
          <w:tcBorders>
            <w:top w:val="nil"/>
            <w:left w:val="nil"/>
            <w:bottom w:val="nil"/>
            <w:right w:val="nil"/>
          </w:tcBorders>
          <w:vAlign w:val="bottom"/>
        </w:tcPr>
        <w:p w:rsidR="00007EC6" w:rsidRPr="00784506" w:rsidRDefault="00007EC6" w:rsidP="00007EC6"/>
      </w:tc>
      <w:tc>
        <w:tcPr>
          <w:tcW w:w="5081" w:type="dxa"/>
          <w:tcBorders>
            <w:top w:val="nil"/>
            <w:left w:val="nil"/>
            <w:bottom w:val="nil"/>
            <w:right w:val="nil"/>
          </w:tcBorders>
          <w:shd w:val="clear" w:color="auto" w:fill="auto"/>
          <w:vAlign w:val="bottom"/>
        </w:tcPr>
        <w:p w:rsidR="00007EC6" w:rsidRPr="008E0974" w:rsidRDefault="00007EC6" w:rsidP="00007EC6">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007EC6" w:rsidRPr="0090603A" w:rsidRDefault="003D7864" w:rsidP="00007EC6">
          <w:pPr>
            <w:pStyle w:val="Footer"/>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007EC6" w:rsidRPr="0054418E" w:rsidRDefault="00007EC6" w:rsidP="00007EC6">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Pr="00A71CAA" w:rsidRDefault="00D84091"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D84091"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F4" w:rsidRDefault="005A75F4">
      <w:r>
        <w:separator/>
      </w:r>
    </w:p>
    <w:p w:rsidR="005A75F4" w:rsidRDefault="005A75F4"/>
    <w:p w:rsidR="005A75F4" w:rsidRDefault="005A75F4"/>
    <w:p w:rsidR="005A75F4" w:rsidRDefault="005A75F4"/>
    <w:p w:rsidR="005A75F4" w:rsidRDefault="005A75F4"/>
    <w:p w:rsidR="005A75F4" w:rsidRDefault="005A75F4"/>
  </w:footnote>
  <w:footnote w:type="continuationSeparator" w:id="0">
    <w:p w:rsidR="005A75F4" w:rsidRDefault="005A75F4">
      <w:r>
        <w:continuationSeparator/>
      </w:r>
    </w:p>
    <w:p w:rsidR="005A75F4" w:rsidRDefault="005A75F4"/>
    <w:p w:rsidR="005A75F4" w:rsidRDefault="005A75F4"/>
    <w:p w:rsidR="005A75F4" w:rsidRDefault="005A75F4"/>
    <w:p w:rsidR="005A75F4" w:rsidRDefault="005A75F4"/>
    <w:p w:rsidR="005A75F4" w:rsidRDefault="005A75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D84091"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Pr="00F8284E" w:rsidRDefault="00D84091" w:rsidP="00F8284E">
    <w:pPr>
      <w:pStyle w:val="Headerright"/>
    </w:pPr>
    <w:r>
      <w:t>Beginner Years 6–8</w:t>
    </w:r>
    <w:r w:rsidRPr="006A061D">
      <w:t xml:space="preserve"> </w:t>
    </w:r>
    <w:r>
      <w:t xml:space="preserve">Languages — Italian: Community celebrations </w:t>
    </w:r>
    <w:r>
      <w:rPr>
        <w:rFonts w:cs="Arial"/>
      </w:rPr>
      <w:t xml:space="preserve">— </w:t>
    </w:r>
    <w:r>
      <w:t>Carnevale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3D7864">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Pr="00A71CAA" w:rsidRDefault="00D84091" w:rsidP="0095528E">
    <w:pPr>
      <w:pStyle w:val="Headerleft"/>
    </w:pPr>
    <w:r w:rsidRPr="00A71CAA">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Pr="002F45D0" w:rsidRDefault="00D84091" w:rsidP="003A5656">
    <w:pPr>
      <w:pStyle w:val="Headerleft"/>
      <w:rPr>
        <w:lang w:val="en-US"/>
      </w:rPr>
    </w:pPr>
    <w:r>
      <w:rPr>
        <w:lang w:val="en-US"/>
      </w:rPr>
      <w:t xml:space="preserve">Appendix </w:t>
    </w:r>
    <w:r>
      <w:fldChar w:fldCharType="begin"/>
    </w:r>
    <w:r>
      <w:instrText xml:space="preserve"> PAGE </w:instrText>
    </w:r>
    <w:r>
      <w:fldChar w:fldCharType="separate"/>
    </w:r>
    <w:r>
      <w:rPr>
        <w:noProof/>
      </w:rPr>
      <w:t>C</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1" w:rsidRDefault="00D840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E940493"/>
    <w:multiLevelType w:val="hybridMultilevel"/>
    <w:tmpl w:val="8FD44EAA"/>
    <w:lvl w:ilvl="0" w:tplc="EBC80792">
      <w:start w:val="1"/>
      <w:numFmt w:val="bullet"/>
      <w:lvlText w:val=""/>
      <w:lvlJc w:val="left"/>
      <w:pPr>
        <w:tabs>
          <w:tab w:val="num" w:pos="431"/>
        </w:tabs>
        <w:ind w:left="43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20"/>
  </w:num>
  <w:num w:numId="12">
    <w:abstractNumId w:val="17"/>
  </w:num>
  <w:num w:numId="13">
    <w:abstractNumId w:val="8"/>
  </w:num>
  <w:num w:numId="14">
    <w:abstractNumId w:val="10"/>
  </w:num>
  <w:num w:numId="15">
    <w:abstractNumId w:val="22"/>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3"/>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2B"/>
    <w:rsid w:val="000022FF"/>
    <w:rsid w:val="00003280"/>
    <w:rsid w:val="000040CE"/>
    <w:rsid w:val="000043A4"/>
    <w:rsid w:val="00007DBF"/>
    <w:rsid w:val="00007EC6"/>
    <w:rsid w:val="00025E77"/>
    <w:rsid w:val="00026548"/>
    <w:rsid w:val="0004134C"/>
    <w:rsid w:val="00042BF3"/>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C6165"/>
    <w:rsid w:val="000D2039"/>
    <w:rsid w:val="000D6A12"/>
    <w:rsid w:val="000E0E12"/>
    <w:rsid w:val="000E3AB2"/>
    <w:rsid w:val="000E4E18"/>
    <w:rsid w:val="000E6EA3"/>
    <w:rsid w:val="000F0DAD"/>
    <w:rsid w:val="000F0EAA"/>
    <w:rsid w:val="000F52B5"/>
    <w:rsid w:val="000F5EF5"/>
    <w:rsid w:val="001019F0"/>
    <w:rsid w:val="00101CF6"/>
    <w:rsid w:val="00102ECC"/>
    <w:rsid w:val="001040A6"/>
    <w:rsid w:val="001103BE"/>
    <w:rsid w:val="00120E4C"/>
    <w:rsid w:val="00123E4E"/>
    <w:rsid w:val="001247D8"/>
    <w:rsid w:val="00127A14"/>
    <w:rsid w:val="00130EFC"/>
    <w:rsid w:val="00132BC2"/>
    <w:rsid w:val="001334D4"/>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28"/>
    <w:rsid w:val="001971C2"/>
    <w:rsid w:val="001C4D23"/>
    <w:rsid w:val="001C5BD9"/>
    <w:rsid w:val="001D0614"/>
    <w:rsid w:val="001D07D3"/>
    <w:rsid w:val="001E43BD"/>
    <w:rsid w:val="001F0901"/>
    <w:rsid w:val="00205805"/>
    <w:rsid w:val="00207534"/>
    <w:rsid w:val="00210015"/>
    <w:rsid w:val="00216C2B"/>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19ED"/>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2F70D8"/>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4ACE"/>
    <w:rsid w:val="0039605F"/>
    <w:rsid w:val="003A0CE3"/>
    <w:rsid w:val="003A0EF4"/>
    <w:rsid w:val="003A1874"/>
    <w:rsid w:val="003A5656"/>
    <w:rsid w:val="003A5964"/>
    <w:rsid w:val="003B310F"/>
    <w:rsid w:val="003B3B98"/>
    <w:rsid w:val="003C105A"/>
    <w:rsid w:val="003C1342"/>
    <w:rsid w:val="003C1DE1"/>
    <w:rsid w:val="003C302E"/>
    <w:rsid w:val="003C61E5"/>
    <w:rsid w:val="003C702A"/>
    <w:rsid w:val="003D2EEC"/>
    <w:rsid w:val="003D7864"/>
    <w:rsid w:val="003E105B"/>
    <w:rsid w:val="003E217B"/>
    <w:rsid w:val="003E33A5"/>
    <w:rsid w:val="003E3A3A"/>
    <w:rsid w:val="003E500C"/>
    <w:rsid w:val="003E7321"/>
    <w:rsid w:val="003F089F"/>
    <w:rsid w:val="003F5E8A"/>
    <w:rsid w:val="00401457"/>
    <w:rsid w:val="00401ECF"/>
    <w:rsid w:val="004112EA"/>
    <w:rsid w:val="00411E67"/>
    <w:rsid w:val="00416910"/>
    <w:rsid w:val="00416BAF"/>
    <w:rsid w:val="004172A0"/>
    <w:rsid w:val="00421645"/>
    <w:rsid w:val="00422C81"/>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2E24"/>
    <w:rsid w:val="004C3EC8"/>
    <w:rsid w:val="004D20E9"/>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2DB9"/>
    <w:rsid w:val="00565216"/>
    <w:rsid w:val="00574599"/>
    <w:rsid w:val="005759C7"/>
    <w:rsid w:val="00575DED"/>
    <w:rsid w:val="00577012"/>
    <w:rsid w:val="00577F68"/>
    <w:rsid w:val="00585563"/>
    <w:rsid w:val="005A0AA4"/>
    <w:rsid w:val="005A1C09"/>
    <w:rsid w:val="005A52BC"/>
    <w:rsid w:val="005A7039"/>
    <w:rsid w:val="005A75F4"/>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06C9D"/>
    <w:rsid w:val="00612547"/>
    <w:rsid w:val="00612611"/>
    <w:rsid w:val="0062663E"/>
    <w:rsid w:val="00630422"/>
    <w:rsid w:val="00635253"/>
    <w:rsid w:val="00636670"/>
    <w:rsid w:val="006423C7"/>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A026B"/>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1F79"/>
    <w:rsid w:val="00753936"/>
    <w:rsid w:val="00764F67"/>
    <w:rsid w:val="00770160"/>
    <w:rsid w:val="00781794"/>
    <w:rsid w:val="007825B7"/>
    <w:rsid w:val="0078406C"/>
    <w:rsid w:val="00784611"/>
    <w:rsid w:val="007856A2"/>
    <w:rsid w:val="00791530"/>
    <w:rsid w:val="0079630D"/>
    <w:rsid w:val="007A04D1"/>
    <w:rsid w:val="007A1D95"/>
    <w:rsid w:val="007A43AE"/>
    <w:rsid w:val="007B2CAD"/>
    <w:rsid w:val="007C17CD"/>
    <w:rsid w:val="007C2383"/>
    <w:rsid w:val="007C2427"/>
    <w:rsid w:val="007C4A0C"/>
    <w:rsid w:val="007C4A1E"/>
    <w:rsid w:val="007E3A33"/>
    <w:rsid w:val="007E7600"/>
    <w:rsid w:val="007E7767"/>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0D41"/>
    <w:rsid w:val="00834B4C"/>
    <w:rsid w:val="00847FE7"/>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4E95"/>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5528E"/>
    <w:rsid w:val="009611E2"/>
    <w:rsid w:val="00961B9F"/>
    <w:rsid w:val="009624E3"/>
    <w:rsid w:val="009635B3"/>
    <w:rsid w:val="00964264"/>
    <w:rsid w:val="00964AFA"/>
    <w:rsid w:val="00971609"/>
    <w:rsid w:val="0097215D"/>
    <w:rsid w:val="00972963"/>
    <w:rsid w:val="009738DE"/>
    <w:rsid w:val="0098016C"/>
    <w:rsid w:val="009809B4"/>
    <w:rsid w:val="009814CC"/>
    <w:rsid w:val="00986690"/>
    <w:rsid w:val="00987A0A"/>
    <w:rsid w:val="00987DE1"/>
    <w:rsid w:val="009935D7"/>
    <w:rsid w:val="009A1A6E"/>
    <w:rsid w:val="009B7248"/>
    <w:rsid w:val="009C02F6"/>
    <w:rsid w:val="009C23EB"/>
    <w:rsid w:val="009C2FE1"/>
    <w:rsid w:val="009C3444"/>
    <w:rsid w:val="009C5022"/>
    <w:rsid w:val="009D15D5"/>
    <w:rsid w:val="009E1352"/>
    <w:rsid w:val="009F0A5B"/>
    <w:rsid w:val="009F1EAE"/>
    <w:rsid w:val="009F4C61"/>
    <w:rsid w:val="00A004E1"/>
    <w:rsid w:val="00A059D7"/>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3F8B"/>
    <w:rsid w:val="00A652E4"/>
    <w:rsid w:val="00A67D85"/>
    <w:rsid w:val="00A705F2"/>
    <w:rsid w:val="00A70DDA"/>
    <w:rsid w:val="00A71CA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6F0"/>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4785"/>
    <w:rsid w:val="00C158C1"/>
    <w:rsid w:val="00C20914"/>
    <w:rsid w:val="00C23AF2"/>
    <w:rsid w:val="00C3021B"/>
    <w:rsid w:val="00C34701"/>
    <w:rsid w:val="00C36344"/>
    <w:rsid w:val="00C400C7"/>
    <w:rsid w:val="00C42C54"/>
    <w:rsid w:val="00C45A79"/>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5A41"/>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126D1"/>
    <w:rsid w:val="00D25A86"/>
    <w:rsid w:val="00D27992"/>
    <w:rsid w:val="00D32A2C"/>
    <w:rsid w:val="00D43526"/>
    <w:rsid w:val="00D43BC1"/>
    <w:rsid w:val="00D442BF"/>
    <w:rsid w:val="00D52EC3"/>
    <w:rsid w:val="00D566E3"/>
    <w:rsid w:val="00D56D88"/>
    <w:rsid w:val="00D57E32"/>
    <w:rsid w:val="00D61E66"/>
    <w:rsid w:val="00D6560C"/>
    <w:rsid w:val="00D66A63"/>
    <w:rsid w:val="00D71223"/>
    <w:rsid w:val="00D82FD6"/>
    <w:rsid w:val="00D84091"/>
    <w:rsid w:val="00DA3EA2"/>
    <w:rsid w:val="00DA483D"/>
    <w:rsid w:val="00DA60AF"/>
    <w:rsid w:val="00DA612D"/>
    <w:rsid w:val="00DB0CB9"/>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275E"/>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355A"/>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E0587"/>
    <w:rsid w:val="00EE42D2"/>
    <w:rsid w:val="00EE5D2C"/>
    <w:rsid w:val="00EF0769"/>
    <w:rsid w:val="00EF26B5"/>
    <w:rsid w:val="00EF3318"/>
    <w:rsid w:val="00EF6E26"/>
    <w:rsid w:val="00F07104"/>
    <w:rsid w:val="00F125B0"/>
    <w:rsid w:val="00F22F83"/>
    <w:rsid w:val="00F26AC6"/>
    <w:rsid w:val="00F27946"/>
    <w:rsid w:val="00F27DFD"/>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75B03"/>
    <w:rsid w:val="00F80C7B"/>
    <w:rsid w:val="00F82568"/>
    <w:rsid w:val="00F8284E"/>
    <w:rsid w:val="00F83B2C"/>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B2F1E-B9BD-4D57-AC15-C3D20C36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1806F4-5686-431E-A360-50F5604F9E8D}">
  <ds:schemaRefs>
    <ds:schemaRef ds:uri="http://schemas.microsoft.com/sharepoint/v3/contenttype/forms"/>
  </ds:schemaRefs>
</ds:datastoreItem>
</file>

<file path=customXml/itemProps3.xml><?xml version="1.0" encoding="utf-8"?>
<ds:datastoreItem xmlns:ds="http://schemas.openxmlformats.org/officeDocument/2006/customXml" ds:itemID="{5AFE54A8-4F64-4FF2-868F-47F2326F94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Year 6–8 Languages assessment teacher guidelines | Community celebrations — Carnevale – Italian | Queensland Essential Learnings and Standards</vt:lpstr>
    </vt:vector>
  </TitlesOfParts>
  <Company>Queensland Studies Authority</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6-8 Languages assessment teacher guidelines | Community celebrations - Carnevale - Italian | Queensland Essential Learnings and Standards</dc:title>
  <dc:subject/>
  <dc:creator>Queensland Studies Authority</dc:creator>
  <cp:keywords/>
  <dc:description>Students investigate the Italian festival Carnevale to develop language skills in Italian.</dc:description>
  <cp:lastModifiedBy>QSA</cp:lastModifiedBy>
  <cp:revision>2</cp:revision>
  <cp:lastPrinted>2009-06-09T00:49:00Z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