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A466C2" w:rsidP="005213F2">
      <w:pPr>
        <w:pStyle w:val="Heading1TOP"/>
        <w:tabs>
          <w:tab w:val="right" w:pos="14520"/>
        </w:tabs>
      </w:pPr>
      <w:bookmarkStart w:id="0" w:name="_GoBack"/>
      <w:bookmarkEnd w:id="0"/>
      <w:r>
        <w:t>Year 6</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A11DE9">
        <w:rPr>
          <w:i/>
        </w:rPr>
        <w:t>3</w:t>
      </w:r>
      <w:r w:rsidR="00601796">
        <w:rPr>
          <w:i/>
        </w:rPr>
        <w:t>.0</w:t>
      </w:r>
      <w:r w:rsidRPr="007A7FF0">
        <w:rPr>
          <w:i/>
        </w:rPr>
        <w:t>: Science for Foundation–10</w:t>
      </w:r>
      <w:r w:rsidR="003B6143">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A466C2" w:rsidRPr="00BC1996" w:rsidTr="005213F2">
        <w:trPr>
          <w:jc w:val="center"/>
        </w:trPr>
        <w:tc>
          <w:tcPr>
            <w:tcW w:w="1208" w:type="pct"/>
            <w:shd w:val="clear" w:color="auto" w:fill="auto"/>
          </w:tcPr>
          <w:p w:rsidR="00A466C2" w:rsidRPr="00C4703A" w:rsidRDefault="00A466C2" w:rsidP="00DD102B">
            <w:pPr>
              <w:pStyle w:val="Tabletext"/>
            </w:pPr>
            <w:r>
              <w:t>Our School</w:t>
            </w:r>
          </w:p>
        </w:tc>
        <w:tc>
          <w:tcPr>
            <w:tcW w:w="2572" w:type="pct"/>
            <w:shd w:val="clear" w:color="auto" w:fill="auto"/>
          </w:tcPr>
          <w:p w:rsidR="00A466C2" w:rsidRPr="00C4703A" w:rsidRDefault="00A466C2" w:rsidP="00DD102B">
            <w:pPr>
              <w:pStyle w:val="Tabletext"/>
            </w:pPr>
            <w:r>
              <w:t>Our changing world</w:t>
            </w:r>
          </w:p>
        </w:tc>
        <w:tc>
          <w:tcPr>
            <w:tcW w:w="1220" w:type="pct"/>
            <w:shd w:val="clear" w:color="auto" w:fill="auto"/>
          </w:tcPr>
          <w:p w:rsidR="00A466C2" w:rsidRPr="00B549BE" w:rsidRDefault="00A466C2" w:rsidP="00DD102B">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A466C2" w:rsidRPr="00A466C2" w:rsidRDefault="00A466C2" w:rsidP="00A466C2">
            <w:pPr>
              <w:spacing w:before="40" w:after="40" w:line="220" w:lineRule="atLeast"/>
              <w:rPr>
                <w:sz w:val="20"/>
                <w:u w:val="single"/>
              </w:rPr>
            </w:pPr>
            <w:r w:rsidRPr="00A466C2">
              <w:rPr>
                <w:sz w:val="20"/>
              </w:rPr>
              <w:t>Students develop the view of Earth as a dynamic system, in which changes to one aspect of the system impact on other aspects. They explore sudden geological changes and extreme weather conditions that can affect the Earth’s surface and investigate ways in which scientific understanding can assist in early detection of natural disasters and in minimising their impact. They recognise that science can inform choices about where people live and how they manage natural disasters.</w:t>
            </w:r>
          </w:p>
          <w:p w:rsidR="00A466C2" w:rsidRPr="00A466C2" w:rsidRDefault="00A466C2" w:rsidP="00A466C2">
            <w:pPr>
              <w:spacing w:before="40" w:after="40" w:line="220" w:lineRule="atLeast"/>
              <w:rPr>
                <w:sz w:val="20"/>
              </w:rPr>
            </w:pPr>
            <w:r w:rsidRPr="00A466C2">
              <w:rPr>
                <w:sz w:val="20"/>
              </w:rPr>
              <w:t>Questions that shape the inquiry include:</w:t>
            </w:r>
          </w:p>
          <w:p w:rsidR="00A466C2" w:rsidRPr="00A466C2" w:rsidRDefault="00A466C2" w:rsidP="00A466C2">
            <w:pPr>
              <w:pStyle w:val="Tablebullets"/>
              <w:ind w:left="283" w:hanging="283"/>
            </w:pPr>
            <w:r w:rsidRPr="00A466C2">
              <w:t>What are examples of sudden geological changes? What are examples of extreme weather conditions?</w:t>
            </w:r>
          </w:p>
          <w:p w:rsidR="00A466C2" w:rsidRPr="00A466C2" w:rsidRDefault="00A466C2" w:rsidP="00A466C2">
            <w:pPr>
              <w:pStyle w:val="Tablebullets"/>
              <w:ind w:left="283" w:hanging="283"/>
            </w:pPr>
            <w:r w:rsidRPr="00A466C2">
              <w:t>How do extreme weather conditions affect Earth’s surface?</w:t>
            </w:r>
          </w:p>
          <w:p w:rsidR="00A466C2" w:rsidRPr="00A466C2" w:rsidRDefault="00A466C2" w:rsidP="00A466C2">
            <w:pPr>
              <w:pStyle w:val="Tablebullets"/>
              <w:ind w:left="283" w:hanging="283"/>
            </w:pPr>
            <w:r w:rsidRPr="00A466C2">
              <w:t>What are the causes and what are the effects of sudden geological changes on Earth’s surface?</w:t>
            </w:r>
          </w:p>
          <w:p w:rsidR="00A466C2" w:rsidRPr="00A466C2" w:rsidRDefault="00A466C2" w:rsidP="00A466C2">
            <w:pPr>
              <w:pStyle w:val="Tablebullets"/>
              <w:ind w:left="283" w:hanging="283"/>
            </w:pPr>
            <w:r w:rsidRPr="00A466C2">
              <w:t>What measurement tools help us to draw conclusions about patterns in the data?</w:t>
            </w:r>
          </w:p>
          <w:p w:rsidR="00A466C2" w:rsidRPr="00A466C2" w:rsidRDefault="00A466C2" w:rsidP="00A466C2">
            <w:pPr>
              <w:pStyle w:val="Tablebullets"/>
              <w:ind w:left="283" w:hanging="283"/>
            </w:pPr>
            <w:r w:rsidRPr="00A466C2">
              <w:t>How do geological changes and weather conditions affect local and global decisions made by communities?</w:t>
            </w:r>
          </w:p>
        </w:tc>
      </w:tr>
    </w:tbl>
    <w:p w:rsidR="008D28C8" w:rsidRDefault="008D28C8" w:rsidP="008300AE"/>
    <w:p w:rsidR="00364E09" w:rsidRPr="008300AE" w:rsidRDefault="004A69B7" w:rsidP="00364E09">
      <w:pPr>
        <w:pStyle w:val="smallspace"/>
      </w:pPr>
      <w:r>
        <w:br w:type="page"/>
      </w:r>
    </w:p>
    <w:tbl>
      <w:tblPr>
        <w:tblW w:w="14918" w:type="dxa"/>
        <w:jc w:val="center"/>
        <w:tblInd w:w="-114"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750"/>
        <w:gridCol w:w="3631"/>
        <w:gridCol w:w="75"/>
        <w:gridCol w:w="3536"/>
        <w:gridCol w:w="3926"/>
        <w:tblGridChange w:id="1">
          <w:tblGrid>
            <w:gridCol w:w="3750"/>
            <w:gridCol w:w="3631"/>
            <w:gridCol w:w="75"/>
            <w:gridCol w:w="3536"/>
            <w:gridCol w:w="3926"/>
          </w:tblGrid>
        </w:tblGridChange>
      </w:tblGrid>
      <w:tr w:rsidR="00D20B1F" w:rsidRPr="00561E58" w:rsidTr="00BD1420">
        <w:trP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5525A0" w:rsidRPr="00561E58" w:rsidTr="00BD1420">
        <w:trPr>
          <w:jc w:val="center"/>
        </w:trPr>
        <w:tc>
          <w:tcPr>
            <w:tcW w:w="3684"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316"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D20B1F" w:rsidRPr="00561E58" w:rsidTr="00D20B1F">
        <w:trPr>
          <w:jc w:val="center"/>
        </w:trPr>
        <w:tc>
          <w:tcPr>
            <w:tcW w:w="1257" w:type="pct"/>
            <w:shd w:val="clear" w:color="auto" w:fill="CFE7E6"/>
          </w:tcPr>
          <w:p w:rsidR="00632199" w:rsidRPr="001B3B82" w:rsidRDefault="00F1451E" w:rsidP="00632199">
            <w:pPr>
              <w:pStyle w:val="Tablesubhead"/>
            </w:pPr>
            <w:r>
              <w:t>Science Understanding</w:t>
            </w:r>
          </w:p>
        </w:tc>
        <w:tc>
          <w:tcPr>
            <w:tcW w:w="1217" w:type="pct"/>
            <w:shd w:val="clear" w:color="auto" w:fill="CFE7E6"/>
          </w:tcPr>
          <w:p w:rsidR="00632199" w:rsidRPr="001B3B82" w:rsidRDefault="00F1451E" w:rsidP="00632199">
            <w:pPr>
              <w:pStyle w:val="Tablesubhead"/>
            </w:pPr>
            <w:r>
              <w:t>Science as a Human Endeavour</w:t>
            </w:r>
          </w:p>
        </w:tc>
        <w:tc>
          <w:tcPr>
            <w:tcW w:w="1210" w:type="pct"/>
            <w:gridSpan w:val="2"/>
            <w:shd w:val="clear" w:color="auto" w:fill="CFE7E6"/>
          </w:tcPr>
          <w:p w:rsidR="00632199" w:rsidRDefault="00F1451E" w:rsidP="00632199">
            <w:pPr>
              <w:pStyle w:val="Tablesubhead"/>
            </w:pPr>
            <w:r>
              <w:t>Science Inquiry Skills</w:t>
            </w:r>
          </w:p>
        </w:tc>
        <w:tc>
          <w:tcPr>
            <w:tcW w:w="1316" w:type="pct"/>
            <w:vMerge/>
            <w:shd w:val="clear" w:color="auto" w:fill="CFE7E6"/>
          </w:tcPr>
          <w:p w:rsidR="00632199" w:rsidRPr="00364E09" w:rsidRDefault="00632199" w:rsidP="00433BEC">
            <w:pPr>
              <w:pStyle w:val="Tablesubhead"/>
            </w:pPr>
          </w:p>
        </w:tc>
      </w:tr>
      <w:tr w:rsidR="00D20B1F" w:rsidRPr="00561E58" w:rsidTr="00D20B1F">
        <w:trPr>
          <w:jc w:val="center"/>
        </w:trPr>
        <w:tc>
          <w:tcPr>
            <w:tcW w:w="1257" w:type="pct"/>
            <w:shd w:val="clear" w:color="auto" w:fill="auto"/>
          </w:tcPr>
          <w:p w:rsidR="008253BC" w:rsidRPr="001149F0" w:rsidRDefault="008253BC" w:rsidP="008743BA">
            <w:pPr>
              <w:pStyle w:val="Tablesubhead"/>
            </w:pPr>
            <w:r w:rsidRPr="001149F0">
              <w:t>Earth and space sciences</w:t>
            </w:r>
          </w:p>
          <w:p w:rsidR="008253BC" w:rsidRPr="008743BA" w:rsidRDefault="008253BC" w:rsidP="008743BA">
            <w:pPr>
              <w:pStyle w:val="Tablebullets"/>
              <w:ind w:left="283" w:hanging="283"/>
            </w:pPr>
            <w:r w:rsidRPr="00696BD7">
              <w:t>Sudden geological changes or extreme weather conditions can affect Earth’s surface</w:t>
            </w:r>
            <w:r>
              <w:t xml:space="preserve"> </w:t>
            </w:r>
            <w:hyperlink r:id="rId8" w:tooltip="View additional details of ACSSU096" w:history="1">
              <w:r w:rsidR="00E01506" w:rsidRPr="00AE3DAF">
                <w:rPr>
                  <w:color w:val="0000FF"/>
                  <w:sz w:val="21"/>
                  <w:szCs w:val="21"/>
                  <w:lang w:eastAsia="en-AU"/>
                </w:rPr>
                <w:t>(ACSSU096)</w:t>
              </w:r>
            </w:hyperlink>
          </w:p>
        </w:tc>
        <w:tc>
          <w:tcPr>
            <w:tcW w:w="1217" w:type="pct"/>
            <w:shd w:val="clear" w:color="auto" w:fill="auto"/>
          </w:tcPr>
          <w:p w:rsidR="008253BC" w:rsidRDefault="008253BC" w:rsidP="008743BA">
            <w:pPr>
              <w:pStyle w:val="Tablesubhead"/>
            </w:pPr>
            <w:r>
              <w:t>Nature and development of science</w:t>
            </w:r>
          </w:p>
          <w:p w:rsidR="008253BC" w:rsidRDefault="008253BC" w:rsidP="00532344">
            <w:pPr>
              <w:pStyle w:val="Tablebullets"/>
              <w:numPr>
                <w:ilvl w:val="0"/>
                <w:numId w:val="1"/>
              </w:numPr>
            </w:pPr>
            <w:r>
              <w:t xml:space="preserve">Science involves testing predictions by gathering data and using evidence to develop explanations of events and phenomena </w:t>
            </w:r>
            <w:hyperlink r:id="rId9" w:tooltip="View additional details of ACSHE098" w:history="1">
              <w:r w:rsidR="00E01506" w:rsidRPr="0096281F">
                <w:rPr>
                  <w:color w:val="0000FF"/>
                  <w:sz w:val="21"/>
                  <w:szCs w:val="21"/>
                  <w:lang w:eastAsia="en-AU"/>
                </w:rPr>
                <w:t>(ACSHE098)</w:t>
              </w:r>
            </w:hyperlink>
          </w:p>
          <w:p w:rsidR="008253BC" w:rsidRDefault="008253BC" w:rsidP="00532344">
            <w:pPr>
              <w:pStyle w:val="Tablebullets"/>
              <w:numPr>
                <w:ilvl w:val="0"/>
                <w:numId w:val="1"/>
              </w:numPr>
            </w:pPr>
            <w:r>
              <w:t>Important contributions to the advancement of science have been made by people from a range of cultures</w:t>
            </w:r>
            <w:r w:rsidR="00E01506" w:rsidRPr="0096281F">
              <w:t xml:space="preserve"> </w:t>
            </w:r>
            <w:hyperlink r:id="rId10" w:tooltip="View additional details of ACSHE099" w:history="1">
              <w:r w:rsidR="00E01506" w:rsidRPr="0096281F">
                <w:rPr>
                  <w:color w:val="0000FF"/>
                  <w:sz w:val="21"/>
                  <w:szCs w:val="21"/>
                  <w:lang w:eastAsia="en-AU"/>
                </w:rPr>
                <w:t>(ACSHE099)</w:t>
              </w:r>
            </w:hyperlink>
          </w:p>
          <w:p w:rsidR="008253BC" w:rsidRPr="003E0C92" w:rsidRDefault="008253BC" w:rsidP="008743BA">
            <w:pPr>
              <w:pStyle w:val="Tablesubhead"/>
            </w:pPr>
            <w:r>
              <w:t>Use and i</w:t>
            </w:r>
            <w:r w:rsidRPr="003E0C92">
              <w:t xml:space="preserve">nfluence of </w:t>
            </w:r>
            <w:r>
              <w:t>s</w:t>
            </w:r>
            <w:r w:rsidRPr="003E0C92">
              <w:t xml:space="preserve">cience </w:t>
            </w:r>
          </w:p>
          <w:p w:rsidR="008253BC" w:rsidRDefault="008253BC" w:rsidP="00532344">
            <w:pPr>
              <w:pStyle w:val="Tablebullets"/>
              <w:numPr>
                <w:ilvl w:val="0"/>
                <w:numId w:val="1"/>
              </w:numPr>
            </w:pPr>
            <w:r>
              <w:t xml:space="preserve">Scientific understandings, discoveries and inventions are used to solve problems that directly affect peoples’ lives  </w:t>
            </w:r>
            <w:hyperlink r:id="rId11" w:tooltip="View additional details of ACSHE100" w:history="1">
              <w:r w:rsidR="00E01506" w:rsidRPr="0096281F">
                <w:rPr>
                  <w:color w:val="0000FF"/>
                  <w:sz w:val="21"/>
                  <w:szCs w:val="21"/>
                  <w:lang w:eastAsia="en-AU"/>
                </w:rPr>
                <w:t>(ACSHE100)</w:t>
              </w:r>
            </w:hyperlink>
          </w:p>
          <w:p w:rsidR="008253BC" w:rsidRPr="008743BA" w:rsidRDefault="008253BC" w:rsidP="00532344">
            <w:pPr>
              <w:pStyle w:val="Tablebullets"/>
              <w:numPr>
                <w:ilvl w:val="0"/>
                <w:numId w:val="1"/>
              </w:numPr>
            </w:pPr>
            <w:r>
              <w:t xml:space="preserve">Scientific knowledge is used to inform personal and community decisions </w:t>
            </w:r>
            <w:hyperlink r:id="rId12" w:tooltip="View additional details of ACSHE220" w:history="1">
              <w:r w:rsidR="00E01506" w:rsidRPr="0096281F">
                <w:rPr>
                  <w:color w:val="0000FF"/>
                  <w:sz w:val="21"/>
                  <w:szCs w:val="21"/>
                  <w:lang w:eastAsia="en-AU"/>
                </w:rPr>
                <w:t>(ACSHE220)</w:t>
              </w:r>
            </w:hyperlink>
          </w:p>
        </w:tc>
        <w:tc>
          <w:tcPr>
            <w:tcW w:w="1210" w:type="pct"/>
            <w:gridSpan w:val="2"/>
            <w:shd w:val="clear" w:color="auto" w:fill="auto"/>
          </w:tcPr>
          <w:p w:rsidR="00532344" w:rsidRDefault="00532344" w:rsidP="00DD102B">
            <w:pPr>
              <w:pStyle w:val="Tablesubhead"/>
            </w:pPr>
            <w:r>
              <w:t>Processing and analysing data and information</w:t>
            </w:r>
          </w:p>
          <w:p w:rsidR="00532344" w:rsidRPr="00532344" w:rsidRDefault="00532344" w:rsidP="00532344">
            <w:pPr>
              <w:pStyle w:val="Tablebullets"/>
              <w:numPr>
                <w:ilvl w:val="0"/>
                <w:numId w:val="1"/>
              </w:numPr>
            </w:pPr>
            <w:r w:rsidRPr="00532344">
              <w:t xml:space="preserve">Construct and use a range of representations, including tables and graphs, to represent and describe observations, patterns or relationships in data using digital technologies as appropriate </w:t>
            </w:r>
            <w:hyperlink r:id="rId13" w:tooltip="View additional details of ACSIS107" w:history="1">
              <w:r w:rsidR="005669C0" w:rsidRPr="00D129EF">
                <w:rPr>
                  <w:color w:val="0000FF"/>
                  <w:sz w:val="21"/>
                  <w:szCs w:val="21"/>
                  <w:lang w:eastAsia="en-AU"/>
                </w:rPr>
                <w:t>(ACSIS107)</w:t>
              </w:r>
            </w:hyperlink>
          </w:p>
          <w:p w:rsidR="008253BC" w:rsidRPr="00A239DC" w:rsidRDefault="008253BC" w:rsidP="00DD102B">
            <w:pPr>
              <w:pStyle w:val="Tablesubhead"/>
            </w:pPr>
            <w:r w:rsidRPr="00A239DC">
              <w:t>Communicating</w:t>
            </w:r>
          </w:p>
          <w:p w:rsidR="008253BC" w:rsidRPr="00F97393" w:rsidRDefault="008253BC" w:rsidP="00532344">
            <w:pPr>
              <w:pStyle w:val="Tablebullets"/>
              <w:numPr>
                <w:ilvl w:val="0"/>
                <w:numId w:val="1"/>
              </w:numPr>
            </w:pPr>
            <w:r w:rsidRPr="00A239DC">
              <w:t xml:space="preserve">Communicate ideas, explanations and processes in a variety of ways, including </w:t>
            </w:r>
            <w:r w:rsidRPr="00A239DC">
              <w:rPr>
                <w:rFonts w:eastAsia="SimSun"/>
              </w:rPr>
              <w:t>multi-modal texts</w:t>
            </w:r>
            <w:r w:rsidR="00532344">
              <w:rPr>
                <w:rFonts w:eastAsia="SimSun"/>
              </w:rPr>
              <w:t xml:space="preserve"> </w:t>
            </w:r>
            <w:hyperlink r:id="rId14" w:tooltip="View additional details of ACSIS110" w:history="1">
              <w:r w:rsidR="005669C0" w:rsidRPr="00D129EF">
                <w:rPr>
                  <w:color w:val="0000FF"/>
                  <w:sz w:val="21"/>
                  <w:szCs w:val="21"/>
                  <w:lang w:eastAsia="en-AU"/>
                </w:rPr>
                <w:t>(ACSIS110)</w:t>
              </w:r>
            </w:hyperlink>
          </w:p>
        </w:tc>
        <w:tc>
          <w:tcPr>
            <w:tcW w:w="1316" w:type="pct"/>
            <w:shd w:val="clear" w:color="auto" w:fill="auto"/>
          </w:tcPr>
          <w:p w:rsidR="003B6143" w:rsidRDefault="00C62A10" w:rsidP="00BD1420">
            <w:pPr>
              <w:pStyle w:val="Tablesubhead"/>
              <w:tabs>
                <w:tab w:val="left" w:pos="510"/>
              </w:tabs>
              <w:spacing w:before="20" w:after="20" w:line="180" w:lineRule="atLeast"/>
              <w:ind w:left="510" w:hanging="510"/>
            </w:pPr>
            <w:r>
              <w:rPr>
                <w:noProof/>
                <w:sz w:val="17"/>
                <w:szCs w:val="17"/>
                <w:lang w:eastAsia="en-AU"/>
              </w:rPr>
              <w:drawing>
                <wp:inline distT="0" distB="0" distL="0" distR="0">
                  <wp:extent cx="190500" cy="190500"/>
                  <wp:effectExtent l="0" t="0" r="0" b="0"/>
                  <wp:docPr id="9"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143">
              <w:rPr>
                <w:sz w:val="17"/>
                <w:szCs w:val="17"/>
              </w:rPr>
              <w:tab/>
            </w:r>
            <w:r w:rsidR="003B6143" w:rsidRPr="00790B29">
              <w:t>Literacy</w:t>
            </w:r>
          </w:p>
          <w:p w:rsidR="008253BC" w:rsidRDefault="008253BC" w:rsidP="00BD1420">
            <w:pPr>
              <w:pStyle w:val="Tablebullets"/>
              <w:spacing w:before="20" w:after="20" w:line="180" w:lineRule="atLeast"/>
            </w:pPr>
            <w:r>
              <w:t>Complete s</w:t>
            </w:r>
            <w:r w:rsidRPr="005430DD">
              <w:t xml:space="preserve">cience </w:t>
            </w:r>
            <w:r>
              <w:t>journals and oral presentations.</w:t>
            </w:r>
          </w:p>
          <w:p w:rsidR="008253BC" w:rsidRDefault="008253BC" w:rsidP="00BD1420">
            <w:pPr>
              <w:pStyle w:val="Tablebullets"/>
              <w:spacing w:before="20" w:after="20" w:line="180" w:lineRule="atLeast"/>
            </w:pPr>
            <w:r>
              <w:t xml:space="preserve">Use accurate scientific language. </w:t>
            </w:r>
          </w:p>
          <w:p w:rsidR="008253BC" w:rsidRPr="00696BD7" w:rsidRDefault="00C62A10" w:rsidP="00BD1420">
            <w:pPr>
              <w:pStyle w:val="Tablesubhead"/>
              <w:tabs>
                <w:tab w:val="left" w:pos="510"/>
              </w:tabs>
              <w:spacing w:before="20" w:after="20" w:line="180" w:lineRule="atLeast"/>
              <w:ind w:left="510" w:hanging="510"/>
            </w:pPr>
            <w:r>
              <w:rPr>
                <w:noProof/>
                <w:lang w:eastAsia="en-AU"/>
              </w:rPr>
              <w:drawing>
                <wp:inline distT="0" distB="0" distL="0" distR="0">
                  <wp:extent cx="190500" cy="190500"/>
                  <wp:effectExtent l="0" t="0" r="0" b="0"/>
                  <wp:docPr id="8" name="Picture 18"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53BC" w:rsidRPr="00696BD7">
              <w:tab/>
              <w:t xml:space="preserve">ICT </w:t>
            </w:r>
            <w:r w:rsidR="00A11DE9">
              <w:t>capability</w:t>
            </w:r>
          </w:p>
          <w:p w:rsidR="008253BC" w:rsidRPr="00DD1653" w:rsidRDefault="008253BC" w:rsidP="00BD1420">
            <w:pPr>
              <w:pStyle w:val="Tablebullets"/>
              <w:spacing w:before="20" w:after="20" w:line="180" w:lineRule="atLeast"/>
              <w:rPr>
                <w:u w:val="single"/>
              </w:rPr>
            </w:pPr>
            <w:r>
              <w:t>Research using the internet.</w:t>
            </w:r>
          </w:p>
          <w:p w:rsidR="008253BC" w:rsidRDefault="008253BC" w:rsidP="00BD1420">
            <w:pPr>
              <w:pStyle w:val="Tablebullets"/>
              <w:spacing w:before="20" w:after="20" w:line="180" w:lineRule="atLeast"/>
              <w:rPr>
                <w:u w:val="single"/>
              </w:rPr>
            </w:pPr>
            <w:r>
              <w:t>Use ICTs as a part of a multimodal presentation.</w:t>
            </w:r>
          </w:p>
          <w:p w:rsidR="003B6143" w:rsidRPr="00790B29" w:rsidRDefault="00C62A10" w:rsidP="00BD1420">
            <w:pPr>
              <w:pStyle w:val="Tablesubhead"/>
              <w:tabs>
                <w:tab w:val="left" w:pos="510"/>
              </w:tabs>
              <w:spacing w:before="20" w:after="20" w:line="180" w:lineRule="atLeast"/>
              <w:ind w:left="510" w:hanging="510"/>
            </w:pPr>
            <w:r>
              <w:rPr>
                <w:noProof/>
                <w:sz w:val="17"/>
                <w:szCs w:val="17"/>
                <w:lang w:eastAsia="en-AU"/>
              </w:rPr>
              <w:drawing>
                <wp:inline distT="0" distB="0" distL="0" distR="0">
                  <wp:extent cx="190500" cy="190500"/>
                  <wp:effectExtent l="0" t="0" r="0" b="0"/>
                  <wp:docPr id="3"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143">
              <w:rPr>
                <w:sz w:val="17"/>
                <w:szCs w:val="17"/>
              </w:rPr>
              <w:tab/>
            </w:r>
            <w:r w:rsidR="003B6143" w:rsidRPr="00790B29">
              <w:t>Critical and creative thinking</w:t>
            </w:r>
          </w:p>
          <w:p w:rsidR="008253BC" w:rsidRPr="00A239DC" w:rsidRDefault="008253BC" w:rsidP="00BD1420">
            <w:pPr>
              <w:pStyle w:val="Tablebullets"/>
              <w:spacing w:before="20" w:after="20" w:line="180" w:lineRule="atLeast"/>
              <w:rPr>
                <w:u w:val="single"/>
              </w:rPr>
            </w:pPr>
            <w:r>
              <w:t>Analyse, evaluate and summarise information.</w:t>
            </w:r>
          </w:p>
          <w:p w:rsidR="008253BC" w:rsidRDefault="00C62A10" w:rsidP="00BD1420">
            <w:pPr>
              <w:pStyle w:val="Tablesubhead"/>
              <w:tabs>
                <w:tab w:val="left" w:pos="510"/>
              </w:tabs>
              <w:spacing w:before="20" w:after="20" w:line="180" w:lineRule="atLeast"/>
              <w:ind w:left="510" w:hanging="510"/>
            </w:pPr>
            <w:r>
              <w:rPr>
                <w:noProof/>
                <w:sz w:val="17"/>
                <w:szCs w:val="17"/>
                <w:lang w:eastAsia="en-AU"/>
              </w:rPr>
              <w:drawing>
                <wp:inline distT="0" distB="0" distL="0" distR="0">
                  <wp:extent cx="190500" cy="190500"/>
                  <wp:effectExtent l="0" t="0" r="0" b="0"/>
                  <wp:docPr id="4" name="Picture 1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53BC">
              <w:rPr>
                <w:sz w:val="17"/>
                <w:szCs w:val="17"/>
              </w:rPr>
              <w:tab/>
            </w:r>
            <w:r w:rsidR="008253BC">
              <w:t xml:space="preserve">Ethical </w:t>
            </w:r>
            <w:r w:rsidR="006E1D9F">
              <w:t>behaviour</w:t>
            </w:r>
          </w:p>
          <w:p w:rsidR="008253BC" w:rsidRPr="00F16628" w:rsidRDefault="008253BC" w:rsidP="00BD1420">
            <w:pPr>
              <w:pStyle w:val="Tablebullets"/>
              <w:spacing w:before="20" w:after="20" w:line="180" w:lineRule="atLeast"/>
            </w:pPr>
            <w:r>
              <w:t>Consider ethical considerations when investigating geological changes or weather conditions.</w:t>
            </w:r>
          </w:p>
          <w:p w:rsidR="008253BC" w:rsidRPr="00696BD7" w:rsidRDefault="00C62A10" w:rsidP="00BD1420">
            <w:pPr>
              <w:pStyle w:val="Tablesubhead"/>
              <w:tabs>
                <w:tab w:val="left" w:pos="510"/>
              </w:tabs>
              <w:spacing w:before="20" w:after="20" w:line="180" w:lineRule="atLeast"/>
              <w:ind w:left="510" w:hanging="510"/>
            </w:pPr>
            <w:r>
              <w:rPr>
                <w:noProof/>
                <w:lang w:eastAsia="en-AU"/>
              </w:rPr>
              <w:drawing>
                <wp:inline distT="0" distB="0" distL="0" distR="0">
                  <wp:extent cx="190500" cy="190500"/>
                  <wp:effectExtent l="0" t="0" r="0" b="0"/>
                  <wp:docPr id="5" name="Picture 1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53BC" w:rsidRPr="00696BD7">
              <w:tab/>
              <w:t xml:space="preserve">Personal and social </w:t>
            </w:r>
            <w:r w:rsidR="00A11DE9">
              <w:t>capability</w:t>
            </w:r>
          </w:p>
          <w:p w:rsidR="008253BC" w:rsidRDefault="008253BC" w:rsidP="00BD1420">
            <w:pPr>
              <w:pStyle w:val="Tablebullets"/>
              <w:spacing w:before="20" w:after="20" w:line="180" w:lineRule="atLeast"/>
            </w:pPr>
            <w:r>
              <w:t>Practise self-management skills by following procedures, sharing ideas and collaboratively planning a multimodal presentation.</w:t>
            </w:r>
          </w:p>
          <w:p w:rsidR="008253BC" w:rsidRPr="00790B29" w:rsidRDefault="00C62A10" w:rsidP="00BD1420">
            <w:pPr>
              <w:pStyle w:val="Tablesubhead"/>
              <w:tabs>
                <w:tab w:val="left" w:pos="510"/>
              </w:tabs>
              <w:spacing w:before="20" w:after="20" w:line="180" w:lineRule="atLeast"/>
              <w:ind w:left="510" w:hanging="510"/>
            </w:pPr>
            <w:r>
              <w:rPr>
                <w:noProof/>
                <w:sz w:val="17"/>
                <w:szCs w:val="17"/>
                <w:lang w:eastAsia="en-AU"/>
              </w:rPr>
              <w:drawing>
                <wp:inline distT="0" distB="0" distL="0" distR="0">
                  <wp:extent cx="190500" cy="190500"/>
                  <wp:effectExtent l="0" t="0" r="0" b="0"/>
                  <wp:docPr id="6" name="Picture 14"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53BC">
              <w:rPr>
                <w:sz w:val="17"/>
                <w:szCs w:val="17"/>
              </w:rPr>
              <w:tab/>
            </w:r>
            <w:r w:rsidR="008253BC">
              <w:t xml:space="preserve">Intercultural </w:t>
            </w:r>
            <w:r w:rsidR="006E1D9F">
              <w:t>understanding</w:t>
            </w:r>
          </w:p>
          <w:p w:rsidR="008253BC" w:rsidRDefault="008253BC" w:rsidP="00BD1420">
            <w:pPr>
              <w:pStyle w:val="Tablebullets"/>
              <w:spacing w:before="20" w:after="20" w:line="180" w:lineRule="atLeast"/>
            </w:pPr>
            <w:r>
              <w:t>Develop the capacity to respect and appreciate the beliefs of other cultures and recognise traditional understandings of natural events.</w:t>
            </w:r>
          </w:p>
          <w:p w:rsidR="008253BC" w:rsidRDefault="00C62A10" w:rsidP="00BD1420">
            <w:pPr>
              <w:pStyle w:val="Tablesubhead"/>
              <w:keepNext/>
              <w:tabs>
                <w:tab w:val="left" w:pos="510"/>
              </w:tabs>
              <w:spacing w:before="20" w:after="20" w:line="180" w:lineRule="atLeast"/>
              <w:ind w:left="510" w:hanging="510"/>
            </w:pPr>
            <w:r>
              <w:rPr>
                <w:noProof/>
                <w:position w:val="-2"/>
                <w:sz w:val="17"/>
                <w:szCs w:val="17"/>
                <w:lang w:eastAsia="en-AU"/>
              </w:rPr>
              <w:drawing>
                <wp:inline distT="0" distB="0" distL="0" distR="0">
                  <wp:extent cx="228600" cy="171450"/>
                  <wp:effectExtent l="0" t="0" r="0" b="0"/>
                  <wp:docPr id="7" name="Picture 1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8253BC">
              <w:rPr>
                <w:rFonts w:ascii="MS Mincho" w:eastAsia="MS Mincho" w:hAnsi="MS Mincho" w:cs="MS Mincho"/>
              </w:rPr>
              <w:tab/>
            </w:r>
            <w:r w:rsidR="008253BC" w:rsidRPr="003E4E3E">
              <w:t>Asia and Australia’s engagement with Asia</w:t>
            </w:r>
          </w:p>
          <w:p w:rsidR="008253BC" w:rsidRPr="00030551" w:rsidRDefault="008253BC" w:rsidP="00BD1420">
            <w:pPr>
              <w:pStyle w:val="Tablebullets"/>
              <w:spacing w:before="20" w:after="20" w:line="180" w:lineRule="atLeast"/>
            </w:pPr>
            <w:r>
              <w:t>Discuss occurrences of geological changes and weather conditions in the Asia region.</w:t>
            </w:r>
          </w:p>
        </w:tc>
      </w:tr>
      <w:tr w:rsidR="00D20B1F" w:rsidRPr="00561E58" w:rsidTr="00BD1420">
        <w:trPr>
          <w:jc w:val="center"/>
        </w:trPr>
        <w:tc>
          <w:tcPr>
            <w:tcW w:w="5000" w:type="pct"/>
            <w:gridSpan w:val="5"/>
            <w:shd w:val="clear" w:color="auto" w:fill="CFE7E6"/>
          </w:tcPr>
          <w:p w:rsidR="00EB2AF3" w:rsidRPr="00790B29" w:rsidRDefault="00EB2AF3" w:rsidP="008253BC">
            <w:pPr>
              <w:pStyle w:val="Tablesubhead"/>
              <w:tabs>
                <w:tab w:val="left" w:pos="510"/>
              </w:tabs>
              <w:ind w:left="510" w:hanging="510"/>
            </w:pPr>
            <w:r>
              <w:lastRenderedPageBreak/>
              <w:t>A</w:t>
            </w:r>
            <w:r w:rsidRPr="004E0C69">
              <w:t>chievement standard</w:t>
            </w:r>
          </w:p>
        </w:tc>
      </w:tr>
      <w:tr w:rsidR="00D20B1F" w:rsidRPr="00561E58" w:rsidTr="00BD1420">
        <w:trPr>
          <w:jc w:val="center"/>
        </w:trPr>
        <w:tc>
          <w:tcPr>
            <w:tcW w:w="5000" w:type="pct"/>
            <w:gridSpan w:val="5"/>
            <w:shd w:val="clear" w:color="auto" w:fill="auto"/>
          </w:tcPr>
          <w:p w:rsidR="00EB2AF3" w:rsidRPr="00EB2AF3" w:rsidRDefault="00EB2AF3" w:rsidP="00EB2AF3">
            <w:pPr>
              <w:spacing w:before="40" w:after="40" w:line="220" w:lineRule="atLeast"/>
              <w:rPr>
                <w:sz w:val="20"/>
              </w:rPr>
            </w:pPr>
            <w:r w:rsidRPr="00EB2AF3">
              <w:rPr>
                <w:sz w:val="20"/>
              </w:rPr>
              <w:t xml:space="preserve">By the end of Year 6, students compare and </w:t>
            </w:r>
            <w:hyperlink r:id="rId22" w:history="1">
              <w:r w:rsidRPr="00EB2AF3">
                <w:rPr>
                  <w:sz w:val="20"/>
                </w:rPr>
                <w:t>classify</w:t>
              </w:r>
            </w:hyperlink>
            <w:r w:rsidRPr="00EB2AF3">
              <w:rPr>
                <w:sz w:val="20"/>
              </w:rPr>
              <w:t xml:space="preserve"> different types of </w:t>
            </w:r>
            <w:hyperlink r:id="rId23" w:history="1">
              <w:r w:rsidRPr="00EB2AF3">
                <w:rPr>
                  <w:sz w:val="20"/>
                </w:rPr>
                <w:t>observable</w:t>
              </w:r>
            </w:hyperlink>
            <w:r w:rsidRPr="00EB2AF3">
              <w:rPr>
                <w:sz w:val="20"/>
              </w:rPr>
              <w:t xml:space="preserve"> changes to </w:t>
            </w:r>
            <w:hyperlink r:id="rId24" w:history="1">
              <w:r w:rsidRPr="00EB2AF3">
                <w:rPr>
                  <w:sz w:val="20"/>
                </w:rPr>
                <w:t>materials</w:t>
              </w:r>
            </w:hyperlink>
            <w:r w:rsidRPr="00EB2AF3">
              <w:rPr>
                <w:sz w:val="20"/>
              </w:rPr>
              <w:t xml:space="preserve">. They </w:t>
            </w:r>
            <w:hyperlink r:id="rId25" w:history="1">
              <w:r w:rsidRPr="00EB2AF3">
                <w:rPr>
                  <w:sz w:val="20"/>
                </w:rPr>
                <w:t>analyse</w:t>
              </w:r>
            </w:hyperlink>
            <w:r w:rsidRPr="00EB2AF3">
              <w:rPr>
                <w:sz w:val="20"/>
              </w:rPr>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EB2AF3" w:rsidRPr="00790B29" w:rsidRDefault="00EB2AF3" w:rsidP="00D00D53">
            <w:pPr>
              <w:spacing w:before="40" w:after="40" w:line="220" w:lineRule="atLeast"/>
            </w:pPr>
            <w:r w:rsidRPr="00EB2AF3">
              <w:rPr>
                <w:sz w:val="20"/>
              </w:rPr>
              <w:t xml:space="preserve">Students follow procedures to develop investigable questions and </w:t>
            </w:r>
            <w:hyperlink r:id="rId26" w:history="1">
              <w:r w:rsidRPr="00EB2AF3">
                <w:rPr>
                  <w:sz w:val="20"/>
                </w:rPr>
                <w:t>design</w:t>
              </w:r>
            </w:hyperlink>
            <w:r w:rsidRPr="00EB2AF3">
              <w:rPr>
                <w:sz w:val="20"/>
              </w:rPr>
              <w:t xml:space="preserve"> </w:t>
            </w:r>
            <w:hyperlink r:id="rId27" w:history="1">
              <w:r w:rsidRPr="00EB2AF3">
                <w:rPr>
                  <w:sz w:val="20"/>
                </w:rPr>
                <w:t>investigations</w:t>
              </w:r>
            </w:hyperlink>
            <w:r w:rsidRPr="00EB2AF3">
              <w:rPr>
                <w:sz w:val="20"/>
              </w:rPr>
              <w:t xml:space="preserve"> into simple cause-and-effect </w:t>
            </w:r>
            <w:hyperlink r:id="rId28" w:history="1">
              <w:r w:rsidRPr="00EB2AF3">
                <w:rPr>
                  <w:sz w:val="20"/>
                </w:rPr>
                <w:t>relationships</w:t>
              </w:r>
            </w:hyperlink>
            <w:r w:rsidRPr="00EB2AF3">
              <w:rPr>
                <w:sz w:val="20"/>
              </w:rPr>
              <w:t xml:space="preserve">. They identify </w:t>
            </w:r>
            <w:hyperlink r:id="rId29" w:history="1">
              <w:r w:rsidRPr="00EB2AF3">
                <w:rPr>
                  <w:sz w:val="20"/>
                </w:rPr>
                <w:t>variables</w:t>
              </w:r>
            </w:hyperlink>
            <w:r w:rsidR="00D00D53">
              <w:rPr>
                <w:sz w:val="20"/>
              </w:rPr>
              <w:t xml:space="preserve"> </w:t>
            </w:r>
            <w:r w:rsidRPr="00EB2AF3">
              <w:rPr>
                <w:sz w:val="20"/>
              </w:rPr>
              <w:t xml:space="preserve">to be changed and measured and describe potential safety risks when planning methods. They collect, organise and interpret their </w:t>
            </w:r>
            <w:hyperlink r:id="rId30" w:history="1">
              <w:r w:rsidRPr="00EB2AF3">
                <w:rPr>
                  <w:sz w:val="20"/>
                </w:rPr>
                <w:t>data</w:t>
              </w:r>
            </w:hyperlink>
            <w:r w:rsidRPr="00EB2AF3">
              <w:rPr>
                <w:sz w:val="20"/>
              </w:rPr>
              <w:t xml:space="preserve">, identifying where improvements to their methods or </w:t>
            </w:r>
            <w:hyperlink r:id="rId31" w:history="1">
              <w:r w:rsidRPr="00EB2AF3">
                <w:rPr>
                  <w:sz w:val="20"/>
                </w:rPr>
                <w:t>research</w:t>
              </w:r>
            </w:hyperlink>
            <w:r w:rsidRPr="00EB2AF3">
              <w:rPr>
                <w:sz w:val="20"/>
              </w:rPr>
              <w:t xml:space="preserve"> could improve the </w:t>
            </w:r>
            <w:hyperlink r:id="rId32" w:history="1">
              <w:r w:rsidRPr="00EB2AF3">
                <w:rPr>
                  <w:sz w:val="20"/>
                </w:rPr>
                <w:t>data</w:t>
              </w:r>
            </w:hyperlink>
            <w:r w:rsidRPr="00EB2AF3">
              <w:rPr>
                <w:sz w:val="20"/>
              </w:rPr>
              <w:t xml:space="preserve">. They describe and </w:t>
            </w:r>
            <w:hyperlink r:id="rId33" w:history="1">
              <w:r w:rsidRPr="00EB2AF3">
                <w:rPr>
                  <w:sz w:val="20"/>
                </w:rPr>
                <w:t>analyse</w:t>
              </w:r>
            </w:hyperlink>
            <w:r w:rsidRPr="00EB2AF3">
              <w:rPr>
                <w:sz w:val="20"/>
              </w:rPr>
              <w:t xml:space="preserve"> </w:t>
            </w:r>
            <w:hyperlink r:id="rId34" w:history="1">
              <w:r w:rsidRPr="00EB2AF3">
                <w:rPr>
                  <w:sz w:val="20"/>
                </w:rPr>
                <w:t>relationships</w:t>
              </w:r>
            </w:hyperlink>
            <w:r w:rsidRPr="00EB2AF3">
              <w:rPr>
                <w:sz w:val="20"/>
              </w:rPr>
              <w:t xml:space="preserve"> in </w:t>
            </w:r>
            <w:hyperlink r:id="rId35" w:history="1">
              <w:r w:rsidRPr="00EB2AF3">
                <w:rPr>
                  <w:sz w:val="20"/>
                </w:rPr>
                <w:t>data</w:t>
              </w:r>
            </w:hyperlink>
            <w:r w:rsidRPr="00EB2AF3">
              <w:rPr>
                <w:sz w:val="20"/>
              </w:rPr>
              <w:t xml:space="preserve"> using graphic representations and construct </w:t>
            </w:r>
            <w:hyperlink r:id="rId36" w:history="1">
              <w:r w:rsidRPr="00EB2AF3">
                <w:rPr>
                  <w:sz w:val="20"/>
                </w:rPr>
                <w:t>multi-modal texts</w:t>
              </w:r>
            </w:hyperlink>
            <w:r w:rsidRPr="00EB2AF3">
              <w:rPr>
                <w:sz w:val="20"/>
              </w:rPr>
              <w:t xml:space="preserve"> to communicate ideas, methods and findings.</w:t>
            </w:r>
          </w:p>
        </w:tc>
      </w:tr>
      <w:tr w:rsidR="005525A0" w:rsidRPr="004E0C69" w:rsidTr="00BD1420">
        <w:trPr>
          <w:jc w:val="center"/>
        </w:trPr>
        <w:tc>
          <w:tcPr>
            <w:tcW w:w="2499" w:type="pct"/>
            <w:gridSpan w:val="3"/>
            <w:tcBorders>
              <w:bottom w:val="single" w:sz="4" w:space="0" w:color="00928F"/>
            </w:tcBorders>
            <w:shd w:val="clear" w:color="auto" w:fill="CFE7E6"/>
          </w:tcPr>
          <w:p w:rsidR="005525A0" w:rsidRPr="004E0C69" w:rsidRDefault="005525A0" w:rsidP="00DD6183">
            <w:pPr>
              <w:pStyle w:val="Tablesubhead"/>
            </w:pPr>
            <w:r w:rsidRPr="004E0C69">
              <w:t>Relevant prior curriculum</w:t>
            </w:r>
          </w:p>
        </w:tc>
        <w:tc>
          <w:tcPr>
            <w:tcW w:w="2501" w:type="pct"/>
            <w:gridSpan w:val="2"/>
            <w:tcBorders>
              <w:bottom w:val="single" w:sz="4" w:space="0" w:color="00928F"/>
            </w:tcBorders>
            <w:shd w:val="clear" w:color="auto" w:fill="CFE7E6"/>
          </w:tcPr>
          <w:p w:rsidR="005525A0" w:rsidRPr="004E0C69" w:rsidRDefault="005525A0" w:rsidP="00DD6183">
            <w:pPr>
              <w:pStyle w:val="Tablesubhead"/>
            </w:pPr>
            <w:r w:rsidRPr="004E0C69">
              <w:t>Curriculum working towards</w:t>
            </w:r>
          </w:p>
        </w:tc>
      </w:tr>
      <w:tr w:rsidR="005525A0" w:rsidRPr="00696BD7" w:rsidTr="00BD1420">
        <w:trPr>
          <w:jc w:val="center"/>
        </w:trPr>
        <w:tc>
          <w:tcPr>
            <w:tcW w:w="2499" w:type="pct"/>
            <w:gridSpan w:val="3"/>
            <w:shd w:val="clear" w:color="auto" w:fill="auto"/>
          </w:tcPr>
          <w:p w:rsidR="005525A0" w:rsidRPr="00842A7C" w:rsidRDefault="005525A0" w:rsidP="00DD6183">
            <w:pPr>
              <w:pStyle w:val="Tablesubhead"/>
            </w:pPr>
            <w:r w:rsidRPr="00842A7C">
              <w:t>In the Australian Curriculum: Science at Year</w:t>
            </w:r>
            <w:r>
              <w:t xml:space="preserve"> 4</w:t>
            </w:r>
            <w:r w:rsidRPr="00842A7C">
              <w:t xml:space="preserve"> </w:t>
            </w:r>
          </w:p>
          <w:p w:rsidR="005525A0" w:rsidRDefault="005525A0" w:rsidP="00DD6183">
            <w:pPr>
              <w:pStyle w:val="Tablesubhead"/>
            </w:pPr>
            <w:r>
              <w:t>Science Understanding</w:t>
            </w:r>
          </w:p>
          <w:p w:rsidR="005525A0" w:rsidRPr="00FC3848" w:rsidRDefault="005525A0" w:rsidP="00DD6183">
            <w:pPr>
              <w:pStyle w:val="Tabletext"/>
            </w:pPr>
            <w:r w:rsidRPr="00FC3848">
              <w:t>Earth and space sciences</w:t>
            </w:r>
          </w:p>
          <w:p w:rsidR="005525A0" w:rsidRPr="00696BD7" w:rsidRDefault="005525A0" w:rsidP="00DD6183">
            <w:pPr>
              <w:pStyle w:val="Tablebullets"/>
              <w:numPr>
                <w:ilvl w:val="0"/>
                <w:numId w:val="1"/>
              </w:numPr>
              <w:ind w:left="283" w:hanging="283"/>
            </w:pPr>
            <w:r w:rsidRPr="00842A7C">
              <w:t>Earth’s surface changes over time as a result of natural processes and human activity</w:t>
            </w:r>
            <w:r>
              <w:t>.</w:t>
            </w:r>
          </w:p>
          <w:p w:rsidR="005525A0" w:rsidRDefault="005525A0" w:rsidP="00DD6183">
            <w:pPr>
              <w:pStyle w:val="Tablesubhead"/>
            </w:pPr>
            <w:r>
              <w:t>In the Australian Curriculum: Science at Year 5</w:t>
            </w:r>
          </w:p>
          <w:p w:rsidR="005525A0" w:rsidRDefault="005525A0" w:rsidP="00DD6183">
            <w:pPr>
              <w:pStyle w:val="Tablesubhead"/>
            </w:pPr>
            <w:r w:rsidRPr="00842A7C">
              <w:t>Science</w:t>
            </w:r>
            <w:r>
              <w:t xml:space="preserve"> as a Human Endeavour</w:t>
            </w:r>
          </w:p>
          <w:p w:rsidR="005525A0" w:rsidRPr="00AA55EC" w:rsidRDefault="005525A0" w:rsidP="00DD6183">
            <w:pPr>
              <w:pStyle w:val="Tablebullets"/>
              <w:numPr>
                <w:ilvl w:val="0"/>
                <w:numId w:val="1"/>
              </w:numPr>
            </w:pPr>
            <w:r>
              <w:t>The content descriptions for Science as a Human Endeavour are the same for Year 5 and Year 6.</w:t>
            </w:r>
          </w:p>
          <w:p w:rsidR="005525A0" w:rsidRPr="00B13DDB" w:rsidRDefault="005525A0" w:rsidP="00DD6183">
            <w:pPr>
              <w:pStyle w:val="Tablesubhead"/>
            </w:pPr>
            <w:r>
              <w:t>Science Inquiry Skills</w:t>
            </w:r>
          </w:p>
          <w:p w:rsidR="005525A0" w:rsidRPr="00030551" w:rsidRDefault="005525A0" w:rsidP="00DD6183">
            <w:pPr>
              <w:pStyle w:val="Tablebullets"/>
              <w:numPr>
                <w:ilvl w:val="0"/>
                <w:numId w:val="1"/>
              </w:numPr>
            </w:pPr>
            <w:r>
              <w:t>The content descriptions for Science Inquiry Skills are the same for Year 5 and Year 6.</w:t>
            </w:r>
          </w:p>
        </w:tc>
        <w:tc>
          <w:tcPr>
            <w:tcW w:w="2501" w:type="pct"/>
            <w:gridSpan w:val="2"/>
            <w:shd w:val="clear" w:color="auto" w:fill="auto"/>
          </w:tcPr>
          <w:p w:rsidR="005525A0" w:rsidRPr="00842A7C" w:rsidRDefault="005525A0" w:rsidP="00BD1420">
            <w:pPr>
              <w:pStyle w:val="Tablesubhead"/>
              <w:spacing w:after="60"/>
            </w:pPr>
            <w:r w:rsidRPr="00842A7C">
              <w:t>In the Australian Curri</w:t>
            </w:r>
            <w:r>
              <w:t>culum: Science at Year 9</w:t>
            </w:r>
            <w:r w:rsidRPr="00842A7C">
              <w:t xml:space="preserve"> </w:t>
            </w:r>
          </w:p>
          <w:p w:rsidR="005525A0" w:rsidRDefault="005525A0" w:rsidP="00BD1420">
            <w:pPr>
              <w:pStyle w:val="Tablesubhead"/>
              <w:spacing w:after="60"/>
            </w:pPr>
            <w:r>
              <w:t>Science Understanding</w:t>
            </w:r>
          </w:p>
          <w:p w:rsidR="005525A0" w:rsidRPr="00FC3848" w:rsidRDefault="005525A0" w:rsidP="00BD1420">
            <w:pPr>
              <w:pStyle w:val="Tabletext"/>
              <w:spacing w:after="60"/>
            </w:pPr>
            <w:r w:rsidRPr="00FC3848">
              <w:t>Earth and space sciences</w:t>
            </w:r>
          </w:p>
          <w:p w:rsidR="005525A0" w:rsidRDefault="005525A0" w:rsidP="00BD1420">
            <w:pPr>
              <w:pStyle w:val="Tablebullets"/>
              <w:numPr>
                <w:ilvl w:val="0"/>
                <w:numId w:val="1"/>
              </w:numPr>
              <w:spacing w:after="60"/>
            </w:pPr>
            <w:r w:rsidRPr="00741C20">
              <w:t>The theory of plate tectonics explains global patterns of geological activity and continental movement</w:t>
            </w:r>
          </w:p>
          <w:p w:rsidR="005525A0" w:rsidRPr="006C70DA" w:rsidRDefault="005525A0" w:rsidP="00BD1420">
            <w:pPr>
              <w:pStyle w:val="Tabletext"/>
              <w:spacing w:after="60"/>
            </w:pPr>
            <w:r>
              <w:t>(Students next engage with Science Understanding focused on the concept of sudden geological changes in Year 9.)</w:t>
            </w:r>
          </w:p>
          <w:p w:rsidR="005525A0" w:rsidRPr="00842A7C" w:rsidRDefault="005525A0" w:rsidP="00BD1420">
            <w:pPr>
              <w:pStyle w:val="Tablesubhead"/>
              <w:spacing w:after="60"/>
            </w:pPr>
            <w:r w:rsidRPr="00842A7C">
              <w:t>In the Australian Curri</w:t>
            </w:r>
            <w:r>
              <w:t>culum: Science at Year 7</w:t>
            </w:r>
            <w:r w:rsidRPr="00842A7C">
              <w:t xml:space="preserve"> </w:t>
            </w:r>
          </w:p>
          <w:p w:rsidR="005525A0" w:rsidRDefault="005525A0" w:rsidP="00BD1420">
            <w:pPr>
              <w:pStyle w:val="Tablesubhead"/>
              <w:spacing w:after="60"/>
            </w:pPr>
            <w:r>
              <w:t>Science as a Human Endeavour</w:t>
            </w:r>
          </w:p>
          <w:p w:rsidR="005525A0" w:rsidRPr="00FC3848" w:rsidRDefault="005525A0" w:rsidP="00BD1420">
            <w:pPr>
              <w:pStyle w:val="Tabletext"/>
              <w:spacing w:after="60"/>
            </w:pPr>
            <w:r w:rsidRPr="00FC3848">
              <w:t>Nature and development of science</w:t>
            </w:r>
          </w:p>
          <w:p w:rsidR="005525A0" w:rsidRPr="00547DA2" w:rsidRDefault="005525A0" w:rsidP="00BD1420">
            <w:pPr>
              <w:pStyle w:val="Tablebullets"/>
              <w:numPr>
                <w:ilvl w:val="0"/>
                <w:numId w:val="1"/>
              </w:numPr>
              <w:spacing w:after="60"/>
            </w:pPr>
            <w:r w:rsidRPr="00547DA2">
              <w:t xml:space="preserve">Scientific knowledge changes as new </w:t>
            </w:r>
            <w:r w:rsidRPr="00547DA2">
              <w:rPr>
                <w:rFonts w:eastAsia="SimSun"/>
              </w:rPr>
              <w:t>evidence</w:t>
            </w:r>
            <w:r w:rsidRPr="00547DA2">
              <w:t xml:space="preserve"> becomes available, and some scientific discoveries have significantly changed people’s understanding of the world</w:t>
            </w:r>
            <w:r>
              <w:t>.</w:t>
            </w:r>
            <w:r w:rsidRPr="00547DA2">
              <w:t xml:space="preserve"> </w:t>
            </w:r>
          </w:p>
          <w:p w:rsidR="005525A0" w:rsidRDefault="005525A0" w:rsidP="00BD1420">
            <w:pPr>
              <w:pStyle w:val="Tablebullets"/>
              <w:numPr>
                <w:ilvl w:val="0"/>
                <w:numId w:val="1"/>
              </w:numPr>
              <w:spacing w:after="60"/>
            </w:pPr>
            <w:r w:rsidRPr="00547DA2">
              <w:t xml:space="preserve">Science knowledge can develop through </w:t>
            </w:r>
            <w:r w:rsidRPr="00547DA2">
              <w:rPr>
                <w:rFonts w:eastAsia="SimSun"/>
              </w:rPr>
              <w:t>collaboration</w:t>
            </w:r>
            <w:r w:rsidRPr="00547DA2">
              <w:t xml:space="preserve"> and connecting ideas across the disciplines of science</w:t>
            </w:r>
            <w:r>
              <w:t>.</w:t>
            </w:r>
            <w:r w:rsidRPr="00547DA2">
              <w:t xml:space="preserve"> </w:t>
            </w:r>
          </w:p>
          <w:p w:rsidR="005525A0" w:rsidRPr="00FC3848" w:rsidRDefault="005525A0" w:rsidP="00BD1420">
            <w:pPr>
              <w:pStyle w:val="Tabletext"/>
              <w:spacing w:after="60"/>
            </w:pPr>
            <w:r w:rsidRPr="00FC3848">
              <w:t>Use and influence of science</w:t>
            </w:r>
          </w:p>
          <w:p w:rsidR="005525A0" w:rsidRPr="00547DA2" w:rsidRDefault="005525A0" w:rsidP="00BD1420">
            <w:pPr>
              <w:pStyle w:val="Tablebullets"/>
              <w:numPr>
                <w:ilvl w:val="0"/>
                <w:numId w:val="1"/>
              </w:numPr>
              <w:spacing w:after="60"/>
            </w:pPr>
            <w:r>
              <w:t xml:space="preserve">Science and </w:t>
            </w:r>
            <w:r w:rsidRPr="00547DA2">
              <w:rPr>
                <w:rFonts w:eastAsia="SimSun"/>
              </w:rPr>
              <w:t>technology</w:t>
            </w:r>
            <w:r>
              <w:t xml:space="preserve"> contribute to finding solutions to a range of contemporary issues; these solutions may impact on other areas of society and involve ethical considerations.</w:t>
            </w:r>
          </w:p>
          <w:p w:rsidR="005525A0" w:rsidRPr="00547DA2" w:rsidRDefault="005525A0" w:rsidP="00BD1420">
            <w:pPr>
              <w:pStyle w:val="Tablebullets"/>
              <w:numPr>
                <w:ilvl w:val="0"/>
                <w:numId w:val="1"/>
              </w:numPr>
              <w:spacing w:after="60"/>
            </w:pPr>
            <w:r>
              <w:t>S</w:t>
            </w:r>
            <w:r w:rsidRPr="00547DA2">
              <w:t>cience understanding influences the development of practices in areas of human activity such as industry, agriculture and marine and terrestrial resource management</w:t>
            </w:r>
            <w:r>
              <w:t>.</w:t>
            </w:r>
            <w:r w:rsidRPr="00547DA2">
              <w:t xml:space="preserve"> </w:t>
            </w:r>
          </w:p>
          <w:p w:rsidR="005525A0" w:rsidRPr="00547DA2" w:rsidRDefault="005525A0" w:rsidP="00BD1420">
            <w:pPr>
              <w:pStyle w:val="Tablebullets"/>
              <w:numPr>
                <w:ilvl w:val="0"/>
                <w:numId w:val="1"/>
              </w:numPr>
              <w:spacing w:after="60"/>
            </w:pPr>
            <w:r w:rsidRPr="00547DA2">
              <w:t xml:space="preserve">People use understanding and skills from across the disciplines of </w:t>
            </w:r>
            <w:r>
              <w:t>science in t</w:t>
            </w:r>
            <w:r w:rsidRPr="00547DA2">
              <w:t>heir occupations</w:t>
            </w:r>
            <w:r>
              <w:t>.</w:t>
            </w:r>
            <w:r w:rsidRPr="00547DA2">
              <w:t xml:space="preserve"> </w:t>
            </w:r>
          </w:p>
          <w:p w:rsidR="005525A0" w:rsidRDefault="005525A0" w:rsidP="00BD1420">
            <w:pPr>
              <w:pStyle w:val="Tabletext"/>
              <w:spacing w:after="60"/>
              <w:rPr>
                <w:b/>
              </w:rPr>
            </w:pPr>
            <w:r>
              <w:rPr>
                <w:b/>
              </w:rPr>
              <w:t>Science Inquiry Skills</w:t>
            </w:r>
          </w:p>
          <w:p w:rsidR="00C25419" w:rsidRPr="00C25419" w:rsidRDefault="00C25419" w:rsidP="00C25419">
            <w:pPr>
              <w:pStyle w:val="Tablesubhead"/>
              <w:rPr>
                <w:b w:val="0"/>
              </w:rPr>
            </w:pPr>
            <w:r w:rsidRPr="00C25419">
              <w:rPr>
                <w:b w:val="0"/>
              </w:rPr>
              <w:t>Processing and analysing data and information</w:t>
            </w:r>
          </w:p>
          <w:p w:rsidR="00C25419" w:rsidRPr="00C25419" w:rsidRDefault="00C25419" w:rsidP="00C25419">
            <w:pPr>
              <w:numPr>
                <w:ilvl w:val="0"/>
                <w:numId w:val="1"/>
              </w:numPr>
              <w:spacing w:before="40" w:after="40" w:line="220" w:lineRule="atLeast"/>
              <w:rPr>
                <w:sz w:val="20"/>
              </w:rPr>
            </w:pPr>
            <w:r w:rsidRPr="00C25419">
              <w:rPr>
                <w:sz w:val="20"/>
              </w:rPr>
              <w:t xml:space="preserve">Construct and use a range of representations, including graphs, keys and models to represent and analyse patterns or relationships, including using digital technologies as appropriate </w:t>
            </w:r>
          </w:p>
          <w:p w:rsidR="005525A0" w:rsidRPr="00FC3848" w:rsidRDefault="005525A0" w:rsidP="00BD1420">
            <w:pPr>
              <w:pStyle w:val="Tabletext"/>
              <w:spacing w:after="60"/>
            </w:pPr>
            <w:r w:rsidRPr="00FC3848">
              <w:t>Communicating</w:t>
            </w:r>
          </w:p>
          <w:p w:rsidR="005525A0" w:rsidRPr="00696BD7" w:rsidRDefault="005525A0" w:rsidP="00BD1420">
            <w:pPr>
              <w:pStyle w:val="Tablebullets"/>
              <w:numPr>
                <w:ilvl w:val="0"/>
                <w:numId w:val="1"/>
              </w:numPr>
              <w:spacing w:after="60"/>
              <w:rPr>
                <w:b/>
              </w:rPr>
            </w:pPr>
            <w:r w:rsidRPr="009922D7">
              <w:t xml:space="preserve">Communicate ideas, findings and solutions to problems using </w:t>
            </w:r>
            <w:r w:rsidRPr="009922D7">
              <w:rPr>
                <w:rFonts w:eastAsia="SimSun"/>
              </w:rPr>
              <w:t>scientific language</w:t>
            </w:r>
            <w:r w:rsidRPr="009922D7">
              <w:t xml:space="preserve"> and representations using </w:t>
            </w:r>
            <w:r w:rsidRPr="009922D7">
              <w:rPr>
                <w:rFonts w:eastAsia="SimSun"/>
              </w:rPr>
              <w:t>digital technologies</w:t>
            </w:r>
            <w:r w:rsidRPr="009922D7">
              <w:t xml:space="preserve"> as appropriate</w:t>
            </w:r>
            <w:r>
              <w:t>.</w:t>
            </w:r>
          </w:p>
        </w:tc>
      </w:tr>
      <w:tr w:rsidR="00D20B1F" w:rsidRPr="004E0C69" w:rsidTr="00BD1420">
        <w:trPr>
          <w:jc w:val="center"/>
        </w:trPr>
        <w:tc>
          <w:tcPr>
            <w:tcW w:w="5000" w:type="pct"/>
            <w:gridSpan w:val="5"/>
            <w:tcBorders>
              <w:top w:val="single" w:sz="4" w:space="0" w:color="31849B"/>
            </w:tcBorders>
            <w:shd w:val="clear" w:color="auto" w:fill="CFE7E6"/>
          </w:tcPr>
          <w:p w:rsidR="005525A0" w:rsidRPr="004E0C69" w:rsidRDefault="005525A0" w:rsidP="00DD6183">
            <w:pPr>
              <w:pStyle w:val="Tablesubhead"/>
            </w:pPr>
            <w:r w:rsidRPr="004E0C69">
              <w:t>Bridging content</w:t>
            </w:r>
          </w:p>
        </w:tc>
      </w:tr>
      <w:tr w:rsidR="00D20B1F" w:rsidRPr="00F937AB" w:rsidTr="00BD1420">
        <w:trPr>
          <w:jc w:val="center"/>
        </w:trPr>
        <w:tc>
          <w:tcPr>
            <w:tcW w:w="5000" w:type="pct"/>
            <w:gridSpan w:val="5"/>
            <w:shd w:val="clear" w:color="auto" w:fill="auto"/>
          </w:tcPr>
          <w:p w:rsidR="005525A0" w:rsidRPr="00F937AB" w:rsidRDefault="005525A0" w:rsidP="00DD6183">
            <w:pPr>
              <w:pStyle w:val="Tabletext"/>
            </w:pPr>
            <w:r>
              <w:rPr>
                <w:lang w:eastAsia="en-AU"/>
              </w:rPr>
              <w:t xml:space="preserve">The </w:t>
            </w:r>
            <w:r w:rsidRPr="00741C20">
              <w:rPr>
                <w:b/>
                <w:lang w:eastAsia="en-AU"/>
              </w:rPr>
              <w:t>Australian Curriculum: Science at Year 6</w:t>
            </w:r>
            <w:r w:rsidRPr="0015079C">
              <w:rPr>
                <w:lang w:eastAsia="en-AU"/>
              </w:rPr>
              <w:t xml:space="preserve"> </w:t>
            </w:r>
            <w:r>
              <w:rPr>
                <w:lang w:eastAsia="en-AU"/>
              </w:rPr>
              <w:t xml:space="preserve">(Earth and space sciences) </w:t>
            </w:r>
            <w:r w:rsidRPr="0015079C">
              <w:rPr>
                <w:lang w:eastAsia="en-AU"/>
              </w:rPr>
              <w:t>includes content not explicitly addr</w:t>
            </w:r>
            <w:r>
              <w:rPr>
                <w:lang w:eastAsia="en-AU"/>
              </w:rPr>
              <w:t xml:space="preserve">essed by the </w:t>
            </w:r>
            <w:r w:rsidRPr="006C70DA">
              <w:rPr>
                <w:b/>
                <w:lang w:eastAsia="en-AU"/>
              </w:rPr>
              <w:t>Essential Learnings</w:t>
            </w:r>
            <w:r w:rsidRPr="003F38DA">
              <w:t>.</w:t>
            </w:r>
          </w:p>
        </w:tc>
      </w:tr>
      <w:tr w:rsidR="00D20B1F" w:rsidRPr="001F6C01" w:rsidTr="00BD1420">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CFE7E6"/>
          </w:tcPr>
          <w:p w:rsidR="005525A0" w:rsidRPr="001F6C01" w:rsidRDefault="005525A0" w:rsidP="00DD6183">
            <w:pPr>
              <w:pStyle w:val="Tablesubhead"/>
            </w:pPr>
            <w:r w:rsidRPr="001F6C01">
              <w:t>Links to other learning areas</w:t>
            </w:r>
          </w:p>
        </w:tc>
      </w:tr>
      <w:tr w:rsidR="00D20B1F" w:rsidRPr="00F937AB" w:rsidTr="00BD1420">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auto"/>
          </w:tcPr>
          <w:p w:rsidR="005525A0" w:rsidRPr="0099331A" w:rsidRDefault="005525A0" w:rsidP="00DD6183">
            <w:pPr>
              <w:pStyle w:val="Tablesubhead"/>
            </w:pPr>
            <w:r w:rsidRPr="006C70DA">
              <w:t xml:space="preserve">In the Australian Curriculum: Mathematics </w:t>
            </w:r>
            <w:r>
              <w:t>at</w:t>
            </w:r>
            <w:r w:rsidRPr="006C70DA">
              <w:t xml:space="preserve"> Year 6</w:t>
            </w:r>
          </w:p>
          <w:p w:rsidR="005525A0" w:rsidRPr="00F937AB" w:rsidRDefault="005525A0" w:rsidP="00DD6183">
            <w:pPr>
              <w:pStyle w:val="Tablebullets"/>
              <w:numPr>
                <w:ilvl w:val="0"/>
                <w:numId w:val="1"/>
              </w:numPr>
            </w:pPr>
            <w:r w:rsidRPr="0099331A">
              <w:t xml:space="preserve">Interpret secondary </w:t>
            </w:r>
            <w:r w:rsidRPr="00F937AB">
              <w:t>data</w:t>
            </w:r>
            <w:r w:rsidRPr="0099331A">
              <w:t xml:space="preserve"> presented in digital media and elsewhere</w:t>
            </w:r>
            <w:r>
              <w:t>.</w:t>
            </w:r>
          </w:p>
        </w:tc>
      </w:tr>
    </w:tbl>
    <w:p w:rsidR="00364E09" w:rsidRPr="008300AE" w:rsidRDefault="00364E09" w:rsidP="00364E09">
      <w:pPr>
        <w:pStyle w:val="smallspace"/>
      </w:pPr>
      <w:r>
        <w:br w:type="page"/>
      </w:r>
    </w:p>
    <w:p w:rsidR="00365706" w:rsidRPr="008300AE" w:rsidRDefault="00365706" w:rsidP="00365706">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BE0D4B" w:rsidP="00D00D53">
            <w:pPr>
              <w:pStyle w:val="Tablehead"/>
              <w:rPr>
                <w:szCs w:val="21"/>
              </w:rPr>
            </w:pPr>
            <w:r w:rsidRPr="004E0C69">
              <w:rPr>
                <w:szCs w:val="21"/>
              </w:rPr>
              <w:t>Make judgments</w:t>
            </w:r>
          </w:p>
        </w:tc>
      </w:tr>
      <w:tr w:rsidR="00B0692F" w:rsidRPr="00561E58" w:rsidTr="00A343ED">
        <w:trPr>
          <w:jc w:val="center"/>
        </w:trPr>
        <w:tc>
          <w:tcPr>
            <w:tcW w:w="2642" w:type="pct"/>
            <w:shd w:val="clear" w:color="auto" w:fill="CFE7E6"/>
          </w:tcPr>
          <w:p w:rsidR="00B0692F" w:rsidRPr="00365706" w:rsidRDefault="00B0692F" w:rsidP="00365706">
            <w:pPr>
              <w:pStyle w:val="Tablesubhead"/>
            </w:pPr>
            <w:r w:rsidRPr="00365706">
              <w:t>Describe the assessment</w:t>
            </w:r>
          </w:p>
        </w:tc>
        <w:tc>
          <w:tcPr>
            <w:tcW w:w="906" w:type="pct"/>
            <w:shd w:val="clear" w:color="auto" w:fill="CFE7E6"/>
          </w:tcPr>
          <w:p w:rsidR="00B0692F" w:rsidRPr="00365706" w:rsidRDefault="00B0692F" w:rsidP="00365706">
            <w:pPr>
              <w:pStyle w:val="Tablesubhead"/>
            </w:pPr>
            <w:r w:rsidRPr="00365706">
              <w:t>Assessment date</w:t>
            </w:r>
          </w:p>
        </w:tc>
        <w:tc>
          <w:tcPr>
            <w:tcW w:w="1452" w:type="pct"/>
            <w:vMerge w:val="restart"/>
            <w:shd w:val="clear" w:color="auto" w:fill="auto"/>
          </w:tcPr>
          <w:p w:rsidR="00B0692F" w:rsidRDefault="00B0692F" w:rsidP="00BE0D4B">
            <w:pPr>
              <w:spacing w:before="40" w:after="40" w:line="220" w:lineRule="atLeast"/>
              <w:rPr>
                <w:sz w:val="20"/>
              </w:rPr>
            </w:pPr>
            <w:r>
              <w:rPr>
                <w:sz w:val="20"/>
              </w:rPr>
              <w:t>Teachers gather evidence to make judgments about the following characteristics of student work:</w:t>
            </w:r>
          </w:p>
          <w:p w:rsidR="00B0692F" w:rsidRPr="00B50D8C" w:rsidRDefault="00B0692F" w:rsidP="00BE0D4B">
            <w:pPr>
              <w:spacing w:before="40" w:after="40" w:line="220" w:lineRule="atLeast"/>
              <w:rPr>
                <w:b/>
                <w:sz w:val="20"/>
              </w:rPr>
            </w:pPr>
            <w:r w:rsidRPr="00B50D8C">
              <w:rPr>
                <w:b/>
                <w:sz w:val="20"/>
              </w:rPr>
              <w:t>Understanding</w:t>
            </w:r>
          </w:p>
          <w:p w:rsidR="00B0692F" w:rsidRPr="00B50D8C" w:rsidRDefault="00B0692F" w:rsidP="00532344">
            <w:pPr>
              <w:pStyle w:val="Tablebullets"/>
              <w:numPr>
                <w:ilvl w:val="0"/>
                <w:numId w:val="1"/>
              </w:numPr>
            </w:pPr>
            <w:r w:rsidRPr="00B50D8C">
              <w:t>description and identification of scientific information and concepts</w:t>
            </w:r>
          </w:p>
          <w:p w:rsidR="00B0692F" w:rsidRDefault="00B0692F" w:rsidP="00532344">
            <w:pPr>
              <w:pStyle w:val="Tablebullets"/>
              <w:numPr>
                <w:ilvl w:val="0"/>
                <w:numId w:val="1"/>
              </w:numPr>
            </w:pPr>
            <w:r w:rsidRPr="00B50D8C">
              <w:t>use of science knowledge to generate solutions and explanations</w:t>
            </w:r>
          </w:p>
          <w:p w:rsidR="00B50D8C" w:rsidRPr="00B50D8C" w:rsidRDefault="00B50D8C" w:rsidP="00532344">
            <w:pPr>
              <w:pStyle w:val="Tablebullets"/>
              <w:numPr>
                <w:ilvl w:val="0"/>
                <w:numId w:val="1"/>
              </w:numPr>
            </w:pPr>
            <w:r>
              <w:t>description of the impacts of scientific developments and about the use of science knowledge to make decisions</w:t>
            </w:r>
          </w:p>
          <w:p w:rsidR="00B0692F" w:rsidRPr="00B50D8C" w:rsidRDefault="00B0692F" w:rsidP="00BE0D4B">
            <w:pPr>
              <w:pStyle w:val="Tablebullets"/>
              <w:numPr>
                <w:ilvl w:val="0"/>
                <w:numId w:val="0"/>
              </w:numPr>
              <w:rPr>
                <w:b/>
              </w:rPr>
            </w:pPr>
            <w:r w:rsidRPr="00B50D8C">
              <w:rPr>
                <w:b/>
              </w:rPr>
              <w:t>Skills</w:t>
            </w:r>
          </w:p>
          <w:p w:rsidR="00B0692F" w:rsidRPr="00B50D8C" w:rsidRDefault="00B0692F" w:rsidP="00532344">
            <w:pPr>
              <w:pStyle w:val="Tablebullets"/>
              <w:numPr>
                <w:ilvl w:val="0"/>
                <w:numId w:val="1"/>
              </w:numPr>
            </w:pPr>
            <w:r w:rsidRPr="00B50D8C">
              <w:t>description of patterns and relationships in data, suggesting explanations and making comparisons with predictions</w:t>
            </w:r>
          </w:p>
          <w:p w:rsidR="00B0692F" w:rsidRDefault="00B0692F" w:rsidP="00532344">
            <w:pPr>
              <w:pStyle w:val="Tablebullets"/>
              <w:numPr>
                <w:ilvl w:val="0"/>
                <w:numId w:val="1"/>
              </w:numPr>
            </w:pPr>
            <w:r w:rsidRPr="00B50D8C">
              <w:t>communication of ideas, methods and findings.</w:t>
            </w:r>
          </w:p>
          <w:p w:rsidR="00D00D53" w:rsidRPr="00BE0D4B" w:rsidRDefault="00D00D53" w:rsidP="00901D92">
            <w:pPr>
              <w:pStyle w:val="Tablebullets"/>
              <w:numPr>
                <w:ilvl w:val="0"/>
                <w:numId w:val="0"/>
              </w:numPr>
            </w:pPr>
            <w:r w:rsidRPr="00723B42">
              <w:t xml:space="preserve">For further advice and guidelines on constructing </w:t>
            </w:r>
            <w:r>
              <w:t>g</w:t>
            </w:r>
            <w:r w:rsidRPr="00723B42">
              <w:t>uide</w:t>
            </w:r>
            <w:r>
              <w:t>s</w:t>
            </w:r>
            <w:r w:rsidRPr="00723B42">
              <w:t xml:space="preserve"> to making judgments refer to the Lear</w:t>
            </w:r>
            <w:r>
              <w:t xml:space="preserve">ning area standard descriptors: </w:t>
            </w:r>
            <w:hyperlink r:id="rId37" w:history="1">
              <w:r w:rsidRPr="00723B42">
                <w:rPr>
                  <w:rStyle w:val="Hyperlink"/>
                  <w:sz w:val="20"/>
                </w:rPr>
                <w:t>www.qsa.qld.edu.au</w:t>
              </w:r>
            </w:hyperlink>
          </w:p>
        </w:tc>
      </w:tr>
      <w:tr w:rsidR="00B0692F" w:rsidRPr="00030551" w:rsidTr="00D00D53">
        <w:trPr>
          <w:trHeight w:val="2426"/>
          <w:jc w:val="center"/>
        </w:trPr>
        <w:tc>
          <w:tcPr>
            <w:tcW w:w="2642" w:type="pct"/>
            <w:tcBorders>
              <w:bottom w:val="nil"/>
            </w:tcBorders>
            <w:shd w:val="clear" w:color="auto" w:fill="auto"/>
          </w:tcPr>
          <w:p w:rsidR="00B0692F" w:rsidRPr="00483EE8" w:rsidRDefault="00B0692F" w:rsidP="00DD102B">
            <w:pPr>
              <w:pStyle w:val="Tabletext"/>
            </w:pPr>
            <w:r>
              <w:t xml:space="preserve">Students are </w:t>
            </w:r>
            <w:r w:rsidRPr="00483EE8">
              <w:t xml:space="preserve">given opportunities to demonstrate their knowledge, skills and understanding through both formative and summative assessment. The assessment </w:t>
            </w:r>
            <w:r>
              <w:t>is</w:t>
            </w:r>
            <w:r w:rsidRPr="00483EE8">
              <w:t xml:space="preserve"> collated in student folios and allow</w:t>
            </w:r>
            <w:r>
              <w:t>s</w:t>
            </w:r>
            <w:r w:rsidRPr="00483EE8">
              <w:t xml:space="preserve"> </w:t>
            </w:r>
            <w:r>
              <w:t>for ongoing feedback to students</w:t>
            </w:r>
            <w:r w:rsidRPr="00483EE8">
              <w:t xml:space="preserve"> on their learning.</w:t>
            </w:r>
          </w:p>
          <w:p w:rsidR="00B0692F" w:rsidRDefault="00B0692F" w:rsidP="00DD102B">
            <w:pPr>
              <w:pStyle w:val="Tabletext"/>
            </w:pPr>
            <w:r>
              <w:t>Year 6</w:t>
            </w:r>
            <w:r w:rsidRPr="00483EE8">
              <w:t xml:space="preserve"> teachers make decisions about the length of time required to complete the tasks and the conditions under which the assessment is to be conducted.</w:t>
            </w:r>
          </w:p>
          <w:p w:rsidR="00B0692F" w:rsidRPr="00F97393" w:rsidRDefault="00B0692F" w:rsidP="00D00D53">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B0692F" w:rsidRPr="00BE0D4B" w:rsidRDefault="00B0692F" w:rsidP="00BE0D4B">
            <w:pPr>
              <w:pStyle w:val="Tabletext"/>
            </w:pPr>
          </w:p>
        </w:tc>
        <w:tc>
          <w:tcPr>
            <w:tcW w:w="1452" w:type="pct"/>
            <w:vMerge/>
            <w:tcBorders>
              <w:bottom w:val="single" w:sz="4" w:space="0" w:color="00928F"/>
            </w:tcBorders>
            <w:shd w:val="clear" w:color="auto" w:fill="auto"/>
          </w:tcPr>
          <w:p w:rsidR="00B0692F" w:rsidRPr="00030551" w:rsidRDefault="00B0692F" w:rsidP="00030551">
            <w:pPr>
              <w:pStyle w:val="Tabletext"/>
            </w:pPr>
          </w:p>
        </w:tc>
      </w:tr>
      <w:tr w:rsidR="00D00D53" w:rsidRPr="00030551" w:rsidTr="00D00D53">
        <w:trPr>
          <w:trHeight w:val="2760"/>
          <w:jc w:val="center"/>
        </w:trPr>
        <w:tc>
          <w:tcPr>
            <w:tcW w:w="2642" w:type="pct"/>
            <w:tcBorders>
              <w:top w:val="nil"/>
              <w:bottom w:val="nil"/>
            </w:tcBorders>
            <w:shd w:val="clear" w:color="auto" w:fill="auto"/>
          </w:tcPr>
          <w:p w:rsidR="00D00D53" w:rsidRPr="00DD665D" w:rsidRDefault="00D00D53" w:rsidP="00BE0D4B">
            <w:pPr>
              <w:spacing w:before="40" w:after="40" w:line="220" w:lineRule="atLeast"/>
              <w:rPr>
                <w:b/>
                <w:sz w:val="20"/>
              </w:rPr>
            </w:pPr>
            <w:r w:rsidRPr="00DD665D">
              <w:rPr>
                <w:b/>
                <w:sz w:val="20"/>
              </w:rPr>
              <w:t>Collection of work</w:t>
            </w:r>
            <w:r>
              <w:rPr>
                <w:b/>
                <w:sz w:val="20"/>
              </w:rPr>
              <w:t xml:space="preserve">: </w:t>
            </w:r>
            <w:r w:rsidRPr="00DD665D">
              <w:rPr>
                <w:b/>
                <w:sz w:val="20"/>
              </w:rPr>
              <w:t xml:space="preserve">Science journal (Written) </w:t>
            </w:r>
          </w:p>
          <w:p w:rsidR="00D00D53" w:rsidRPr="004F2117" w:rsidRDefault="00D00D53" w:rsidP="00DD102B">
            <w:pPr>
              <w:pStyle w:val="Tabletext"/>
            </w:pPr>
            <w:r w:rsidRPr="004F2117">
              <w:t>Throughout the unit</w:t>
            </w:r>
            <w:r>
              <w:t>,</w:t>
            </w:r>
            <w:r w:rsidRPr="004F2117">
              <w:t xml:space="preserve"> students plan and summarise their research. S</w:t>
            </w:r>
            <w:r>
              <w:t>tudents’ s</w:t>
            </w:r>
            <w:r w:rsidRPr="004F2117">
              <w:t xml:space="preserve">cience journal entries </w:t>
            </w:r>
            <w:r>
              <w:t xml:space="preserve">include: </w:t>
            </w:r>
          </w:p>
          <w:p w:rsidR="00D00D53" w:rsidRDefault="00D00D53" w:rsidP="00BE0D4B">
            <w:pPr>
              <w:pStyle w:val="Tablebullets"/>
            </w:pPr>
            <w:r>
              <w:t>investigation methods</w:t>
            </w:r>
          </w:p>
          <w:p w:rsidR="00D00D53" w:rsidRDefault="00D00D53" w:rsidP="00BE0D4B">
            <w:pPr>
              <w:pStyle w:val="Tablebullets"/>
            </w:pPr>
            <w:r>
              <w:t>predictions</w:t>
            </w:r>
          </w:p>
          <w:p w:rsidR="00D00D53" w:rsidRPr="00A037D1" w:rsidRDefault="00D00D53" w:rsidP="00BE0D4B">
            <w:pPr>
              <w:pStyle w:val="Tablebullets"/>
            </w:pPr>
            <w:r w:rsidRPr="00A037D1">
              <w:t>graphs and tables</w:t>
            </w:r>
          </w:p>
          <w:p w:rsidR="00D00D53" w:rsidRDefault="00D00D53" w:rsidP="00BE0D4B">
            <w:pPr>
              <w:pStyle w:val="Tablebullets"/>
            </w:pPr>
            <w:r>
              <w:t>labelled diagrams</w:t>
            </w:r>
          </w:p>
          <w:p w:rsidR="00D00D53" w:rsidRDefault="00D00D53" w:rsidP="00BE0D4B">
            <w:pPr>
              <w:pStyle w:val="Tablebullets"/>
            </w:pPr>
            <w:r>
              <w:t>written</w:t>
            </w:r>
            <w:r w:rsidRPr="00A037D1">
              <w:t xml:space="preserve"> explanations</w:t>
            </w:r>
          </w:p>
          <w:p w:rsidR="00D00D53" w:rsidRDefault="00D00D53" w:rsidP="00BE0D4B">
            <w:pPr>
              <w:pStyle w:val="Tablebullets"/>
            </w:pPr>
            <w:r>
              <w:t>conclusions</w:t>
            </w:r>
            <w:r w:rsidR="00761937">
              <w:t>, drawn from research</w:t>
            </w:r>
          </w:p>
          <w:p w:rsidR="00D00D53" w:rsidRDefault="00D00D53" w:rsidP="00BE0D4B">
            <w:pPr>
              <w:pStyle w:val="Tablebullets"/>
            </w:pPr>
            <w:r>
              <w:t>science reports.</w:t>
            </w:r>
          </w:p>
        </w:tc>
        <w:tc>
          <w:tcPr>
            <w:tcW w:w="906" w:type="pct"/>
            <w:tcBorders>
              <w:top w:val="nil"/>
              <w:bottom w:val="nil"/>
            </w:tcBorders>
            <w:shd w:val="clear" w:color="auto" w:fill="auto"/>
          </w:tcPr>
          <w:p w:rsidR="00D00D53" w:rsidRDefault="00D00D53" w:rsidP="00BE0D4B">
            <w:pPr>
              <w:pStyle w:val="Tabletext"/>
            </w:pPr>
            <w:r>
              <w:t>Ongoing throughout the unit</w:t>
            </w:r>
          </w:p>
        </w:tc>
        <w:tc>
          <w:tcPr>
            <w:tcW w:w="1452" w:type="pct"/>
            <w:vMerge/>
            <w:tcBorders>
              <w:bottom w:val="single" w:sz="4" w:space="0" w:color="00928F"/>
            </w:tcBorders>
            <w:shd w:val="clear" w:color="auto" w:fill="auto"/>
          </w:tcPr>
          <w:p w:rsidR="00D00D53" w:rsidRPr="00030551" w:rsidRDefault="00D00D53" w:rsidP="00030551">
            <w:pPr>
              <w:pStyle w:val="Tabletext"/>
            </w:pPr>
          </w:p>
        </w:tc>
      </w:tr>
      <w:tr w:rsidR="00B0692F" w:rsidRPr="00030551" w:rsidTr="00D00D53">
        <w:trPr>
          <w:jc w:val="center"/>
        </w:trPr>
        <w:tc>
          <w:tcPr>
            <w:tcW w:w="2642" w:type="pct"/>
            <w:tcBorders>
              <w:top w:val="nil"/>
            </w:tcBorders>
            <w:shd w:val="clear" w:color="auto" w:fill="auto"/>
          </w:tcPr>
          <w:p w:rsidR="00B0692F" w:rsidRPr="00B0692F" w:rsidRDefault="00B0692F" w:rsidP="00B0692F">
            <w:pPr>
              <w:spacing w:before="40" w:after="40" w:line="220" w:lineRule="atLeast"/>
              <w:rPr>
                <w:b/>
                <w:sz w:val="20"/>
              </w:rPr>
            </w:pPr>
            <w:r w:rsidRPr="00B0692F">
              <w:rPr>
                <w:b/>
                <w:sz w:val="20"/>
              </w:rPr>
              <w:t>Research</w:t>
            </w:r>
            <w:r w:rsidR="00D00D53">
              <w:rPr>
                <w:b/>
                <w:sz w:val="20"/>
              </w:rPr>
              <w:t xml:space="preserve">: </w:t>
            </w:r>
            <w:r w:rsidRPr="00B0692F">
              <w:rPr>
                <w:b/>
                <w:sz w:val="20"/>
              </w:rPr>
              <w:t>Interview (Multimodal)</w:t>
            </w:r>
          </w:p>
          <w:p w:rsidR="00B0692F" w:rsidRDefault="00B0692F" w:rsidP="00532344">
            <w:pPr>
              <w:pStyle w:val="Tablebullets"/>
              <w:numPr>
                <w:ilvl w:val="0"/>
                <w:numId w:val="1"/>
              </w:numPr>
            </w:pPr>
            <w:r>
              <w:t>Students work in pairs to plan, research and present an interview about a geological or extreme weather event. Possible events or conditions could include earthquakes, tsunamis, volcanic eruptions, floods, cyclones, and droughts.</w:t>
            </w:r>
          </w:p>
          <w:p w:rsidR="00B0692F" w:rsidRDefault="00B0692F" w:rsidP="00532344">
            <w:pPr>
              <w:pStyle w:val="Tablebullets"/>
              <w:numPr>
                <w:ilvl w:val="0"/>
                <w:numId w:val="1"/>
              </w:numPr>
            </w:pPr>
            <w:r>
              <w:t xml:space="preserve">Students may assume roles within the interview, with one or both students being experts on the event. </w:t>
            </w:r>
          </w:p>
          <w:p w:rsidR="00B0692F" w:rsidRDefault="00B0692F" w:rsidP="00532344">
            <w:pPr>
              <w:pStyle w:val="Tablebullets"/>
              <w:numPr>
                <w:ilvl w:val="0"/>
                <w:numId w:val="1"/>
              </w:numPr>
            </w:pPr>
            <w:r>
              <w:t>Students can use a range of techniques to present the interview and use visual images and other support materials.</w:t>
            </w:r>
          </w:p>
          <w:p w:rsidR="00B0692F" w:rsidRDefault="00B0692F" w:rsidP="00B0692F">
            <w:pPr>
              <w:pStyle w:val="Tablebullets"/>
              <w:numPr>
                <w:ilvl w:val="0"/>
                <w:numId w:val="0"/>
              </w:numPr>
            </w:pPr>
            <w:r>
              <w:t>Suggested conditions</w:t>
            </w:r>
            <w:r w:rsidR="00BA1D57">
              <w:t>:</w:t>
            </w:r>
          </w:p>
          <w:p w:rsidR="00B0692F" w:rsidRDefault="00B0692F" w:rsidP="00532344">
            <w:pPr>
              <w:pStyle w:val="Tablebullets"/>
              <w:numPr>
                <w:ilvl w:val="0"/>
                <w:numId w:val="1"/>
              </w:numPr>
            </w:pPr>
            <w:r>
              <w:t>2</w:t>
            </w:r>
            <w:r w:rsidR="00BA1D57">
              <w:t>–</w:t>
            </w:r>
            <w:r>
              <w:t>3 minutes</w:t>
            </w:r>
          </w:p>
          <w:p w:rsidR="00B0692F" w:rsidRPr="00625522" w:rsidRDefault="00B0692F" w:rsidP="00532344">
            <w:pPr>
              <w:pStyle w:val="Tablebullets"/>
              <w:numPr>
                <w:ilvl w:val="0"/>
                <w:numId w:val="1"/>
              </w:numPr>
            </w:pPr>
            <w:r>
              <w:t>open/supervised</w:t>
            </w:r>
            <w:r w:rsidR="00BA1D57">
              <w:t>.</w:t>
            </w:r>
          </w:p>
        </w:tc>
        <w:tc>
          <w:tcPr>
            <w:tcW w:w="906" w:type="pct"/>
            <w:tcBorders>
              <w:top w:val="nil"/>
            </w:tcBorders>
            <w:shd w:val="clear" w:color="auto" w:fill="auto"/>
          </w:tcPr>
          <w:p w:rsidR="00B0692F" w:rsidRDefault="00DD102B" w:rsidP="00BE0D4B">
            <w:pPr>
              <w:pStyle w:val="Tabletext"/>
            </w:pPr>
            <w:r>
              <w:t>During the “evaluate” phase</w:t>
            </w:r>
          </w:p>
        </w:tc>
        <w:tc>
          <w:tcPr>
            <w:tcW w:w="1452" w:type="pct"/>
            <w:vMerge/>
            <w:shd w:val="clear" w:color="auto" w:fill="auto"/>
          </w:tcPr>
          <w:p w:rsidR="00B0692F" w:rsidRPr="00030551" w:rsidRDefault="00B0692F"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DD102B" w:rsidRPr="00030551" w:rsidTr="00942A22">
        <w:trPr>
          <w:trHeight w:val="6295"/>
          <w:jc w:val="center"/>
        </w:trPr>
        <w:tc>
          <w:tcPr>
            <w:tcW w:w="2680" w:type="pct"/>
            <w:shd w:val="clear" w:color="auto" w:fill="auto"/>
          </w:tcPr>
          <w:p w:rsidR="00DD102B" w:rsidRPr="00891DF2" w:rsidRDefault="00DD102B" w:rsidP="00DD102B">
            <w:pPr>
              <w:pStyle w:val="Tabletext"/>
              <w:rPr>
                <w:lang w:eastAsia="en-AU"/>
              </w:rPr>
            </w:pPr>
            <w:r w:rsidRPr="00891DF2">
              <w:rPr>
                <w:lang w:eastAsia="en-AU"/>
              </w:rPr>
              <w:t>This unit overview has been developed using the 5E inquiry model for teaching and learning science. The 5E model follows a sequence of:</w:t>
            </w:r>
          </w:p>
          <w:p w:rsidR="00DD102B" w:rsidRPr="00571140" w:rsidRDefault="00DD102B" w:rsidP="00DD102B">
            <w:pPr>
              <w:pStyle w:val="Tablebullets"/>
              <w:numPr>
                <w:ilvl w:val="0"/>
                <w:numId w:val="1"/>
              </w:numPr>
            </w:pPr>
            <w:r w:rsidRPr="00891DF2">
              <w:t xml:space="preserve">Engage </w:t>
            </w:r>
            <w:r w:rsidRPr="00891DF2">
              <w:rPr>
                <w:lang w:eastAsia="en-AU"/>
              </w:rPr>
              <w:t>—</w:t>
            </w:r>
            <w:r w:rsidRPr="00891DF2">
              <w:t xml:space="preserve"> </w:t>
            </w:r>
            <w:r w:rsidRPr="00571140">
              <w:t>begin with a lesson that captures students’ interest through an activity or question.</w:t>
            </w:r>
          </w:p>
          <w:p w:rsidR="00DD102B" w:rsidRPr="00571140" w:rsidRDefault="00DD102B" w:rsidP="00DD102B">
            <w:pPr>
              <w:pStyle w:val="Tablebullets"/>
              <w:numPr>
                <w:ilvl w:val="0"/>
                <w:numId w:val="1"/>
              </w:numPr>
            </w:pPr>
            <w:r w:rsidRPr="00571140">
              <w:t>Explore — organise hands-on activities where students explore a concept or skill.</w:t>
            </w:r>
          </w:p>
          <w:p w:rsidR="00DD102B" w:rsidRPr="00571140" w:rsidRDefault="00DD102B" w:rsidP="00DD102B">
            <w:pPr>
              <w:pStyle w:val="Tablebullets"/>
              <w:numPr>
                <w:ilvl w:val="0"/>
                <w:numId w:val="1"/>
              </w:numPr>
            </w:pPr>
            <w:r w:rsidRPr="00571140">
              <w:t>Explain — guide students to develop explanations for the experience after they have explored a concept or skill.</w:t>
            </w:r>
          </w:p>
          <w:p w:rsidR="00DD102B" w:rsidRPr="00571140" w:rsidRDefault="00DD102B" w:rsidP="00DD102B">
            <w:pPr>
              <w:pStyle w:val="Tablebullets"/>
              <w:numPr>
                <w:ilvl w:val="0"/>
                <w:numId w:val="1"/>
              </w:numPr>
            </w:pPr>
            <w:r w:rsidRPr="00571140">
              <w:t>Elaborate — encourage students to apply what they have learnt to a new situation.</w:t>
            </w:r>
          </w:p>
          <w:p w:rsidR="00DD102B" w:rsidRPr="00891DF2" w:rsidRDefault="00DD102B" w:rsidP="00DD102B">
            <w:pPr>
              <w:pStyle w:val="Tablebullets"/>
              <w:numPr>
                <w:ilvl w:val="0"/>
                <w:numId w:val="1"/>
              </w:numPr>
            </w:pPr>
            <w:r w:rsidRPr="00571140">
              <w:t>Evaluate — provide</w:t>
            </w:r>
            <w:r w:rsidRPr="00891DF2">
              <w:t xml:space="preserve"> an opportunity for students to review and reflect on their learning.</w:t>
            </w:r>
          </w:p>
          <w:p w:rsidR="00DD102B" w:rsidRPr="00B56C82" w:rsidRDefault="00DD102B" w:rsidP="00DD102B">
            <w:pPr>
              <w:pStyle w:val="Tabletext"/>
              <w:rPr>
                <w:b/>
              </w:rPr>
            </w:pPr>
            <w:r w:rsidRPr="00B56C82">
              <w:rPr>
                <w:b/>
              </w:rPr>
              <w:t xml:space="preserve">Engage </w:t>
            </w:r>
          </w:p>
          <w:p w:rsidR="00DD102B" w:rsidRDefault="00DD102B" w:rsidP="00DD102B">
            <w:pPr>
              <w:pStyle w:val="Tablebullets"/>
              <w:numPr>
                <w:ilvl w:val="0"/>
                <w:numId w:val="1"/>
              </w:numPr>
            </w:pPr>
            <w:r w:rsidRPr="00FC3848">
              <w:t xml:space="preserve">Capture students’ interest and find out what they know about the </w:t>
            </w:r>
            <w:r>
              <w:t>sudden geological changes and extreme weather conditions, e.g. earthquakes, tsunamis, volcanic eruptions, floods, cyclones, and droughts.</w:t>
            </w:r>
          </w:p>
          <w:p w:rsidR="00DD102B" w:rsidRPr="00FC3848" w:rsidRDefault="00DD102B" w:rsidP="00DD102B">
            <w:pPr>
              <w:pStyle w:val="Tablebullets"/>
              <w:numPr>
                <w:ilvl w:val="0"/>
                <w:numId w:val="1"/>
              </w:numPr>
            </w:pPr>
            <w:r>
              <w:t>Use before-and-after historical images that show changes due to earthquakes, tsunamis, volcanic eruptions, floods, cyclones, and droughts. Newspaper articles and documentaries could also be used.</w:t>
            </w:r>
          </w:p>
          <w:p w:rsidR="00DD102B" w:rsidRPr="00FC3848" w:rsidRDefault="00DD102B" w:rsidP="00DD102B">
            <w:pPr>
              <w:pStyle w:val="Tablebullets"/>
              <w:numPr>
                <w:ilvl w:val="0"/>
                <w:numId w:val="1"/>
              </w:numPr>
            </w:pPr>
            <w:r>
              <w:t>E</w:t>
            </w:r>
            <w:r w:rsidRPr="00FC3848">
              <w:t xml:space="preserve">licit students’ questions </w:t>
            </w:r>
            <w:r>
              <w:t>to create a question board.</w:t>
            </w:r>
            <w:r w:rsidRPr="00FC3848">
              <w:t xml:space="preserve"> </w:t>
            </w:r>
          </w:p>
          <w:p w:rsidR="00DD102B" w:rsidRPr="00FC3848" w:rsidRDefault="00DD102B" w:rsidP="00DD102B">
            <w:pPr>
              <w:pStyle w:val="Tablebullets"/>
              <w:numPr>
                <w:ilvl w:val="0"/>
                <w:numId w:val="1"/>
              </w:numPr>
            </w:pPr>
            <w:r w:rsidRPr="00FC3848">
              <w:t xml:space="preserve">Use a </w:t>
            </w:r>
            <w:r>
              <w:t>science</w:t>
            </w:r>
            <w:r w:rsidRPr="00FC3848">
              <w:t xml:space="preserve"> journal </w:t>
            </w:r>
            <w:r>
              <w:t xml:space="preserve">to </w:t>
            </w:r>
            <w:r w:rsidRPr="00FC3848">
              <w:t>begin reflective entries</w:t>
            </w:r>
            <w:r>
              <w:t xml:space="preserve"> (Note: This could be an electronic version such as a wiki or forum in a shared online space).</w:t>
            </w:r>
          </w:p>
          <w:p w:rsidR="00DD102B" w:rsidRPr="00FC3848" w:rsidRDefault="00DD102B" w:rsidP="00DD102B">
            <w:pPr>
              <w:pStyle w:val="Tablebullets"/>
              <w:numPr>
                <w:ilvl w:val="0"/>
                <w:numId w:val="1"/>
              </w:numPr>
            </w:pPr>
            <w:r w:rsidRPr="00FC3848">
              <w:t>Develop and investigate subject</w:t>
            </w:r>
            <w:r>
              <w:t>-</w:t>
            </w:r>
            <w:r w:rsidRPr="00FC3848">
              <w:t xml:space="preserve">specific </w:t>
            </w:r>
            <w:r>
              <w:t>language</w:t>
            </w:r>
            <w:r w:rsidRPr="00FC3848">
              <w:t xml:space="preserve"> using a word wall and glossary</w:t>
            </w:r>
            <w:r>
              <w:t>.</w:t>
            </w:r>
          </w:p>
          <w:p w:rsidR="00DD102B" w:rsidRPr="00891DF2" w:rsidRDefault="00DD102B" w:rsidP="00DD102B">
            <w:pPr>
              <w:pStyle w:val="Tabletext"/>
              <w:rPr>
                <w:b/>
              </w:rPr>
            </w:pPr>
            <w:r w:rsidRPr="00891DF2">
              <w:rPr>
                <w:b/>
              </w:rPr>
              <w:t>Explore</w:t>
            </w:r>
          </w:p>
          <w:p w:rsidR="00DD102B" w:rsidRPr="00FC3848" w:rsidRDefault="00DD102B" w:rsidP="00DD102B">
            <w:pPr>
              <w:pStyle w:val="Tablebullets"/>
              <w:numPr>
                <w:ilvl w:val="0"/>
                <w:numId w:val="1"/>
              </w:numPr>
            </w:pPr>
            <w:r w:rsidRPr="00FC3848">
              <w:t xml:space="preserve">Model </w:t>
            </w:r>
            <w:r>
              <w:t>sudden geological changes and extreme weather using a range of visual aids.</w:t>
            </w:r>
          </w:p>
          <w:p w:rsidR="00DD102B" w:rsidRDefault="00DD102B" w:rsidP="00DD102B">
            <w:pPr>
              <w:pStyle w:val="Tablebullets"/>
              <w:numPr>
                <w:ilvl w:val="0"/>
                <w:numId w:val="1"/>
              </w:numPr>
            </w:pPr>
            <w:r>
              <w:t>I</w:t>
            </w:r>
            <w:r w:rsidRPr="00FC3848">
              <w:t xml:space="preserve">nvestigate and review understanding of </w:t>
            </w:r>
            <w:r>
              <w:t>sudden geological changes and extreme weather conditions</w:t>
            </w:r>
            <w:r w:rsidRPr="00FC3848">
              <w:t xml:space="preserve"> using factual texts</w:t>
            </w:r>
            <w:r>
              <w:t>.</w:t>
            </w:r>
            <w:r w:rsidRPr="00FC3848">
              <w:t xml:space="preserve"> </w:t>
            </w:r>
          </w:p>
          <w:p w:rsidR="00DD102B" w:rsidRPr="00FC3848" w:rsidRDefault="00DD102B" w:rsidP="00DD102B">
            <w:pPr>
              <w:pStyle w:val="Tablebullets"/>
              <w:numPr>
                <w:ilvl w:val="0"/>
                <w:numId w:val="1"/>
              </w:numPr>
            </w:pPr>
            <w:r w:rsidRPr="00FC3848">
              <w:t>Complete a 5W</w:t>
            </w:r>
            <w:r>
              <w:t xml:space="preserve"> (Who, what, when, where, why?) template to </w:t>
            </w:r>
            <w:r w:rsidRPr="00FC3848">
              <w:t>summar</w:t>
            </w:r>
            <w:r>
              <w:t>ise</w:t>
            </w:r>
            <w:r w:rsidRPr="00FC3848">
              <w:t xml:space="preserve"> information.</w:t>
            </w:r>
          </w:p>
          <w:p w:rsidR="00DD102B" w:rsidRPr="00F97393" w:rsidRDefault="00DD102B" w:rsidP="00DD102B">
            <w:pPr>
              <w:pStyle w:val="Tablebullets"/>
              <w:numPr>
                <w:ilvl w:val="0"/>
                <w:numId w:val="1"/>
              </w:numPr>
            </w:pPr>
            <w:r>
              <w:t>Observe</w:t>
            </w:r>
            <w:r w:rsidRPr="00FC3848">
              <w:t xml:space="preserve"> the effects of historical and recent </w:t>
            </w:r>
            <w:r>
              <w:t>geological changes and extreme weather on environments and communities.</w:t>
            </w:r>
          </w:p>
          <w:p w:rsidR="00A2009C" w:rsidRPr="00DD102B" w:rsidRDefault="00A2009C" w:rsidP="00A2009C">
            <w:pPr>
              <w:spacing w:before="40" w:after="40" w:line="220" w:lineRule="atLeast"/>
              <w:rPr>
                <w:b/>
                <w:sz w:val="20"/>
              </w:rPr>
            </w:pPr>
            <w:r w:rsidRPr="00DD102B">
              <w:rPr>
                <w:b/>
                <w:sz w:val="20"/>
              </w:rPr>
              <w:t>Explain</w:t>
            </w:r>
          </w:p>
          <w:p w:rsidR="00A2009C" w:rsidRPr="00DD102B" w:rsidRDefault="00A2009C" w:rsidP="00A2009C">
            <w:pPr>
              <w:pStyle w:val="Tablebullets"/>
              <w:numPr>
                <w:ilvl w:val="0"/>
                <w:numId w:val="1"/>
              </w:numPr>
            </w:pPr>
            <w:r w:rsidRPr="00DD102B">
              <w:t>Collect numerical and factual information about sudden geological changes and extreme weather conditions.</w:t>
            </w:r>
          </w:p>
          <w:p w:rsidR="00A2009C" w:rsidRPr="00DD102B" w:rsidRDefault="00A2009C" w:rsidP="00A2009C">
            <w:pPr>
              <w:pStyle w:val="Tablebullets"/>
              <w:numPr>
                <w:ilvl w:val="0"/>
                <w:numId w:val="1"/>
              </w:numPr>
            </w:pPr>
            <w:r w:rsidRPr="00DD102B">
              <w:t xml:space="preserve">Investigate, analyse and interpret a model of Earth’s internal structure. </w:t>
            </w:r>
          </w:p>
          <w:p w:rsidR="00A2009C" w:rsidRPr="00DD102B" w:rsidRDefault="00A2009C" w:rsidP="00A2009C">
            <w:pPr>
              <w:pStyle w:val="Tablebullets"/>
              <w:numPr>
                <w:ilvl w:val="0"/>
                <w:numId w:val="1"/>
              </w:numPr>
            </w:pPr>
            <w:r w:rsidRPr="00DD102B">
              <w:t>Introduce concepts and terminology associated with geological events or weather conditions, e.g. magnitude, intensity, seismic scales (Richter scale and Modified Mercalli scale), volcanic plumes, satellite instruments, gas sampling, DART (deep</w:t>
            </w:r>
            <w:r w:rsidRPr="00DD102B">
              <w:noBreakHyphen/>
              <w:t>ocean assessment and reporting of tsunamis) buoy.</w:t>
            </w:r>
          </w:p>
          <w:p w:rsidR="00A2009C" w:rsidRPr="00DD102B" w:rsidRDefault="00A2009C" w:rsidP="00A2009C">
            <w:pPr>
              <w:pStyle w:val="Tablebullets"/>
              <w:numPr>
                <w:ilvl w:val="0"/>
                <w:numId w:val="1"/>
              </w:numPr>
            </w:pPr>
            <w:r w:rsidRPr="00DD102B">
              <w:t>Explain that scientists such as seismologists, hydrologists, meteorologists and volcanologists use scientific instruments to observe, measure and record activity.</w:t>
            </w:r>
          </w:p>
          <w:p w:rsidR="00A2009C" w:rsidRPr="00DD102B" w:rsidRDefault="00A2009C" w:rsidP="00A2009C">
            <w:pPr>
              <w:pStyle w:val="Tablebullets"/>
              <w:numPr>
                <w:ilvl w:val="0"/>
                <w:numId w:val="1"/>
              </w:numPr>
            </w:pPr>
            <w:r w:rsidRPr="00DD102B">
              <w:t>Share information using scientific language. Students may use models and descriptions to represent their understanding of such changes to the Earth’s surface</w:t>
            </w:r>
            <w:r w:rsidR="000B6011">
              <w:t>.</w:t>
            </w:r>
            <w:r w:rsidRPr="00DD102B">
              <w:t xml:space="preserve"> </w:t>
            </w:r>
          </w:p>
          <w:p w:rsidR="00A2009C" w:rsidRPr="00DD102B" w:rsidRDefault="00A2009C" w:rsidP="00A2009C">
            <w:pPr>
              <w:pStyle w:val="Tablebullets"/>
              <w:numPr>
                <w:ilvl w:val="0"/>
                <w:numId w:val="1"/>
              </w:numPr>
            </w:pPr>
            <w:r w:rsidRPr="00DD102B">
              <w:t>Use online resources to provide examples of scientists as experts.</w:t>
            </w:r>
          </w:p>
          <w:p w:rsidR="00A2009C" w:rsidRPr="00DD102B" w:rsidRDefault="00A2009C" w:rsidP="00A2009C">
            <w:pPr>
              <w:spacing w:before="40" w:after="40" w:line="220" w:lineRule="atLeast"/>
              <w:rPr>
                <w:b/>
                <w:sz w:val="20"/>
              </w:rPr>
            </w:pPr>
            <w:r w:rsidRPr="00DD102B">
              <w:rPr>
                <w:b/>
                <w:sz w:val="20"/>
              </w:rPr>
              <w:t>Evaluate</w:t>
            </w:r>
          </w:p>
          <w:p w:rsidR="00A2009C" w:rsidRPr="00DD102B" w:rsidRDefault="00A2009C" w:rsidP="00A2009C">
            <w:pPr>
              <w:pStyle w:val="Tablebullets"/>
              <w:numPr>
                <w:ilvl w:val="0"/>
                <w:numId w:val="1"/>
              </w:numPr>
            </w:pPr>
            <w:r w:rsidRPr="00DD102B">
              <w:t xml:space="preserve">Work on the assessment task where students plan, research and present an interview about a geological or extreme weather event. </w:t>
            </w:r>
          </w:p>
          <w:p w:rsidR="00A2009C" w:rsidRPr="00DD102B" w:rsidRDefault="00A2009C" w:rsidP="00A2009C">
            <w:pPr>
              <w:pStyle w:val="Tablebullets"/>
              <w:numPr>
                <w:ilvl w:val="0"/>
                <w:numId w:val="1"/>
              </w:numPr>
            </w:pPr>
            <w:r w:rsidRPr="00DD102B">
              <w:t>Reflect on their investigations and learning during the unit.</w:t>
            </w:r>
          </w:p>
          <w:p w:rsidR="00A2009C" w:rsidRPr="00DD102B" w:rsidRDefault="00A2009C" w:rsidP="00A2009C">
            <w:pPr>
              <w:spacing w:before="40" w:after="40" w:line="220" w:lineRule="atLeast"/>
              <w:rPr>
                <w:b/>
                <w:sz w:val="20"/>
              </w:rPr>
            </w:pPr>
            <w:r w:rsidRPr="00DD102B">
              <w:rPr>
                <w:b/>
                <w:sz w:val="20"/>
              </w:rPr>
              <w:t>Elaborate</w:t>
            </w:r>
          </w:p>
          <w:p w:rsidR="00A2009C" w:rsidRPr="00DD102B" w:rsidRDefault="00A2009C" w:rsidP="00A2009C">
            <w:pPr>
              <w:pStyle w:val="Tablebullets"/>
              <w:numPr>
                <w:ilvl w:val="0"/>
                <w:numId w:val="1"/>
              </w:numPr>
            </w:pPr>
            <w:r w:rsidRPr="00DD102B">
              <w:t>Investigate and compare geological changes and extreme weather conditions in Australia and neighbouring countries.</w:t>
            </w:r>
          </w:p>
          <w:p w:rsidR="00A2009C" w:rsidRPr="00DD102B" w:rsidRDefault="00A2009C" w:rsidP="00A2009C">
            <w:pPr>
              <w:pStyle w:val="Tablebullets"/>
              <w:numPr>
                <w:ilvl w:val="0"/>
                <w:numId w:val="1"/>
              </w:numPr>
            </w:pPr>
            <w:r w:rsidRPr="00DD102B">
              <w:t>Suggest reasons for the higher rate of earthquake activity in some of Australia’s neighbouring countries.</w:t>
            </w:r>
          </w:p>
          <w:p w:rsidR="00A2009C" w:rsidRPr="00DD102B" w:rsidRDefault="00A2009C" w:rsidP="00A2009C">
            <w:pPr>
              <w:pStyle w:val="Tablebullets"/>
              <w:numPr>
                <w:ilvl w:val="0"/>
                <w:numId w:val="1"/>
              </w:numPr>
            </w:pPr>
            <w:r w:rsidRPr="00DD102B">
              <w:t>Research the scientific research and work being conducted in various centres around the world to advance global disaster alerts and communications.</w:t>
            </w:r>
          </w:p>
          <w:p w:rsidR="00A2009C" w:rsidRPr="00F97393" w:rsidRDefault="00A2009C" w:rsidP="00A2009C">
            <w:pPr>
              <w:pStyle w:val="Tablebullets"/>
              <w:numPr>
                <w:ilvl w:val="0"/>
                <w:numId w:val="1"/>
              </w:numPr>
            </w:pPr>
            <w:r w:rsidRPr="00DD102B">
              <w:t>Discuss how the scientific information gathered from geological and weather events is used to inform future decisions of communities.</w:t>
            </w:r>
          </w:p>
        </w:tc>
        <w:tc>
          <w:tcPr>
            <w:tcW w:w="1203" w:type="pct"/>
            <w:shd w:val="clear" w:color="auto" w:fill="auto"/>
          </w:tcPr>
          <w:p w:rsidR="00DD102B" w:rsidRDefault="00DD102B" w:rsidP="00FA4C69">
            <w:pPr>
              <w:pStyle w:val="Tabletext"/>
            </w:pPr>
            <w:r>
              <w:t xml:space="preserve">Section 6 of the </w:t>
            </w:r>
            <w:r>
              <w:rPr>
                <w:i/>
              </w:rPr>
              <w:t xml:space="preserve">Disability Standards for Education </w:t>
            </w:r>
            <w:r>
              <w:t>(The Standards for Curriculum Development, Accreditation and Delivery) state</w:t>
            </w:r>
            <w:r w:rsidR="00BA1D57">
              <w:t>s</w:t>
            </w:r>
            <w:r>
              <w:t xml:space="preserve"> that education providers, including class teachers, must take reasonable steps to ensure a course/program is designed to allow any student to participate and experience success in learning. </w:t>
            </w:r>
          </w:p>
          <w:p w:rsidR="00DD102B" w:rsidRDefault="00DD102B"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DD102B" w:rsidRDefault="00DD102B" w:rsidP="00FA4C69">
            <w:pPr>
              <w:pStyle w:val="Tabletext"/>
            </w:pPr>
          </w:p>
          <w:p w:rsidR="00DD102B" w:rsidRPr="00DD102B" w:rsidRDefault="00DD102B" w:rsidP="00DD102B">
            <w:pPr>
              <w:pStyle w:val="Tabletext"/>
            </w:pPr>
          </w:p>
        </w:tc>
        <w:tc>
          <w:tcPr>
            <w:tcW w:w="1117" w:type="pct"/>
            <w:shd w:val="clear" w:color="auto" w:fill="auto"/>
          </w:tcPr>
          <w:p w:rsidR="00DD102B" w:rsidRPr="00845864" w:rsidRDefault="00DD102B" w:rsidP="00DD102B">
            <w:pPr>
              <w:pStyle w:val="Tablesubhead"/>
              <w:rPr>
                <w:lang w:eastAsia="en-AU"/>
              </w:rPr>
            </w:pPr>
            <w:r w:rsidRPr="00845864">
              <w:rPr>
                <w:lang w:eastAsia="en-AU"/>
              </w:rPr>
              <w:t>Web</w:t>
            </w:r>
          </w:p>
          <w:p w:rsidR="00DD102B" w:rsidRPr="00845864" w:rsidRDefault="00DD102B" w:rsidP="00DD102B">
            <w:pPr>
              <w:pStyle w:val="Tablebullets"/>
              <w:numPr>
                <w:ilvl w:val="0"/>
                <w:numId w:val="1"/>
              </w:numPr>
            </w:pPr>
            <w:r w:rsidRPr="00845864">
              <w:t>websites for videos</w:t>
            </w:r>
            <w:r>
              <w:t xml:space="preserve"> of geological and extreme weather events</w:t>
            </w:r>
          </w:p>
          <w:p w:rsidR="00DD102B" w:rsidRPr="00845864" w:rsidRDefault="00DD102B" w:rsidP="00DD102B">
            <w:pPr>
              <w:pStyle w:val="Tablebullets"/>
              <w:numPr>
                <w:ilvl w:val="0"/>
                <w:numId w:val="1"/>
              </w:numPr>
            </w:pPr>
            <w:r w:rsidRPr="00845864">
              <w:t xml:space="preserve">free images </w:t>
            </w:r>
          </w:p>
          <w:p w:rsidR="00DD102B" w:rsidRPr="00845864" w:rsidRDefault="00DD102B" w:rsidP="00DD102B">
            <w:pPr>
              <w:pStyle w:val="Tablebullets"/>
              <w:numPr>
                <w:ilvl w:val="0"/>
                <w:numId w:val="1"/>
              </w:numPr>
            </w:pPr>
            <w:r w:rsidRPr="00845864">
              <w:t>websites for factsheets</w:t>
            </w:r>
            <w:r>
              <w:t xml:space="preserve"> and</w:t>
            </w:r>
            <w:r w:rsidRPr="00845864">
              <w:t xml:space="preserve"> interactive worksheets</w:t>
            </w:r>
          </w:p>
          <w:p w:rsidR="00DD102B" w:rsidRPr="00845864" w:rsidRDefault="00DD102B" w:rsidP="00DD102B">
            <w:pPr>
              <w:pStyle w:val="Tablesubhead"/>
            </w:pPr>
            <w:r w:rsidRPr="00845864">
              <w:t>Print</w:t>
            </w:r>
          </w:p>
          <w:p w:rsidR="00DD102B" w:rsidRDefault="00DD102B" w:rsidP="00DD102B">
            <w:pPr>
              <w:pStyle w:val="Tablebullets"/>
              <w:numPr>
                <w:ilvl w:val="0"/>
                <w:numId w:val="1"/>
              </w:numPr>
            </w:pPr>
            <w:r w:rsidRPr="00845864">
              <w:t>free images</w:t>
            </w:r>
          </w:p>
          <w:p w:rsidR="00DD102B" w:rsidRPr="00845864" w:rsidRDefault="00DD102B" w:rsidP="00DD102B">
            <w:pPr>
              <w:pStyle w:val="Tablebullets"/>
              <w:numPr>
                <w:ilvl w:val="0"/>
                <w:numId w:val="1"/>
              </w:numPr>
            </w:pPr>
            <w:r>
              <w:t>newspapers</w:t>
            </w:r>
          </w:p>
          <w:p w:rsidR="00DD102B" w:rsidRDefault="00DD102B" w:rsidP="00DD102B">
            <w:pPr>
              <w:pStyle w:val="Tablebullets"/>
              <w:numPr>
                <w:ilvl w:val="0"/>
                <w:numId w:val="1"/>
              </w:numPr>
            </w:pPr>
            <w:r w:rsidRPr="00845864">
              <w:t xml:space="preserve">worksheets </w:t>
            </w:r>
          </w:p>
          <w:p w:rsidR="00DD102B" w:rsidRPr="00DD102B" w:rsidRDefault="00DD102B" w:rsidP="00DD102B">
            <w:pPr>
              <w:pStyle w:val="Tablebullets"/>
              <w:numPr>
                <w:ilvl w:val="0"/>
                <w:numId w:val="1"/>
              </w:numPr>
            </w:pPr>
            <w:r w:rsidRPr="00845864">
              <w:t>word wall</w:t>
            </w:r>
          </w:p>
        </w:tc>
      </w:tr>
    </w:tbl>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DF6E7A"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F6E7A" w:rsidRPr="00B00EB7" w:rsidRDefault="00DF6E7A"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F6E7A" w:rsidRPr="004505B0" w:rsidRDefault="00DF6E7A" w:rsidP="000E6B87">
            <w:pPr>
              <w:pStyle w:val="Tabletext"/>
            </w:pPr>
            <w:r w:rsidRPr="004505B0">
              <w:t>Teachers collaboratively plan the teaching, learning and assessment to meet the needs of all learners.</w:t>
            </w:r>
          </w:p>
          <w:p w:rsidR="00DF6E7A" w:rsidRPr="00A57EDB" w:rsidRDefault="00DF6E7A" w:rsidP="000E6B87">
            <w:pPr>
              <w:pStyle w:val="Tabletext"/>
            </w:pPr>
            <w:r w:rsidRPr="004505B0">
              <w:t>Before</w:t>
            </w:r>
            <w:r>
              <w:t xml:space="preserve"> the multimodal presentation, teachers discuss task-specific descriptors of the quality of student performance. Teachers individually mark all student responses, applying the shared understanding achieved through this calibration process.</w:t>
            </w:r>
          </w:p>
        </w:tc>
      </w:tr>
      <w:tr w:rsidR="00DF6E7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F6E7A" w:rsidRPr="00B00EB7" w:rsidRDefault="00DF6E7A"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F6E7A" w:rsidRPr="00A57EDB" w:rsidRDefault="00DF6E7A" w:rsidP="000E6B87">
            <w:pPr>
              <w:pStyle w:val="Tabletext"/>
            </w:pPr>
            <w:r>
              <w:t xml:space="preserve">Teachers plan opportunities through the teaching strategies and learning experiences of the unit. Teachers provide ongoing feedback </w:t>
            </w:r>
            <w:r w:rsidRPr="004505B0">
              <w:t>and</w:t>
            </w:r>
            <w:r>
              <w:t xml:space="preserve"> encouragement to students on their strengths and areas for improvement. Through particular learning experiences students can reflect on and discuss with their teachers and peers what they are able to do well and what they need to do to improve.</w:t>
            </w:r>
          </w:p>
        </w:tc>
      </w:tr>
      <w:tr w:rsidR="00DF6E7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F6E7A" w:rsidRPr="00B00EB7" w:rsidRDefault="00DF6E7A"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F6E7A" w:rsidRPr="00EC07AF" w:rsidRDefault="00DF6E7A" w:rsidP="000E6B87">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DF6E7A" w:rsidRPr="004505B0" w:rsidRDefault="00DF6E7A" w:rsidP="00DF6E7A">
            <w:pPr>
              <w:pStyle w:val="Tablebullets"/>
              <w:numPr>
                <w:ilvl w:val="0"/>
                <w:numId w:val="1"/>
              </w:numPr>
            </w:pPr>
            <w:r w:rsidRPr="004505B0">
              <w:t>What worked well in this unit?</w:t>
            </w:r>
          </w:p>
          <w:p w:rsidR="00DF6E7A" w:rsidRPr="004505B0" w:rsidRDefault="00DF6E7A" w:rsidP="00DF6E7A">
            <w:pPr>
              <w:pStyle w:val="Tablebullets"/>
              <w:numPr>
                <w:ilvl w:val="0"/>
                <w:numId w:val="1"/>
              </w:numPr>
            </w:pPr>
            <w:r w:rsidRPr="004505B0">
              <w:t>What was a stumbling block?</w:t>
            </w:r>
          </w:p>
          <w:p w:rsidR="00DF6E7A" w:rsidRPr="004505B0" w:rsidRDefault="00DF6E7A" w:rsidP="00DF6E7A">
            <w:pPr>
              <w:pStyle w:val="Tablebullets"/>
              <w:numPr>
                <w:ilvl w:val="0"/>
                <w:numId w:val="1"/>
              </w:numPr>
            </w:pPr>
            <w:r w:rsidRPr="004505B0">
              <w:t>How would you refine it?</w:t>
            </w:r>
          </w:p>
          <w:p w:rsidR="00DF6E7A" w:rsidRPr="004505B0" w:rsidRDefault="00DF6E7A" w:rsidP="00DF6E7A">
            <w:pPr>
              <w:pStyle w:val="Tablebullets"/>
              <w:numPr>
                <w:ilvl w:val="0"/>
                <w:numId w:val="1"/>
              </w:numPr>
            </w:pPr>
            <w:r w:rsidRPr="004505B0">
              <w:t xml:space="preserve">What trends and gaps in learning have you identified? </w:t>
            </w:r>
          </w:p>
          <w:p w:rsidR="00DF6E7A" w:rsidRPr="00A57EDB" w:rsidRDefault="00DF6E7A" w:rsidP="00DF6E7A">
            <w:pPr>
              <w:pStyle w:val="Tablebullets"/>
              <w:numPr>
                <w:ilvl w:val="0"/>
                <w:numId w:val="1"/>
              </w:numPr>
            </w:pPr>
            <w:r w:rsidRPr="004505B0">
              <w:t>How will you build on these learning experiences next term and beyond?</w:t>
            </w:r>
          </w:p>
        </w:tc>
      </w:tr>
    </w:tbl>
    <w:p w:rsidR="00A4154C" w:rsidRPr="008300AE" w:rsidRDefault="00A4154C" w:rsidP="008300AE"/>
    <w:sectPr w:rsidR="00A4154C" w:rsidRPr="008300AE" w:rsidSect="00BD1420">
      <w:footerReference w:type="even" r:id="rId38"/>
      <w:footerReference w:type="default" r:id="rId39"/>
      <w:headerReference w:type="first" r:id="rId40"/>
      <w:footerReference w:type="first" r:id="rId41"/>
      <w:pgSz w:w="16840" w:h="11907" w:orient="landscape" w:code="9"/>
      <w:pgMar w:top="993" w:right="1134" w:bottom="1440"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19" w:rsidRDefault="00031219">
      <w:r>
        <w:separator/>
      </w:r>
    </w:p>
  </w:endnote>
  <w:endnote w:type="continuationSeparator" w:id="0">
    <w:p w:rsidR="00031219" w:rsidRDefault="0003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2B" w:rsidRDefault="00DD102B"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62A10">
      <w:rPr>
        <w:rStyle w:val="Footerbold"/>
        <w:noProof/>
      </w:rPr>
      <w:t>2</w:t>
    </w:r>
    <w:r w:rsidRPr="001947AE">
      <w:rPr>
        <w:rStyle w:val="Footerbold"/>
      </w:rPr>
      <w:fldChar w:fldCharType="end"/>
    </w:r>
    <w:r w:rsidRPr="00AA55F1">
      <w:tab/>
      <w:t>|</w:t>
    </w:r>
    <w:r w:rsidRPr="00AA55F1">
      <w:tab/>
    </w:r>
    <w:r>
      <w:rPr>
        <w:rStyle w:val="Footerbold"/>
      </w:rPr>
      <w:t>Year 6</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2B" w:rsidRDefault="00DD102B"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D00D53">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62A10">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2B" w:rsidRDefault="00C62A10"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19" w:rsidRDefault="00031219">
      <w:r>
        <w:separator/>
      </w:r>
    </w:p>
  </w:footnote>
  <w:footnote w:type="continuationSeparator" w:id="0">
    <w:p w:rsidR="00031219" w:rsidRDefault="0003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2B" w:rsidRPr="002E4C72" w:rsidRDefault="00C62A1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DD102B" w:rsidTr="004E0C69">
      <w:tc>
        <w:tcPr>
          <w:tcW w:w="10450" w:type="dxa"/>
          <w:shd w:val="clear" w:color="auto" w:fill="auto"/>
        </w:tcPr>
        <w:p w:rsidR="00DD102B" w:rsidRPr="00F561C0" w:rsidRDefault="00DD102B" w:rsidP="00F561C0">
          <w:r w:rsidRPr="00F561C0">
            <w:t>Insert fact sheet title</w:t>
          </w:r>
        </w:p>
        <w:p w:rsidR="00DD102B" w:rsidRPr="00F561C0" w:rsidRDefault="00DD102B" w:rsidP="00F561C0">
          <w:r w:rsidRPr="00F561C0">
            <w:t>Insert fact sheet subtitle (if necessary)</w:t>
          </w:r>
        </w:p>
        <w:p w:rsidR="00DD102B" w:rsidRPr="004E0C69" w:rsidRDefault="00DD102B" w:rsidP="004E0C69">
          <w:pPr>
            <w:tabs>
              <w:tab w:val="left" w:pos="-110"/>
              <w:tab w:val="left" w:pos="220"/>
            </w:tabs>
            <w:ind w:left="-437"/>
            <w:rPr>
              <w:color w:val="00928F"/>
              <w:szCs w:val="16"/>
            </w:rPr>
          </w:pPr>
        </w:p>
      </w:tc>
    </w:tr>
  </w:tbl>
  <w:p w:rsidR="00DD102B" w:rsidRPr="00954490" w:rsidRDefault="00DD102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84C7030"/>
    <w:multiLevelType w:val="hybridMultilevel"/>
    <w:tmpl w:val="75525FDE"/>
    <w:lvl w:ilvl="0" w:tplc="949C94EE">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6">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11"/>
  </w:num>
  <w:num w:numId="2">
    <w:abstractNumId w:val="11"/>
  </w:num>
  <w:num w:numId="3">
    <w:abstractNumId w:val="0"/>
  </w:num>
  <w:num w:numId="4">
    <w:abstractNumId w:val="6"/>
  </w:num>
  <w:num w:numId="5">
    <w:abstractNumId w:val="8"/>
  </w:num>
  <w:num w:numId="6">
    <w:abstractNumId w:val="9"/>
  </w:num>
  <w:num w:numId="7">
    <w:abstractNumId w:val="3"/>
  </w:num>
  <w:num w:numId="8">
    <w:abstractNumId w:val="4"/>
  </w:num>
  <w:num w:numId="9">
    <w:abstractNumId w:val="7"/>
  </w:num>
  <w:num w:numId="10">
    <w:abstractNumId w:val="2"/>
  </w:num>
  <w:num w:numId="11">
    <w:abstractNumId w:val="5"/>
  </w:num>
  <w:num w:numId="12">
    <w:abstractNumId w:val="10"/>
  </w:num>
  <w:num w:numId="13">
    <w:abstractNumId w:val="1"/>
  </w:num>
  <w:num w:numId="14">
    <w:abstractNumId w:val="11"/>
  </w:num>
  <w:num w:numId="15">
    <w:abstractNumId w:val="11"/>
  </w:num>
  <w:num w:numId="16">
    <w:abstractNumId w:val="11"/>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25D91"/>
    <w:rsid w:val="00030333"/>
    <w:rsid w:val="00030551"/>
    <w:rsid w:val="00031219"/>
    <w:rsid w:val="00032413"/>
    <w:rsid w:val="00033DBD"/>
    <w:rsid w:val="00035203"/>
    <w:rsid w:val="00042417"/>
    <w:rsid w:val="00042CCA"/>
    <w:rsid w:val="00043015"/>
    <w:rsid w:val="00046924"/>
    <w:rsid w:val="0006205A"/>
    <w:rsid w:val="000658BE"/>
    <w:rsid w:val="00067264"/>
    <w:rsid w:val="00073A08"/>
    <w:rsid w:val="0007560B"/>
    <w:rsid w:val="00083F6D"/>
    <w:rsid w:val="000869F0"/>
    <w:rsid w:val="00095CC0"/>
    <w:rsid w:val="000A0941"/>
    <w:rsid w:val="000A1078"/>
    <w:rsid w:val="000A28EF"/>
    <w:rsid w:val="000A6B3B"/>
    <w:rsid w:val="000B2F97"/>
    <w:rsid w:val="000B6011"/>
    <w:rsid w:val="000C7031"/>
    <w:rsid w:val="000C76A5"/>
    <w:rsid w:val="000C7E57"/>
    <w:rsid w:val="000D2D55"/>
    <w:rsid w:val="000D4545"/>
    <w:rsid w:val="000E1FFE"/>
    <w:rsid w:val="000E3F33"/>
    <w:rsid w:val="000E49E2"/>
    <w:rsid w:val="000E6B87"/>
    <w:rsid w:val="000F1EC4"/>
    <w:rsid w:val="000F76EF"/>
    <w:rsid w:val="001029DB"/>
    <w:rsid w:val="00106E2A"/>
    <w:rsid w:val="00112EB1"/>
    <w:rsid w:val="00124A32"/>
    <w:rsid w:val="00130772"/>
    <w:rsid w:val="00135C0D"/>
    <w:rsid w:val="00140672"/>
    <w:rsid w:val="00145904"/>
    <w:rsid w:val="0015354A"/>
    <w:rsid w:val="001551A7"/>
    <w:rsid w:val="001703E9"/>
    <w:rsid w:val="001739A8"/>
    <w:rsid w:val="00177A03"/>
    <w:rsid w:val="001947AE"/>
    <w:rsid w:val="001975A9"/>
    <w:rsid w:val="001A51A3"/>
    <w:rsid w:val="001A7D7B"/>
    <w:rsid w:val="001B2E32"/>
    <w:rsid w:val="001B7A4B"/>
    <w:rsid w:val="001C11BE"/>
    <w:rsid w:val="001C6D32"/>
    <w:rsid w:val="001C6E57"/>
    <w:rsid w:val="001C776C"/>
    <w:rsid w:val="001D6C85"/>
    <w:rsid w:val="001E1961"/>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5499D"/>
    <w:rsid w:val="0026463C"/>
    <w:rsid w:val="00274EBE"/>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3044FC"/>
    <w:rsid w:val="00330CF7"/>
    <w:rsid w:val="0033202F"/>
    <w:rsid w:val="003406AC"/>
    <w:rsid w:val="00342ECF"/>
    <w:rsid w:val="00346E9C"/>
    <w:rsid w:val="0035388E"/>
    <w:rsid w:val="003547DB"/>
    <w:rsid w:val="0036333C"/>
    <w:rsid w:val="003636A6"/>
    <w:rsid w:val="00364E09"/>
    <w:rsid w:val="00365706"/>
    <w:rsid w:val="003664A3"/>
    <w:rsid w:val="00372E92"/>
    <w:rsid w:val="00374483"/>
    <w:rsid w:val="00393E8B"/>
    <w:rsid w:val="0039537C"/>
    <w:rsid w:val="00396C14"/>
    <w:rsid w:val="003B07B0"/>
    <w:rsid w:val="003B6143"/>
    <w:rsid w:val="003C085F"/>
    <w:rsid w:val="003C5172"/>
    <w:rsid w:val="003C6914"/>
    <w:rsid w:val="003D3D64"/>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5C44"/>
    <w:rsid w:val="004F36D4"/>
    <w:rsid w:val="004F3B8B"/>
    <w:rsid w:val="004F6801"/>
    <w:rsid w:val="004F6974"/>
    <w:rsid w:val="005002E6"/>
    <w:rsid w:val="005052ED"/>
    <w:rsid w:val="0052010F"/>
    <w:rsid w:val="005213F2"/>
    <w:rsid w:val="00522083"/>
    <w:rsid w:val="0052313B"/>
    <w:rsid w:val="00532344"/>
    <w:rsid w:val="00532DA1"/>
    <w:rsid w:val="00537D1B"/>
    <w:rsid w:val="00544562"/>
    <w:rsid w:val="0055092E"/>
    <w:rsid w:val="005525A0"/>
    <w:rsid w:val="005632AE"/>
    <w:rsid w:val="005634CF"/>
    <w:rsid w:val="00563BF7"/>
    <w:rsid w:val="005669C0"/>
    <w:rsid w:val="005678C2"/>
    <w:rsid w:val="00576206"/>
    <w:rsid w:val="00577D04"/>
    <w:rsid w:val="00596A35"/>
    <w:rsid w:val="005A29D0"/>
    <w:rsid w:val="005A6DDB"/>
    <w:rsid w:val="005C0F27"/>
    <w:rsid w:val="005C5B93"/>
    <w:rsid w:val="005C68F1"/>
    <w:rsid w:val="005D333E"/>
    <w:rsid w:val="005D7E39"/>
    <w:rsid w:val="005E1659"/>
    <w:rsid w:val="005E1AD6"/>
    <w:rsid w:val="005E6236"/>
    <w:rsid w:val="005E70B4"/>
    <w:rsid w:val="005F1C74"/>
    <w:rsid w:val="005F397C"/>
    <w:rsid w:val="005F7BF6"/>
    <w:rsid w:val="00601796"/>
    <w:rsid w:val="00604E1C"/>
    <w:rsid w:val="00622EEE"/>
    <w:rsid w:val="00632199"/>
    <w:rsid w:val="00632A58"/>
    <w:rsid w:val="00637317"/>
    <w:rsid w:val="00642462"/>
    <w:rsid w:val="00643FEC"/>
    <w:rsid w:val="00644EF5"/>
    <w:rsid w:val="00660414"/>
    <w:rsid w:val="006733ED"/>
    <w:rsid w:val="00677F9B"/>
    <w:rsid w:val="00686DF2"/>
    <w:rsid w:val="00687891"/>
    <w:rsid w:val="00687F39"/>
    <w:rsid w:val="00696083"/>
    <w:rsid w:val="006A03B7"/>
    <w:rsid w:val="006A32FD"/>
    <w:rsid w:val="006A5222"/>
    <w:rsid w:val="006B22CB"/>
    <w:rsid w:val="006B57D6"/>
    <w:rsid w:val="006B6B74"/>
    <w:rsid w:val="006B708E"/>
    <w:rsid w:val="006C261F"/>
    <w:rsid w:val="006C7B26"/>
    <w:rsid w:val="006E1D9F"/>
    <w:rsid w:val="006E229B"/>
    <w:rsid w:val="006F6BFB"/>
    <w:rsid w:val="006F7E17"/>
    <w:rsid w:val="00704F62"/>
    <w:rsid w:val="00707D7E"/>
    <w:rsid w:val="007106ED"/>
    <w:rsid w:val="00711051"/>
    <w:rsid w:val="00717E82"/>
    <w:rsid w:val="007211E7"/>
    <w:rsid w:val="00722885"/>
    <w:rsid w:val="00722EF6"/>
    <w:rsid w:val="00726039"/>
    <w:rsid w:val="00727790"/>
    <w:rsid w:val="007322C6"/>
    <w:rsid w:val="00737522"/>
    <w:rsid w:val="0075321B"/>
    <w:rsid w:val="00753EDA"/>
    <w:rsid w:val="00761937"/>
    <w:rsid w:val="00766CCD"/>
    <w:rsid w:val="00783EF7"/>
    <w:rsid w:val="00791E9D"/>
    <w:rsid w:val="0079287A"/>
    <w:rsid w:val="00795430"/>
    <w:rsid w:val="00795D44"/>
    <w:rsid w:val="007A570B"/>
    <w:rsid w:val="007B1E7A"/>
    <w:rsid w:val="007B343C"/>
    <w:rsid w:val="007B69DC"/>
    <w:rsid w:val="007E14E8"/>
    <w:rsid w:val="007E6059"/>
    <w:rsid w:val="007F4012"/>
    <w:rsid w:val="00801CCA"/>
    <w:rsid w:val="008035EA"/>
    <w:rsid w:val="008068E1"/>
    <w:rsid w:val="008108D8"/>
    <w:rsid w:val="008248FF"/>
    <w:rsid w:val="00825079"/>
    <w:rsid w:val="008253BC"/>
    <w:rsid w:val="00826020"/>
    <w:rsid w:val="008300AE"/>
    <w:rsid w:val="008331B9"/>
    <w:rsid w:val="008406A0"/>
    <w:rsid w:val="00842772"/>
    <w:rsid w:val="00842D41"/>
    <w:rsid w:val="00845D42"/>
    <w:rsid w:val="00870E04"/>
    <w:rsid w:val="008721B3"/>
    <w:rsid w:val="008743BA"/>
    <w:rsid w:val="00881EFD"/>
    <w:rsid w:val="0088630F"/>
    <w:rsid w:val="0089026E"/>
    <w:rsid w:val="00893925"/>
    <w:rsid w:val="00893B6D"/>
    <w:rsid w:val="008A12B0"/>
    <w:rsid w:val="008A1957"/>
    <w:rsid w:val="008A31C9"/>
    <w:rsid w:val="008B31C6"/>
    <w:rsid w:val="008C4F74"/>
    <w:rsid w:val="008C78DF"/>
    <w:rsid w:val="008D28C8"/>
    <w:rsid w:val="008D4E74"/>
    <w:rsid w:val="008D55A1"/>
    <w:rsid w:val="008E05BD"/>
    <w:rsid w:val="008E1D6A"/>
    <w:rsid w:val="008E4CA6"/>
    <w:rsid w:val="008F2C5C"/>
    <w:rsid w:val="00901D92"/>
    <w:rsid w:val="00905E95"/>
    <w:rsid w:val="00912EE6"/>
    <w:rsid w:val="00933AC0"/>
    <w:rsid w:val="00942A22"/>
    <w:rsid w:val="0094644D"/>
    <w:rsid w:val="00952A73"/>
    <w:rsid w:val="00954490"/>
    <w:rsid w:val="00954542"/>
    <w:rsid w:val="00962F1D"/>
    <w:rsid w:val="00980DE3"/>
    <w:rsid w:val="00987336"/>
    <w:rsid w:val="009915CF"/>
    <w:rsid w:val="0099576A"/>
    <w:rsid w:val="00997F6F"/>
    <w:rsid w:val="009A2E8A"/>
    <w:rsid w:val="009A4FDB"/>
    <w:rsid w:val="009A5922"/>
    <w:rsid w:val="009B25E8"/>
    <w:rsid w:val="009C39B5"/>
    <w:rsid w:val="009E5523"/>
    <w:rsid w:val="009F5392"/>
    <w:rsid w:val="009F6B3E"/>
    <w:rsid w:val="00A002C7"/>
    <w:rsid w:val="00A10D9A"/>
    <w:rsid w:val="00A11DE9"/>
    <w:rsid w:val="00A1382A"/>
    <w:rsid w:val="00A1505C"/>
    <w:rsid w:val="00A17CED"/>
    <w:rsid w:val="00A2009C"/>
    <w:rsid w:val="00A20D15"/>
    <w:rsid w:val="00A21585"/>
    <w:rsid w:val="00A224CD"/>
    <w:rsid w:val="00A23112"/>
    <w:rsid w:val="00A25984"/>
    <w:rsid w:val="00A3109F"/>
    <w:rsid w:val="00A3143A"/>
    <w:rsid w:val="00A3164E"/>
    <w:rsid w:val="00A3396F"/>
    <w:rsid w:val="00A343ED"/>
    <w:rsid w:val="00A4154C"/>
    <w:rsid w:val="00A466C2"/>
    <w:rsid w:val="00A508A9"/>
    <w:rsid w:val="00A5506A"/>
    <w:rsid w:val="00A552F0"/>
    <w:rsid w:val="00A55FB3"/>
    <w:rsid w:val="00A57ED4"/>
    <w:rsid w:val="00A60632"/>
    <w:rsid w:val="00A63230"/>
    <w:rsid w:val="00A6786A"/>
    <w:rsid w:val="00A72C38"/>
    <w:rsid w:val="00A7585D"/>
    <w:rsid w:val="00A84EFE"/>
    <w:rsid w:val="00A84F22"/>
    <w:rsid w:val="00A8733F"/>
    <w:rsid w:val="00A9101E"/>
    <w:rsid w:val="00A93A2E"/>
    <w:rsid w:val="00AB7E76"/>
    <w:rsid w:val="00AC69D5"/>
    <w:rsid w:val="00AE7F34"/>
    <w:rsid w:val="00AF5074"/>
    <w:rsid w:val="00AF543B"/>
    <w:rsid w:val="00B02A7A"/>
    <w:rsid w:val="00B04CEE"/>
    <w:rsid w:val="00B05173"/>
    <w:rsid w:val="00B0692F"/>
    <w:rsid w:val="00B101E4"/>
    <w:rsid w:val="00B13144"/>
    <w:rsid w:val="00B34144"/>
    <w:rsid w:val="00B4591B"/>
    <w:rsid w:val="00B50D8C"/>
    <w:rsid w:val="00B57D25"/>
    <w:rsid w:val="00B622C7"/>
    <w:rsid w:val="00B62E37"/>
    <w:rsid w:val="00B84A97"/>
    <w:rsid w:val="00B94A92"/>
    <w:rsid w:val="00B96411"/>
    <w:rsid w:val="00BA1D57"/>
    <w:rsid w:val="00BA5999"/>
    <w:rsid w:val="00BA5AF0"/>
    <w:rsid w:val="00BB200B"/>
    <w:rsid w:val="00BB6459"/>
    <w:rsid w:val="00BC3210"/>
    <w:rsid w:val="00BC6005"/>
    <w:rsid w:val="00BC7A1D"/>
    <w:rsid w:val="00BD1420"/>
    <w:rsid w:val="00BD6A91"/>
    <w:rsid w:val="00BE0D4B"/>
    <w:rsid w:val="00C032ED"/>
    <w:rsid w:val="00C0652E"/>
    <w:rsid w:val="00C06B50"/>
    <w:rsid w:val="00C17C5D"/>
    <w:rsid w:val="00C20F38"/>
    <w:rsid w:val="00C25419"/>
    <w:rsid w:val="00C265ED"/>
    <w:rsid w:val="00C313F2"/>
    <w:rsid w:val="00C32150"/>
    <w:rsid w:val="00C4086D"/>
    <w:rsid w:val="00C42C8E"/>
    <w:rsid w:val="00C43F7E"/>
    <w:rsid w:val="00C44783"/>
    <w:rsid w:val="00C45ABF"/>
    <w:rsid w:val="00C466B4"/>
    <w:rsid w:val="00C518D4"/>
    <w:rsid w:val="00C52CEF"/>
    <w:rsid w:val="00C61DBF"/>
    <w:rsid w:val="00C62A10"/>
    <w:rsid w:val="00C66DDE"/>
    <w:rsid w:val="00C773DB"/>
    <w:rsid w:val="00C80AA2"/>
    <w:rsid w:val="00C832FB"/>
    <w:rsid w:val="00C8500A"/>
    <w:rsid w:val="00C8736D"/>
    <w:rsid w:val="00C90DCF"/>
    <w:rsid w:val="00CA11A8"/>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4274"/>
    <w:rsid w:val="00CF525B"/>
    <w:rsid w:val="00D00D53"/>
    <w:rsid w:val="00D02E2F"/>
    <w:rsid w:val="00D1265B"/>
    <w:rsid w:val="00D14778"/>
    <w:rsid w:val="00D14D37"/>
    <w:rsid w:val="00D15107"/>
    <w:rsid w:val="00D16AEA"/>
    <w:rsid w:val="00D1758B"/>
    <w:rsid w:val="00D20B1F"/>
    <w:rsid w:val="00D22FF0"/>
    <w:rsid w:val="00D256AF"/>
    <w:rsid w:val="00D31800"/>
    <w:rsid w:val="00D32FF2"/>
    <w:rsid w:val="00D347A5"/>
    <w:rsid w:val="00D3575B"/>
    <w:rsid w:val="00D368B1"/>
    <w:rsid w:val="00D41726"/>
    <w:rsid w:val="00D43C31"/>
    <w:rsid w:val="00D6503F"/>
    <w:rsid w:val="00D71B49"/>
    <w:rsid w:val="00D75580"/>
    <w:rsid w:val="00D8768B"/>
    <w:rsid w:val="00D87F03"/>
    <w:rsid w:val="00D90209"/>
    <w:rsid w:val="00DA23E4"/>
    <w:rsid w:val="00DA2605"/>
    <w:rsid w:val="00DA3A7B"/>
    <w:rsid w:val="00DA3F5B"/>
    <w:rsid w:val="00DA4B94"/>
    <w:rsid w:val="00DB5734"/>
    <w:rsid w:val="00DC2DC8"/>
    <w:rsid w:val="00DC4258"/>
    <w:rsid w:val="00DD102B"/>
    <w:rsid w:val="00DD6183"/>
    <w:rsid w:val="00DD721B"/>
    <w:rsid w:val="00DD75F1"/>
    <w:rsid w:val="00DD7720"/>
    <w:rsid w:val="00DE2DC2"/>
    <w:rsid w:val="00DE3E6E"/>
    <w:rsid w:val="00DE4B3F"/>
    <w:rsid w:val="00DE7B47"/>
    <w:rsid w:val="00DF05FD"/>
    <w:rsid w:val="00DF08A9"/>
    <w:rsid w:val="00DF6E7A"/>
    <w:rsid w:val="00DF7381"/>
    <w:rsid w:val="00DF7AB9"/>
    <w:rsid w:val="00E01506"/>
    <w:rsid w:val="00E2355E"/>
    <w:rsid w:val="00E24044"/>
    <w:rsid w:val="00E347CD"/>
    <w:rsid w:val="00E37EC9"/>
    <w:rsid w:val="00E411C4"/>
    <w:rsid w:val="00E4148E"/>
    <w:rsid w:val="00E450BE"/>
    <w:rsid w:val="00E45D49"/>
    <w:rsid w:val="00E515B0"/>
    <w:rsid w:val="00E71123"/>
    <w:rsid w:val="00E80F35"/>
    <w:rsid w:val="00E83BAD"/>
    <w:rsid w:val="00E925E1"/>
    <w:rsid w:val="00E965F1"/>
    <w:rsid w:val="00EB2AF3"/>
    <w:rsid w:val="00EB4E34"/>
    <w:rsid w:val="00EC2B44"/>
    <w:rsid w:val="00EC46AF"/>
    <w:rsid w:val="00EC7E25"/>
    <w:rsid w:val="00ED6C05"/>
    <w:rsid w:val="00EE0AFE"/>
    <w:rsid w:val="00EE2DC7"/>
    <w:rsid w:val="00EF12C0"/>
    <w:rsid w:val="00EF6A81"/>
    <w:rsid w:val="00F04407"/>
    <w:rsid w:val="00F056EF"/>
    <w:rsid w:val="00F11918"/>
    <w:rsid w:val="00F142C3"/>
    <w:rsid w:val="00F1451E"/>
    <w:rsid w:val="00F160CC"/>
    <w:rsid w:val="00F16B15"/>
    <w:rsid w:val="00F24A94"/>
    <w:rsid w:val="00F30500"/>
    <w:rsid w:val="00F3327C"/>
    <w:rsid w:val="00F4206B"/>
    <w:rsid w:val="00F43651"/>
    <w:rsid w:val="00F502AA"/>
    <w:rsid w:val="00F551FC"/>
    <w:rsid w:val="00F561C0"/>
    <w:rsid w:val="00F662FF"/>
    <w:rsid w:val="00F7378C"/>
    <w:rsid w:val="00F744DD"/>
    <w:rsid w:val="00F8272A"/>
    <w:rsid w:val="00F937AB"/>
    <w:rsid w:val="00F96E23"/>
    <w:rsid w:val="00F97316"/>
    <w:rsid w:val="00FA0595"/>
    <w:rsid w:val="00FA449E"/>
    <w:rsid w:val="00FA4C69"/>
    <w:rsid w:val="00FB1D8F"/>
    <w:rsid w:val="00FB3688"/>
    <w:rsid w:val="00FB4B40"/>
    <w:rsid w:val="00FC195A"/>
    <w:rsid w:val="00FC4958"/>
    <w:rsid w:val="00FC7476"/>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7"/>
      </w:numPr>
      <w:tabs>
        <w:tab w:val="left" w:pos="567"/>
      </w:tabs>
      <w:ind w:left="568" w:hanging="284"/>
    </w:pPr>
  </w:style>
  <w:style w:type="paragraph" w:customStyle="1" w:styleId="Bulletslevel3">
    <w:name w:val="Bullets level 3"/>
    <w:basedOn w:val="Bulletslevel1"/>
    <w:rsid w:val="00D347A5"/>
    <w:pPr>
      <w:numPr>
        <w:numId w:val="8"/>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9"/>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0"/>
      </w:numPr>
      <w:tabs>
        <w:tab w:val="left" w:pos="798"/>
      </w:tabs>
      <w:ind w:left="794" w:hanging="397"/>
    </w:pPr>
  </w:style>
  <w:style w:type="paragraph" w:customStyle="1" w:styleId="Numberedbulletslevel3">
    <w:name w:val="Numbered bullets level 3"/>
    <w:basedOn w:val="Numberedbulletslevel2"/>
    <w:rsid w:val="00D347A5"/>
    <w:pPr>
      <w:numPr>
        <w:numId w:val="11"/>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12"/>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TablebulletsChar">
    <w:name w:val="Table bullets Char"/>
    <w:uiPriority w:val="99"/>
    <w:rsid w:val="00BE0D4B"/>
    <w:rPr>
      <w:rFonts w:ascii="Arial" w:hAnsi="Arial"/>
      <w:lang w:val="en-AU" w:eastAsia="en-US" w:bidi="ar-SA"/>
    </w:rPr>
  </w:style>
  <w:style w:type="paragraph" w:styleId="Revision">
    <w:name w:val="Revision"/>
    <w:hidden/>
    <w:uiPriority w:val="99"/>
    <w:semiHidden/>
    <w:rsid w:val="00BA1D57"/>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7"/>
      </w:numPr>
      <w:tabs>
        <w:tab w:val="left" w:pos="567"/>
      </w:tabs>
      <w:ind w:left="568" w:hanging="284"/>
    </w:pPr>
  </w:style>
  <w:style w:type="paragraph" w:customStyle="1" w:styleId="Bulletslevel3">
    <w:name w:val="Bullets level 3"/>
    <w:basedOn w:val="Bulletslevel1"/>
    <w:rsid w:val="00D347A5"/>
    <w:pPr>
      <w:numPr>
        <w:numId w:val="8"/>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9"/>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0"/>
      </w:numPr>
      <w:tabs>
        <w:tab w:val="left" w:pos="798"/>
      </w:tabs>
      <w:ind w:left="794" w:hanging="397"/>
    </w:pPr>
  </w:style>
  <w:style w:type="paragraph" w:customStyle="1" w:styleId="Numberedbulletslevel3">
    <w:name w:val="Numbered bullets level 3"/>
    <w:basedOn w:val="Numberedbulletslevel2"/>
    <w:rsid w:val="00D347A5"/>
    <w:pPr>
      <w:numPr>
        <w:numId w:val="11"/>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12"/>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TablebulletsChar">
    <w:name w:val="Table bullets Char"/>
    <w:uiPriority w:val="99"/>
    <w:rsid w:val="00BE0D4B"/>
    <w:rPr>
      <w:rFonts w:ascii="Arial" w:hAnsi="Arial"/>
      <w:lang w:val="en-AU" w:eastAsia="en-US" w:bidi="ar-SA"/>
    </w:rPr>
  </w:style>
  <w:style w:type="paragraph" w:styleId="Revision">
    <w:name w:val="Revision"/>
    <w:hidden/>
    <w:uiPriority w:val="99"/>
    <w:semiHidden/>
    <w:rsid w:val="00BA1D57"/>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SSU096" TargetMode="External"/><Relationship Id="rId13" Type="http://schemas.openxmlformats.org/officeDocument/2006/relationships/hyperlink" Target="http://www.australiancurriculum.edu.au/Curriculum/ContentDescription/ACSIS107" TargetMode="External"/><Relationship Id="rId18" Type="http://schemas.openxmlformats.org/officeDocument/2006/relationships/image" Target="media/image4.png"/><Relationship Id="rId26" Type="http://schemas.openxmlformats.org/officeDocument/2006/relationships/hyperlink" Target="http://www.australiancurriculum.edu.au/Glossary?a=S&amp;t=design"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hyperlink" Target="http://www.australiancurriculum.edu.au/Glossary?a=S&amp;t=relationship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traliancurriculum.edu.au/Curriculum/ContentDescription/ACSHE220" TargetMode="External"/><Relationship Id="rId17" Type="http://schemas.openxmlformats.org/officeDocument/2006/relationships/image" Target="media/image3.png"/><Relationship Id="rId25" Type="http://schemas.openxmlformats.org/officeDocument/2006/relationships/hyperlink" Target="http://www.australiancurriculum.edu.au/Glossary?a=S&amp;t=analyse" TargetMode="External"/><Relationship Id="rId33" Type="http://schemas.openxmlformats.org/officeDocument/2006/relationships/hyperlink" Target="http://www.australiancurriculum.edu.au/Glossary?a=S&amp;t=analys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ww.australiancurriculum.edu.au/Glossary?a=S&amp;t=variables"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SHE100" TargetMode="External"/><Relationship Id="rId24" Type="http://schemas.openxmlformats.org/officeDocument/2006/relationships/hyperlink" Target="http://www.australiancurriculum.edu.au/Glossary?a=S&amp;t=materials" TargetMode="External"/><Relationship Id="rId32" Type="http://schemas.openxmlformats.org/officeDocument/2006/relationships/hyperlink" Target="http://www.australiancurriculum.edu.au/Glossary?a=S&amp;t=data" TargetMode="External"/><Relationship Id="rId37" Type="http://schemas.openxmlformats.org/officeDocument/2006/relationships/hyperlink" Target="http://www.qsa.qld.edu.a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australiancurriculum.edu.au/Glossary?a=S&amp;t=observable" TargetMode="External"/><Relationship Id="rId28" Type="http://schemas.openxmlformats.org/officeDocument/2006/relationships/hyperlink" Target="http://www.australiancurriculum.edu.au/Glossary?a=S&amp;t=relationships" TargetMode="External"/><Relationship Id="rId36" Type="http://schemas.openxmlformats.org/officeDocument/2006/relationships/hyperlink" Target="http://www.australiancurriculum.edu.au/Glossary?a=S&amp;t=multi-modal+texts" TargetMode="External"/><Relationship Id="rId10" Type="http://schemas.openxmlformats.org/officeDocument/2006/relationships/hyperlink" Target="http://www.australiancurriculum.edu.au/Curriculum/ContentDescription/ACSHE099" TargetMode="External"/><Relationship Id="rId19" Type="http://schemas.openxmlformats.org/officeDocument/2006/relationships/image" Target="media/image5.png"/><Relationship Id="rId31" Type="http://schemas.openxmlformats.org/officeDocument/2006/relationships/hyperlink" Target="http://www.australiancurriculum.edu.au/Glossary?a=S&amp;t=research" TargetMode="External"/><Relationship Id="rId4" Type="http://schemas.openxmlformats.org/officeDocument/2006/relationships/settings" Target="settings.xml"/><Relationship Id="rId9" Type="http://schemas.openxmlformats.org/officeDocument/2006/relationships/hyperlink" Target="http://www.australiancurriculum.edu.au/Curriculum/ContentDescription/ACSHE098" TargetMode="External"/><Relationship Id="rId14" Type="http://schemas.openxmlformats.org/officeDocument/2006/relationships/hyperlink" Target="http://www.australiancurriculum.edu.au/Curriculum/ContentDescription/ACSIS110" TargetMode="External"/><Relationship Id="rId22" Type="http://schemas.openxmlformats.org/officeDocument/2006/relationships/hyperlink" Target="http://www.australiancurriculum.edu.au/Glossary?a=S&amp;t=classify" TargetMode="External"/><Relationship Id="rId27" Type="http://schemas.openxmlformats.org/officeDocument/2006/relationships/hyperlink" Target="http://www.australiancurriculum.edu.au/Glossary?a=S&amp;t=investigations" TargetMode="External"/><Relationship Id="rId30" Type="http://schemas.openxmlformats.org/officeDocument/2006/relationships/hyperlink" Target="http://www.australiancurriculum.edu.au/Glossary?a=S&amp;t=data" TargetMode="External"/><Relationship Id="rId35" Type="http://schemas.openxmlformats.org/officeDocument/2006/relationships/hyperlink" Target="http://www.australiancurriculum.edu.au/Glossary?a=S&amp;t=data"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Year 6 unit overview — Australian Curriculum: Science</vt:lpstr>
    </vt:vector>
  </TitlesOfParts>
  <Company>Queensland Studies Authority</Company>
  <LinksUpToDate>false</LinksUpToDate>
  <CharactersWithSpaces>16752</CharactersWithSpaces>
  <SharedDoc>false</SharedDoc>
  <HLinks>
    <vt:vector size="138" baseType="variant">
      <vt:variant>
        <vt:i4>7340144</vt:i4>
      </vt:variant>
      <vt:variant>
        <vt:i4>66</vt:i4>
      </vt:variant>
      <vt:variant>
        <vt:i4>0</vt:i4>
      </vt:variant>
      <vt:variant>
        <vt:i4>5</vt:i4>
      </vt:variant>
      <vt:variant>
        <vt:lpwstr>http://www.qsa.qld.edu.au/</vt:lpwstr>
      </vt:variant>
      <vt:variant>
        <vt:lpwstr/>
      </vt:variant>
      <vt:variant>
        <vt:i4>2556012</vt:i4>
      </vt:variant>
      <vt:variant>
        <vt:i4>63</vt:i4>
      </vt:variant>
      <vt:variant>
        <vt:i4>0</vt:i4>
      </vt:variant>
      <vt:variant>
        <vt:i4>5</vt:i4>
      </vt:variant>
      <vt:variant>
        <vt:lpwstr>http://www.australiancurriculum.edu.au/Glossary?a=S&amp;t=multi-modal+texts</vt:lpwstr>
      </vt:variant>
      <vt:variant>
        <vt:lpwstr/>
      </vt:variant>
      <vt:variant>
        <vt:i4>4128893</vt:i4>
      </vt:variant>
      <vt:variant>
        <vt:i4>60</vt:i4>
      </vt:variant>
      <vt:variant>
        <vt:i4>0</vt:i4>
      </vt:variant>
      <vt:variant>
        <vt:i4>5</vt:i4>
      </vt:variant>
      <vt:variant>
        <vt:lpwstr>http://www.australiancurriculum.edu.au/Glossary?a=S&amp;t=data</vt:lpwstr>
      </vt:variant>
      <vt:variant>
        <vt:lpwstr/>
      </vt:variant>
      <vt:variant>
        <vt:i4>2359410</vt:i4>
      </vt:variant>
      <vt:variant>
        <vt:i4>57</vt:i4>
      </vt:variant>
      <vt:variant>
        <vt:i4>0</vt:i4>
      </vt:variant>
      <vt:variant>
        <vt:i4>5</vt:i4>
      </vt:variant>
      <vt:variant>
        <vt:lpwstr>http://www.australiancurriculum.edu.au/Glossary?a=S&amp;t=relationships</vt:lpwstr>
      </vt:variant>
      <vt:variant>
        <vt:lpwstr/>
      </vt:variant>
      <vt:variant>
        <vt:i4>5111828</vt:i4>
      </vt:variant>
      <vt:variant>
        <vt:i4>54</vt:i4>
      </vt:variant>
      <vt:variant>
        <vt:i4>0</vt:i4>
      </vt:variant>
      <vt:variant>
        <vt:i4>5</vt:i4>
      </vt:variant>
      <vt:variant>
        <vt:lpwstr>http://www.australiancurriculum.edu.au/Glossary?a=S&amp;t=analyse</vt:lpwstr>
      </vt:variant>
      <vt:variant>
        <vt:lpwstr/>
      </vt:variant>
      <vt:variant>
        <vt:i4>4128893</vt:i4>
      </vt:variant>
      <vt:variant>
        <vt:i4>51</vt:i4>
      </vt:variant>
      <vt:variant>
        <vt:i4>0</vt:i4>
      </vt:variant>
      <vt:variant>
        <vt:i4>5</vt:i4>
      </vt:variant>
      <vt:variant>
        <vt:lpwstr>http://www.australiancurriculum.edu.au/Glossary?a=S&amp;t=data</vt:lpwstr>
      </vt:variant>
      <vt:variant>
        <vt:lpwstr/>
      </vt:variant>
      <vt:variant>
        <vt:i4>2424942</vt:i4>
      </vt:variant>
      <vt:variant>
        <vt:i4>48</vt:i4>
      </vt:variant>
      <vt:variant>
        <vt:i4>0</vt:i4>
      </vt:variant>
      <vt:variant>
        <vt:i4>5</vt:i4>
      </vt:variant>
      <vt:variant>
        <vt:lpwstr>http://www.australiancurriculum.edu.au/Glossary?a=S&amp;t=research</vt:lpwstr>
      </vt:variant>
      <vt:variant>
        <vt:lpwstr/>
      </vt:variant>
      <vt:variant>
        <vt:i4>4128893</vt:i4>
      </vt:variant>
      <vt:variant>
        <vt:i4>45</vt:i4>
      </vt:variant>
      <vt:variant>
        <vt:i4>0</vt:i4>
      </vt:variant>
      <vt:variant>
        <vt:i4>5</vt:i4>
      </vt:variant>
      <vt:variant>
        <vt:lpwstr>http://www.australiancurriculum.edu.au/Glossary?a=S&amp;t=data</vt:lpwstr>
      </vt:variant>
      <vt:variant>
        <vt:lpwstr/>
      </vt:variant>
      <vt:variant>
        <vt:i4>3145828</vt:i4>
      </vt:variant>
      <vt:variant>
        <vt:i4>42</vt:i4>
      </vt:variant>
      <vt:variant>
        <vt:i4>0</vt:i4>
      </vt:variant>
      <vt:variant>
        <vt:i4>5</vt:i4>
      </vt:variant>
      <vt:variant>
        <vt:lpwstr>http://www.australiancurriculum.edu.au/Glossary?a=S&amp;t=variables</vt:lpwstr>
      </vt:variant>
      <vt:variant>
        <vt:lpwstr/>
      </vt:variant>
      <vt:variant>
        <vt:i4>2359410</vt:i4>
      </vt:variant>
      <vt:variant>
        <vt:i4>39</vt:i4>
      </vt:variant>
      <vt:variant>
        <vt:i4>0</vt:i4>
      </vt:variant>
      <vt:variant>
        <vt:i4>5</vt:i4>
      </vt:variant>
      <vt:variant>
        <vt:lpwstr>http://www.australiancurriculum.edu.au/Glossary?a=S&amp;t=relationships</vt:lpwstr>
      </vt:variant>
      <vt:variant>
        <vt:lpwstr/>
      </vt:variant>
      <vt:variant>
        <vt:i4>5177358</vt:i4>
      </vt:variant>
      <vt:variant>
        <vt:i4>36</vt:i4>
      </vt:variant>
      <vt:variant>
        <vt:i4>0</vt:i4>
      </vt:variant>
      <vt:variant>
        <vt:i4>5</vt:i4>
      </vt:variant>
      <vt:variant>
        <vt:lpwstr>http://www.australiancurriculum.edu.au/Glossary?a=S&amp;t=investigations</vt:lpwstr>
      </vt:variant>
      <vt:variant>
        <vt:lpwstr/>
      </vt:variant>
      <vt:variant>
        <vt:i4>6094877</vt:i4>
      </vt:variant>
      <vt:variant>
        <vt:i4>33</vt:i4>
      </vt:variant>
      <vt:variant>
        <vt:i4>0</vt:i4>
      </vt:variant>
      <vt:variant>
        <vt:i4>5</vt:i4>
      </vt:variant>
      <vt:variant>
        <vt:lpwstr>http://www.australiancurriculum.edu.au/Glossary?a=S&amp;t=design</vt:lpwstr>
      </vt:variant>
      <vt:variant>
        <vt:lpwstr/>
      </vt:variant>
      <vt:variant>
        <vt:i4>5111828</vt:i4>
      </vt:variant>
      <vt:variant>
        <vt:i4>30</vt:i4>
      </vt:variant>
      <vt:variant>
        <vt:i4>0</vt:i4>
      </vt:variant>
      <vt:variant>
        <vt:i4>5</vt:i4>
      </vt:variant>
      <vt:variant>
        <vt:lpwstr>http://www.australiancurriculum.edu.au/Glossary?a=S&amp;t=analyse</vt:lpwstr>
      </vt:variant>
      <vt:variant>
        <vt:lpwstr/>
      </vt:variant>
      <vt:variant>
        <vt:i4>4063335</vt:i4>
      </vt:variant>
      <vt:variant>
        <vt:i4>27</vt:i4>
      </vt:variant>
      <vt:variant>
        <vt:i4>0</vt:i4>
      </vt:variant>
      <vt:variant>
        <vt:i4>5</vt:i4>
      </vt:variant>
      <vt:variant>
        <vt:lpwstr>http://www.australiancurriculum.edu.au/Glossary?a=S&amp;t=materials</vt:lpwstr>
      </vt:variant>
      <vt:variant>
        <vt:lpwstr/>
      </vt:variant>
      <vt:variant>
        <vt:i4>4784142</vt:i4>
      </vt:variant>
      <vt:variant>
        <vt:i4>24</vt:i4>
      </vt:variant>
      <vt:variant>
        <vt:i4>0</vt:i4>
      </vt:variant>
      <vt:variant>
        <vt:i4>5</vt:i4>
      </vt:variant>
      <vt:variant>
        <vt:lpwstr>http://www.australiancurriculum.edu.au/Glossary?a=S&amp;t=observable</vt:lpwstr>
      </vt:variant>
      <vt:variant>
        <vt:lpwstr/>
      </vt:variant>
      <vt:variant>
        <vt:i4>3145850</vt:i4>
      </vt:variant>
      <vt:variant>
        <vt:i4>21</vt:i4>
      </vt:variant>
      <vt:variant>
        <vt:i4>0</vt:i4>
      </vt:variant>
      <vt:variant>
        <vt:i4>5</vt:i4>
      </vt:variant>
      <vt:variant>
        <vt:lpwstr>http://www.australiancurriculum.edu.au/Glossary?a=S&amp;t=classify</vt:lpwstr>
      </vt:variant>
      <vt:variant>
        <vt:lpwstr/>
      </vt:variant>
      <vt:variant>
        <vt:i4>5177365</vt:i4>
      </vt:variant>
      <vt:variant>
        <vt:i4>18</vt:i4>
      </vt:variant>
      <vt:variant>
        <vt:i4>0</vt:i4>
      </vt:variant>
      <vt:variant>
        <vt:i4>5</vt:i4>
      </vt:variant>
      <vt:variant>
        <vt:lpwstr>http://www.australiancurriculum.edu.au/Curriculum/ContentDescription/ACSIS110</vt:lpwstr>
      </vt:variant>
      <vt:variant>
        <vt:lpwstr/>
      </vt:variant>
      <vt:variant>
        <vt:i4>5111829</vt:i4>
      </vt:variant>
      <vt:variant>
        <vt:i4>15</vt:i4>
      </vt:variant>
      <vt:variant>
        <vt:i4>0</vt:i4>
      </vt:variant>
      <vt:variant>
        <vt:i4>5</vt:i4>
      </vt:variant>
      <vt:variant>
        <vt:lpwstr>http://www.australiancurriculum.edu.au/Curriculum/ContentDescription/ACSIS107</vt:lpwstr>
      </vt:variant>
      <vt:variant>
        <vt:lpwstr/>
      </vt:variant>
      <vt:variant>
        <vt:i4>5898263</vt:i4>
      </vt:variant>
      <vt:variant>
        <vt:i4>12</vt:i4>
      </vt:variant>
      <vt:variant>
        <vt:i4>0</vt:i4>
      </vt:variant>
      <vt:variant>
        <vt:i4>5</vt:i4>
      </vt:variant>
      <vt:variant>
        <vt:lpwstr>http://www.australiancurriculum.edu.au/Curriculum/ContentDescription/ACSHE220</vt:lpwstr>
      </vt:variant>
      <vt:variant>
        <vt:lpwstr/>
      </vt:variant>
      <vt:variant>
        <vt:i4>5767188</vt:i4>
      </vt:variant>
      <vt:variant>
        <vt:i4>9</vt:i4>
      </vt:variant>
      <vt:variant>
        <vt:i4>0</vt:i4>
      </vt:variant>
      <vt:variant>
        <vt:i4>5</vt:i4>
      </vt:variant>
      <vt:variant>
        <vt:lpwstr>http://www.australiancurriculum.edu.au/Curriculum/ContentDescription/ACSHE100</vt:lpwstr>
      </vt:variant>
      <vt:variant>
        <vt:lpwstr/>
      </vt:variant>
      <vt:variant>
        <vt:i4>5308437</vt:i4>
      </vt:variant>
      <vt:variant>
        <vt:i4>6</vt:i4>
      </vt:variant>
      <vt:variant>
        <vt:i4>0</vt:i4>
      </vt:variant>
      <vt:variant>
        <vt:i4>5</vt:i4>
      </vt:variant>
      <vt:variant>
        <vt:lpwstr>http://www.australiancurriculum.edu.au/Curriculum/ContentDescription/ACSHE099</vt:lpwstr>
      </vt:variant>
      <vt:variant>
        <vt:lpwstr/>
      </vt:variant>
      <vt:variant>
        <vt:i4>5308437</vt:i4>
      </vt:variant>
      <vt:variant>
        <vt:i4>3</vt:i4>
      </vt:variant>
      <vt:variant>
        <vt:i4>0</vt:i4>
      </vt:variant>
      <vt:variant>
        <vt:i4>5</vt:i4>
      </vt:variant>
      <vt:variant>
        <vt:lpwstr>http://www.australiancurriculum.edu.au/Curriculum/ContentDescription/ACSHE098</vt:lpwstr>
      </vt:variant>
      <vt:variant>
        <vt:lpwstr/>
      </vt:variant>
      <vt:variant>
        <vt:i4>4259854</vt:i4>
      </vt:variant>
      <vt:variant>
        <vt:i4>0</vt:i4>
      </vt:variant>
      <vt:variant>
        <vt:i4>0</vt:i4>
      </vt:variant>
      <vt:variant>
        <vt:i4>5</vt:i4>
      </vt:variant>
      <vt:variant>
        <vt:lpwstr>http://www.australiancurriculum.edu.au/Curriculum/ContentDescription/ACSSU096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