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3B845323" w14:textId="6D4A9FAC"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EndPr/>
              <w:sdtContent>
                <w:r w:rsidR="006B6B0D">
                  <w:t>9</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EndPr/>
              <w:sdtContent>
                <w:r w:rsidR="002172BF">
                  <w:t>Science</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p w14:paraId="3B845324" w14:textId="4FBDFF9C" w:rsidR="000A1DDF" w:rsidRPr="003325B4" w:rsidRDefault="006B6B0D" w:rsidP="00902913">
            <w:pPr>
              <w:pStyle w:val="Title"/>
            </w:pPr>
            <w:r>
              <w:t>Electric kettles</w:t>
            </w:r>
          </w:p>
        </w:tc>
      </w:tr>
    </w:tbl>
    <w:p w14:paraId="3B845326"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B84532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9"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A" w14:textId="77777777" w:rsidR="003C2042" w:rsidRPr="00CC0D4F" w:rsidRDefault="003C2042" w:rsidP="00CC0D4F"/>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3B845330"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3B84532E" w14:textId="77777777" w:rsidR="008F4042" w:rsidRPr="006771D4" w:rsidRDefault="008F4042" w:rsidP="006771D4">
            <w:pPr>
              <w:pStyle w:val="Tablehead"/>
            </w:pPr>
            <w:r w:rsidRPr="006771D4">
              <w:t>Assessment description</w:t>
            </w:r>
          </w:p>
        </w:tc>
        <w:tc>
          <w:tcPr>
            <w:tcW w:w="2500" w:type="pct"/>
          </w:tcPr>
          <w:p w14:paraId="3B84532F" w14:textId="77777777" w:rsidR="008F4042" w:rsidRPr="006771D4" w:rsidRDefault="008F4042" w:rsidP="006771D4">
            <w:pPr>
              <w:pStyle w:val="Tablehead"/>
            </w:pPr>
            <w:r w:rsidRPr="006771D4">
              <w:t>Category</w:t>
            </w:r>
          </w:p>
        </w:tc>
      </w:tr>
      <w:tr w:rsidR="008F4042" w:rsidRPr="00BC1996" w14:paraId="3B845335" w14:textId="77777777" w:rsidTr="006771D4">
        <w:tc>
          <w:tcPr>
            <w:tcW w:w="2500" w:type="pct"/>
            <w:vMerge w:val="restart"/>
          </w:tcPr>
          <w:p w14:paraId="3B845332" w14:textId="5DD0AC3E" w:rsidR="00AC2A01" w:rsidRPr="00126BC8" w:rsidRDefault="006B6B0D" w:rsidP="00220EA7">
            <w:pPr>
              <w:pStyle w:val="TableText"/>
            </w:pPr>
            <w:r w:rsidRPr="006B6B0D">
              <w:t>Students use the particle model and the relationships between energy, power, voltage, current and resistance to demonstrate their understanding of energy transfer in electric circuits. They investigate factors that affect the transfer of energy.</w:t>
            </w:r>
          </w:p>
        </w:tc>
        <w:tc>
          <w:tcPr>
            <w:tcW w:w="2500" w:type="pct"/>
          </w:tcPr>
          <w:p w14:paraId="3B845334" w14:textId="4A828FC2" w:rsidR="008F4042" w:rsidRPr="0084277D" w:rsidRDefault="00284A66" w:rsidP="00C206A7">
            <w:pPr>
              <w:pStyle w:val="TableText"/>
              <w:rPr>
                <w:lang w:eastAsia="en-US"/>
              </w:rPr>
            </w:pPr>
            <w:r>
              <w:t>Written</w:t>
            </w:r>
          </w:p>
        </w:tc>
      </w:tr>
      <w:tr w:rsidR="008F4042" w:rsidRPr="00BC1996" w14:paraId="3B845338" w14:textId="77777777" w:rsidTr="006771D4">
        <w:trPr>
          <w:trHeight w:val="272"/>
        </w:trPr>
        <w:tc>
          <w:tcPr>
            <w:tcW w:w="2500" w:type="pct"/>
            <w:vMerge/>
          </w:tcPr>
          <w:p w14:paraId="3B845336" w14:textId="77777777" w:rsidR="008F4042" w:rsidRPr="009D4D57" w:rsidRDefault="008F4042" w:rsidP="00C206A7">
            <w:pPr>
              <w:pStyle w:val="Tablehead"/>
              <w:rPr>
                <w:b w:val="0"/>
              </w:rPr>
            </w:pPr>
          </w:p>
        </w:tc>
        <w:tc>
          <w:tcPr>
            <w:tcW w:w="2500"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6771D4">
        <w:tc>
          <w:tcPr>
            <w:tcW w:w="2500" w:type="pct"/>
            <w:vMerge/>
          </w:tcPr>
          <w:p w14:paraId="3B845339" w14:textId="77777777" w:rsidR="008F4042" w:rsidRPr="00B50EB0" w:rsidRDefault="008F4042" w:rsidP="00C206A7">
            <w:pPr>
              <w:tabs>
                <w:tab w:val="num" w:pos="284"/>
              </w:tabs>
              <w:spacing w:line="220" w:lineRule="atLeast"/>
              <w:contextualSpacing/>
            </w:pPr>
          </w:p>
        </w:tc>
        <w:tc>
          <w:tcPr>
            <w:tcW w:w="2500" w:type="pct"/>
          </w:tcPr>
          <w:p w14:paraId="1D2D2BB0" w14:textId="77777777" w:rsidR="006B6B0D" w:rsidRPr="006B6B0D" w:rsidRDefault="006B6B0D" w:rsidP="006B6B0D">
            <w:pPr>
              <w:pStyle w:val="TableText"/>
              <w:numPr>
                <w:ilvl w:val="0"/>
                <w:numId w:val="15"/>
              </w:numPr>
            </w:pPr>
            <w:r w:rsidRPr="006B6B0D">
              <w:t>Supervised assessment</w:t>
            </w:r>
          </w:p>
          <w:p w14:paraId="3B84533B" w14:textId="68F1CDAF" w:rsidR="0050537B" w:rsidRPr="0084277D" w:rsidRDefault="006B6B0D" w:rsidP="006B6B0D">
            <w:pPr>
              <w:pStyle w:val="TableText"/>
              <w:rPr>
                <w:lang w:eastAsia="en-US"/>
              </w:rPr>
            </w:pPr>
            <w:r w:rsidRPr="006B6B0D">
              <w:t>Experimental investigation</w:t>
            </w:r>
          </w:p>
        </w:tc>
      </w:tr>
      <w:tr w:rsidR="008F4042" w:rsidRPr="00BC1996" w14:paraId="3B84533F" w14:textId="77777777" w:rsidTr="006771D4">
        <w:tc>
          <w:tcPr>
            <w:tcW w:w="2500"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6771D4">
        <w:trPr>
          <w:trHeight w:val="843"/>
        </w:trPr>
        <w:tc>
          <w:tcPr>
            <w:tcW w:w="2500" w:type="pct"/>
            <w:vMerge w:val="restart"/>
          </w:tcPr>
          <w:p w14:paraId="7D126C73" w14:textId="77777777" w:rsidR="006B6B0D" w:rsidRPr="006B6B0D" w:rsidRDefault="006B6B0D" w:rsidP="006B6B0D">
            <w:pPr>
              <w:pStyle w:val="TableText"/>
              <w:numPr>
                <w:ilvl w:val="0"/>
                <w:numId w:val="15"/>
              </w:numPr>
            </w:pPr>
            <w:r w:rsidRPr="006B6B0D">
              <w:t>Electric appliances containing heating elements are common in students’ daily lives.</w:t>
            </w:r>
          </w:p>
          <w:p w14:paraId="46D77030" w14:textId="77777777" w:rsidR="006B6B0D" w:rsidRPr="006B6B0D" w:rsidRDefault="006B6B0D" w:rsidP="006B6B0D">
            <w:pPr>
              <w:pStyle w:val="TableText"/>
              <w:numPr>
                <w:ilvl w:val="0"/>
                <w:numId w:val="15"/>
              </w:numPr>
            </w:pPr>
            <w:r w:rsidRPr="006B6B0D">
              <w:t>Heating elements change electrical energy into heat energy and an understanding of electrical energy, power and Ohm’s law can be used to explain how heating elements work.</w:t>
            </w:r>
          </w:p>
          <w:p w14:paraId="51F7B761" w14:textId="77777777" w:rsidR="006B6B0D" w:rsidRPr="006B6B0D" w:rsidRDefault="006B6B0D" w:rsidP="006B6B0D">
            <w:pPr>
              <w:pStyle w:val="TableText"/>
              <w:numPr>
                <w:ilvl w:val="0"/>
                <w:numId w:val="15"/>
              </w:numPr>
            </w:pPr>
            <w:r w:rsidRPr="006B6B0D">
              <w:t xml:space="preserve">Heating elements are made of metals with high resistance, such as nichrome wire, and the size of the wire affects the amount of electrical energy flowing in the wire and therefore the heat energy produced. </w:t>
            </w:r>
          </w:p>
          <w:p w14:paraId="43753642" w14:textId="2742EB31" w:rsidR="00050242" w:rsidRDefault="006B6B0D" w:rsidP="006B6B0D">
            <w:pPr>
              <w:pStyle w:val="TableText"/>
            </w:pPr>
            <w:r w:rsidRPr="006B6B0D">
              <w:t>The practical investigation of this topic and communication of findings provide opportunities for students to develop skills used by the scientific community.</w:t>
            </w:r>
          </w:p>
          <w:p w14:paraId="2728B678" w14:textId="3F642EE8" w:rsidR="00050242" w:rsidRDefault="00050242" w:rsidP="00C206A7">
            <w:pPr>
              <w:pStyle w:val="TableText"/>
            </w:pPr>
          </w:p>
          <w:p w14:paraId="3B845341" w14:textId="03910F6F" w:rsidR="005C5417" w:rsidRPr="00101513" w:rsidRDefault="005C5417" w:rsidP="00C206A7">
            <w:pPr>
              <w:pStyle w:val="TableText"/>
            </w:pPr>
          </w:p>
        </w:tc>
        <w:tc>
          <w:tcPr>
            <w:tcW w:w="2500" w:type="pct"/>
          </w:tcPr>
          <w:p w14:paraId="10B9036F" w14:textId="23971B29" w:rsidR="002172BF" w:rsidRPr="002172BF" w:rsidRDefault="002172BF" w:rsidP="002172BF">
            <w:pPr>
              <w:pStyle w:val="TableText"/>
              <w:rPr>
                <w:i/>
              </w:rPr>
            </w:pPr>
            <w:r w:rsidRPr="002172BF">
              <w:rPr>
                <w:i/>
              </w:rPr>
              <w:t xml:space="preserve">Australian Curriculum </w:t>
            </w:r>
            <w:r>
              <w:rPr>
                <w:i/>
              </w:rPr>
              <w:t>v7</w:t>
            </w:r>
            <w:r w:rsidRPr="002172BF">
              <w:rPr>
                <w:i/>
              </w:rPr>
              <w:t xml:space="preserve">.0, </w:t>
            </w:r>
            <w:r w:rsidRPr="002172BF">
              <w:rPr>
                <w:i/>
              </w:rPr>
              <w:br/>
            </w:r>
            <w:r w:rsidR="006B6B0D">
              <w:t>Year 9</w:t>
            </w:r>
            <w:r w:rsidRPr="002172BF">
              <w:t xml:space="preserve"> Science Australian Curriculum content and achievement standard ACARA — Australian Curriculum, Assessment and Reporting Authority</w:t>
            </w:r>
            <w:r w:rsidRPr="002172BF">
              <w:rPr>
                <w:i/>
              </w:rPr>
              <w:t xml:space="preserve"> </w:t>
            </w:r>
            <w:r w:rsidRPr="002172BF">
              <w:rPr>
                <w:i/>
              </w:rPr>
              <w:br/>
            </w:r>
            <w:hyperlink r:id="rId16" w:history="1">
              <w:r w:rsidRPr="002172BF">
                <w:rPr>
                  <w:rStyle w:val="Hyperlink"/>
                </w:rPr>
                <w:t>www.australiancurriculum.edu.au</w:t>
              </w:r>
            </w:hyperlink>
          </w:p>
          <w:p w14:paraId="3B845343" w14:textId="77777777" w:rsidR="008F4042" w:rsidRPr="00AD0DAF" w:rsidRDefault="008F4042" w:rsidP="00C206A7">
            <w:pPr>
              <w:pStyle w:val="TableText"/>
            </w:pPr>
          </w:p>
          <w:p w14:paraId="3B845344" w14:textId="6365AFDF" w:rsidR="008F4042" w:rsidRPr="00AD0DAF" w:rsidRDefault="002511A1" w:rsidP="00C206A7">
            <w:pPr>
              <w:pStyle w:val="TableText"/>
            </w:pPr>
            <w:r>
              <w:t xml:space="preserve">Year </w:t>
            </w:r>
            <w:r w:rsidR="006B6B0D">
              <w:t>9</w:t>
            </w:r>
            <w:r>
              <w:t xml:space="preserve"> </w:t>
            </w:r>
            <w:r w:rsidR="002172BF">
              <w:t>Science</w:t>
            </w:r>
            <w:r w:rsidR="00DD2EE3">
              <w:t xml:space="preserve"> </w:t>
            </w:r>
            <w:r w:rsidR="008F4042" w:rsidRPr="00AD0DAF">
              <w:t>standard elaborations</w:t>
            </w:r>
            <w:r>
              <w:t xml:space="preserve"> available at:</w:t>
            </w:r>
          </w:p>
          <w:p w14:paraId="3B845346" w14:textId="637859DB" w:rsidR="008F4042" w:rsidRPr="00B96348" w:rsidRDefault="000A2A55" w:rsidP="00C206A7">
            <w:pPr>
              <w:pStyle w:val="TableText"/>
            </w:pPr>
            <w:hyperlink r:id="rId17" w:history="1">
              <w:r w:rsidR="00442197" w:rsidRPr="00442197">
                <w:rPr>
                  <w:rStyle w:val="Hyperlink"/>
                </w:rPr>
                <w:t>www.qcaa.qld.edu.au/downloads/p_10/ac_sci_yr9_se.docx</w:t>
              </w:r>
            </w:hyperlink>
            <w:r w:rsidR="00442197">
              <w:t xml:space="preserve"> </w:t>
            </w:r>
          </w:p>
        </w:tc>
      </w:tr>
      <w:tr w:rsidR="008F4042" w:rsidRPr="00BC1996" w14:paraId="3B84534A" w14:textId="77777777" w:rsidTr="008643BC">
        <w:trPr>
          <w:trHeight w:val="131"/>
        </w:trPr>
        <w:tc>
          <w:tcPr>
            <w:tcW w:w="2500" w:type="pct"/>
            <w:vMerge/>
          </w:tcPr>
          <w:p w14:paraId="3B845348" w14:textId="77777777" w:rsidR="008F4042" w:rsidRPr="008157BE" w:rsidRDefault="008F4042" w:rsidP="00C206A7"/>
        </w:tc>
        <w:tc>
          <w:tcPr>
            <w:tcW w:w="2500"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F36607">
        <w:trPr>
          <w:trHeight w:val="131"/>
        </w:trPr>
        <w:tc>
          <w:tcPr>
            <w:tcW w:w="2500" w:type="pct"/>
            <w:vMerge/>
          </w:tcPr>
          <w:p w14:paraId="3B84534B" w14:textId="77777777" w:rsidR="008F4042" w:rsidRPr="008157BE" w:rsidRDefault="008F4042" w:rsidP="00C206A7"/>
        </w:tc>
        <w:tc>
          <w:tcPr>
            <w:tcW w:w="2500" w:type="pct"/>
            <w:shd w:val="clear" w:color="auto" w:fill="auto"/>
          </w:tcPr>
          <w:p w14:paraId="3B845350" w14:textId="1CF5751E" w:rsidR="008F4042" w:rsidRPr="00863D9B" w:rsidRDefault="00FD4716" w:rsidP="00FD4716">
            <w:pPr>
              <w:pStyle w:val="TableText"/>
            </w:pPr>
            <w:r w:rsidRPr="00FD4716">
              <w:t>This ass</w:t>
            </w:r>
            <w:r>
              <w:t>essment can be used with the QCAA</w:t>
            </w:r>
            <w:r w:rsidRPr="00FD4716">
              <w:t xml:space="preserve"> Australian Curriculum resource titled</w:t>
            </w:r>
            <w:r w:rsidRPr="00FD4716">
              <w:br/>
            </w:r>
            <w:r w:rsidRPr="00FD4716">
              <w:rPr>
                <w:i/>
              </w:rPr>
              <w:t xml:space="preserve">Year </w:t>
            </w:r>
            <w:r w:rsidR="006B6B0D">
              <w:rPr>
                <w:i/>
              </w:rPr>
              <w:t>9</w:t>
            </w:r>
            <w:r w:rsidRPr="00FD4716">
              <w:rPr>
                <w:i/>
              </w:rPr>
              <w:t xml:space="preserve"> plan — Australian Curriculum: Science </w:t>
            </w:r>
            <w:r w:rsidRPr="00FD4716">
              <w:t>exemplar</w:t>
            </w:r>
            <w:r w:rsidRPr="00FD4716">
              <w:rPr>
                <w:i/>
              </w:rPr>
              <w:t xml:space="preserve"> </w:t>
            </w:r>
            <w:r w:rsidRPr="00FD4716">
              <w:t>available at:</w:t>
            </w:r>
            <w:r w:rsidR="00442197">
              <w:t xml:space="preserve"> </w:t>
            </w:r>
            <w:hyperlink r:id="rId18" w:history="1">
              <w:r w:rsidR="00442197" w:rsidRPr="001B78AC">
                <w:rPr>
                  <w:rStyle w:val="Hyperlink"/>
                </w:rPr>
                <w:t>www.qcaa.qld.edu.au/</w:t>
              </w:r>
              <w:r w:rsidR="00442197" w:rsidRPr="001B78AC">
                <w:rPr>
                  <w:rStyle w:val="Hyperlink"/>
                </w:rPr>
                <w:br/>
                <w:t>downloads/p_10/ac_science_yr9_plan.doc</w:t>
              </w:r>
            </w:hyperlink>
          </w:p>
        </w:tc>
      </w:tr>
      <w:tr w:rsidR="008F4042" w:rsidRPr="00BC1996" w14:paraId="3B845354" w14:textId="77777777" w:rsidTr="007450E8">
        <w:trPr>
          <w:trHeight w:val="131"/>
        </w:trPr>
        <w:tc>
          <w:tcPr>
            <w:tcW w:w="2500" w:type="pct"/>
            <w:vMerge/>
          </w:tcPr>
          <w:p w14:paraId="3B845352" w14:textId="77777777" w:rsidR="008F4042" w:rsidRPr="008157BE" w:rsidRDefault="008F4042" w:rsidP="00C206A7"/>
        </w:tc>
        <w:tc>
          <w:tcPr>
            <w:tcW w:w="2500"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6771D4">
        <w:trPr>
          <w:trHeight w:val="567"/>
        </w:trPr>
        <w:tc>
          <w:tcPr>
            <w:tcW w:w="2500" w:type="pct"/>
            <w:vMerge/>
          </w:tcPr>
          <w:p w14:paraId="3B845355" w14:textId="77777777" w:rsidR="008F4042" w:rsidRPr="008157BE" w:rsidRDefault="008F4042" w:rsidP="00C206A7"/>
        </w:tc>
        <w:tc>
          <w:tcPr>
            <w:tcW w:w="2500" w:type="pct"/>
          </w:tcPr>
          <w:p w14:paraId="3B84535B" w14:textId="2C84F6A2" w:rsidR="008F4042" w:rsidRPr="00863D9B" w:rsidRDefault="000001A7" w:rsidP="00DE3AE0">
            <w:pPr>
              <w:pStyle w:val="TableText"/>
            </w:pPr>
            <w:r w:rsidRPr="000001A7">
              <w:t xml:space="preserve">See the Australian Curriculum glossary for technical terms used in this assessment </w:t>
            </w:r>
            <w:hyperlink r:id="rId19" w:history="1">
              <w:r w:rsidR="00442197">
                <w:rPr>
                  <w:rStyle w:val="Hyperlink"/>
                </w:rPr>
                <w:t>www.qsa.qld.edu.au/yr9-science-resources.html</w:t>
              </w:r>
            </w:hyperlink>
          </w:p>
        </w:tc>
      </w:tr>
      <w:tr w:rsidR="00D15F96" w:rsidRPr="00BC1996" w14:paraId="3B84535E" w14:textId="77777777" w:rsidTr="00442197">
        <w:trPr>
          <w:trHeight w:val="40"/>
        </w:trPr>
        <w:tc>
          <w:tcPr>
            <w:tcW w:w="2500" w:type="pct"/>
            <w:tcBorders>
              <w:bottom w:val="single" w:sz="4" w:space="0" w:color="A6A8AB"/>
            </w:tcBorders>
            <w:shd w:val="clear" w:color="auto" w:fill="E6E7E8" w:themeFill="background2"/>
          </w:tcPr>
          <w:p w14:paraId="3337D6E2" w14:textId="77777777" w:rsidR="00D15F96" w:rsidRPr="008933A1" w:rsidRDefault="00D15F96" w:rsidP="00C206A7">
            <w:pPr>
              <w:pStyle w:val="Tablesubhead"/>
            </w:pPr>
            <w:r>
              <w:t>In this assessment</w:t>
            </w:r>
          </w:p>
        </w:tc>
        <w:tc>
          <w:tcPr>
            <w:tcW w:w="2500" w:type="pct"/>
            <w:tcBorders>
              <w:bottom w:val="single" w:sz="4" w:space="0" w:color="A6A8AB"/>
            </w:tcBorders>
            <w:shd w:val="clear" w:color="auto" w:fill="E6E7E8" w:themeFill="background2"/>
          </w:tcPr>
          <w:p w14:paraId="3B84535D" w14:textId="0A31AA32" w:rsidR="00D15F96" w:rsidRPr="008933A1" w:rsidRDefault="00D15F96" w:rsidP="00C206A7">
            <w:pPr>
              <w:pStyle w:val="Tablesubhead"/>
            </w:pPr>
            <w:r>
              <w:t>Assessment materials</w:t>
            </w:r>
          </w:p>
        </w:tc>
      </w:tr>
      <w:tr w:rsidR="00D15F96" w:rsidRPr="00BC1996" w14:paraId="3B845361" w14:textId="77777777" w:rsidTr="00442197">
        <w:trPr>
          <w:trHeight w:val="40"/>
        </w:trPr>
        <w:tc>
          <w:tcPr>
            <w:tcW w:w="2500" w:type="pct"/>
            <w:tcBorders>
              <w:bottom w:val="single" w:sz="4" w:space="0" w:color="A6A8AB"/>
            </w:tcBorders>
          </w:tcPr>
          <w:p w14:paraId="2E9C4AF7" w14:textId="77777777" w:rsidR="00D15F96" w:rsidRPr="00D15F96" w:rsidRDefault="00D15F96" w:rsidP="00D15F96">
            <w:pPr>
              <w:pStyle w:val="TableText"/>
            </w:pPr>
            <w:r w:rsidRPr="00D15F96">
              <w:t>Teacher guidelines</w:t>
            </w:r>
          </w:p>
          <w:p w14:paraId="3CF4B6CE" w14:textId="77777777" w:rsidR="00D15F96" w:rsidRPr="00D15F96" w:rsidRDefault="00D15F96" w:rsidP="00D15F96">
            <w:pPr>
              <w:pStyle w:val="TableText"/>
            </w:pPr>
            <w:r w:rsidRPr="00D15F96">
              <w:t>Student booklet</w:t>
            </w:r>
          </w:p>
          <w:p w14:paraId="1315C4D8" w14:textId="77777777" w:rsidR="00D15F96" w:rsidRPr="00D15F96" w:rsidRDefault="00D15F96" w:rsidP="00D15F96">
            <w:pPr>
              <w:pStyle w:val="TableText"/>
            </w:pPr>
            <w:r w:rsidRPr="00D15F96">
              <w:t>Task-specific standards — continua</w:t>
            </w:r>
          </w:p>
          <w:p w14:paraId="088B3A7C" w14:textId="77777777" w:rsidR="00D15F96" w:rsidRDefault="00D15F96" w:rsidP="00D15F96">
            <w:pPr>
              <w:pStyle w:val="TableText"/>
            </w:pPr>
            <w:r w:rsidRPr="00D15F96">
              <w:t>Task-specific standards — matrix</w:t>
            </w:r>
          </w:p>
          <w:p w14:paraId="604F6F47" w14:textId="6D1D378A" w:rsidR="00D15F96" w:rsidRPr="00D15F96" w:rsidRDefault="00442197" w:rsidP="00D15F96">
            <w:pPr>
              <w:pStyle w:val="TableText"/>
            </w:pPr>
            <w:r>
              <w:t>Sample</w:t>
            </w:r>
            <w:r w:rsidR="00D15F96" w:rsidRPr="00D15F96">
              <w:t xml:space="preserve"> response</w:t>
            </w:r>
          </w:p>
          <w:p w14:paraId="626CD487" w14:textId="77777777" w:rsidR="00D15F96" w:rsidRPr="00D15F96" w:rsidRDefault="00D15F96" w:rsidP="00D15F96">
            <w:pPr>
              <w:pStyle w:val="TableText"/>
            </w:pPr>
            <w:r w:rsidRPr="00D15F96">
              <w:t>Assessment resource — Explaining resistance in terms of the particle model</w:t>
            </w:r>
          </w:p>
          <w:p w14:paraId="5A3F32DF" w14:textId="3A664FC0" w:rsidR="00D15F96" w:rsidRPr="00D15F96" w:rsidRDefault="00D15F96" w:rsidP="00442197">
            <w:pPr>
              <w:pStyle w:val="TableText"/>
            </w:pPr>
            <w:r w:rsidRPr="00D15F96">
              <w:t>Assessment resource — Scien</w:t>
            </w:r>
            <w:r w:rsidR="00442197">
              <w:t>tific</w:t>
            </w:r>
            <w:r w:rsidRPr="00D15F96">
              <w:t xml:space="preserve"> inquiry process</w:t>
            </w:r>
          </w:p>
        </w:tc>
        <w:tc>
          <w:tcPr>
            <w:tcW w:w="2500" w:type="pct"/>
            <w:tcBorders>
              <w:bottom w:val="single" w:sz="4" w:space="0" w:color="A6A8AB"/>
            </w:tcBorders>
          </w:tcPr>
          <w:p w14:paraId="2755AC3C" w14:textId="77777777" w:rsidR="00D15F96" w:rsidRPr="00D15F96" w:rsidRDefault="00D15F96" w:rsidP="00D15F96">
            <w:pPr>
              <w:pStyle w:val="TableHeading"/>
            </w:pPr>
            <w:r w:rsidRPr="00D15F96">
              <w:t>Section 2:</w:t>
            </w:r>
          </w:p>
          <w:p w14:paraId="1CBD428E" w14:textId="77777777" w:rsidR="00D15F96" w:rsidRPr="00D15F96" w:rsidRDefault="00D15F96" w:rsidP="00D15F96">
            <w:pPr>
              <w:pStyle w:val="TableBullet"/>
            </w:pPr>
            <w:r w:rsidRPr="00D15F96">
              <w:t>variable power supply (power pack)</w:t>
            </w:r>
          </w:p>
          <w:p w14:paraId="23AF0360" w14:textId="77777777" w:rsidR="00D15F96" w:rsidRPr="00D15F96" w:rsidRDefault="00D15F96" w:rsidP="00D15F96">
            <w:pPr>
              <w:pStyle w:val="TableBullet"/>
            </w:pPr>
            <w:r w:rsidRPr="00D15F96">
              <w:t>ammeter and voltmeter or 2 multimeters</w:t>
            </w:r>
          </w:p>
          <w:p w14:paraId="0C213FC9" w14:textId="77777777" w:rsidR="00D15F96" w:rsidRPr="00D15F96" w:rsidRDefault="00D15F96" w:rsidP="00D15F96">
            <w:pPr>
              <w:pStyle w:val="TableBullet"/>
            </w:pPr>
            <w:r w:rsidRPr="00D15F96">
              <w:t>switch</w:t>
            </w:r>
          </w:p>
          <w:p w14:paraId="7298C78D" w14:textId="77777777" w:rsidR="00D15F96" w:rsidRPr="00D15F96" w:rsidRDefault="00D15F96" w:rsidP="00D15F96">
            <w:pPr>
              <w:pStyle w:val="TableBullet"/>
            </w:pPr>
            <w:r w:rsidRPr="00D15F96">
              <w:t>6 connecting wires, with alligator clips</w:t>
            </w:r>
          </w:p>
          <w:p w14:paraId="6A2C5BA4" w14:textId="77777777" w:rsidR="00D15F96" w:rsidRPr="00D15F96" w:rsidRDefault="00D15F96" w:rsidP="00D15F96">
            <w:pPr>
              <w:pStyle w:val="TableBullet"/>
            </w:pPr>
            <w:r w:rsidRPr="00D15F96">
              <w:t>heatproof mat</w:t>
            </w:r>
          </w:p>
          <w:p w14:paraId="3B845360" w14:textId="42C48050" w:rsidR="00D15F96" w:rsidRPr="00126BC8" w:rsidRDefault="00D15F96" w:rsidP="00D15F96">
            <w:pPr>
              <w:pStyle w:val="TableBullet"/>
              <w:ind w:left="170" w:hanging="170"/>
            </w:pPr>
            <w:r w:rsidRPr="00D15F96">
              <w:t>50 cm and 100 cm lengths of 20 swg (0.91 mm diameter) and 26 swg (0.46 mm diameter) nichrome wire</w:t>
            </w:r>
          </w:p>
        </w:tc>
      </w:tr>
    </w:tbl>
    <w:p w14:paraId="3B845371" w14:textId="77777777" w:rsidR="001D5D69" w:rsidRPr="00581229" w:rsidRDefault="001D5D69" w:rsidP="00087A36">
      <w:pPr>
        <w:pStyle w:val="Heading1"/>
        <w:spacing w:after="120"/>
      </w:pPr>
      <w:r w:rsidRPr="00581229">
        <w:lastRenderedPageBreak/>
        <w:t>Teacher guidelines</w:t>
      </w:r>
    </w:p>
    <w:p w14:paraId="3B845372" w14:textId="77777777" w:rsidR="001D5D69" w:rsidRPr="00581229" w:rsidRDefault="001D5D69" w:rsidP="00087A36">
      <w:pPr>
        <w:pStyle w:val="Heading2"/>
        <w:spacing w:before="240" w:after="0"/>
      </w:pPr>
      <w:r w:rsidRPr="00581229">
        <w:t>Identify curriculum</w:t>
      </w:r>
    </w:p>
    <w:tbl>
      <w:tblPr>
        <w:tblStyle w:val="QCAAtablestyle1"/>
        <w:tblW w:w="4939" w:type="pct"/>
        <w:tblLayout w:type="fixed"/>
        <w:tblLook w:val="01E0" w:firstRow="1" w:lastRow="1" w:firstColumn="1" w:lastColumn="1" w:noHBand="0" w:noVBand="0"/>
      </w:tblPr>
      <w:tblGrid>
        <w:gridCol w:w="3058"/>
        <w:gridCol w:w="3059"/>
        <w:gridCol w:w="3057"/>
      </w:tblGrid>
      <w:tr w:rsidR="001D5D69" w:rsidRPr="00581229" w14:paraId="3B845376"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3"/>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C5417" w:rsidRPr="00581229" w14:paraId="3B84537A" w14:textId="77777777" w:rsidTr="001660F1">
        <w:trPr>
          <w:trHeight w:val="185"/>
        </w:trPr>
        <w:tc>
          <w:tcPr>
            <w:tcW w:w="1667" w:type="pct"/>
            <w:shd w:val="clear" w:color="auto" w:fill="E6E7E8" w:themeFill="background2"/>
          </w:tcPr>
          <w:p w14:paraId="00D59C1F" w14:textId="76BD67FA" w:rsidR="005C5417" w:rsidRPr="00581229" w:rsidRDefault="00A85A4D" w:rsidP="00442197">
            <w:pPr>
              <w:pStyle w:val="Tablesubhead"/>
            </w:pPr>
            <w:r>
              <w:t xml:space="preserve">Science </w:t>
            </w:r>
            <w:r w:rsidR="00442197">
              <w:t>U</w:t>
            </w:r>
            <w:r>
              <w:t>nderstanding</w:t>
            </w:r>
          </w:p>
        </w:tc>
        <w:tc>
          <w:tcPr>
            <w:tcW w:w="1667" w:type="pct"/>
            <w:shd w:val="clear" w:color="auto" w:fill="E6E7E8" w:themeFill="background2"/>
          </w:tcPr>
          <w:p w14:paraId="3B845378" w14:textId="7B207AAA" w:rsidR="005C5417" w:rsidRPr="00581229" w:rsidRDefault="00A85A4D" w:rsidP="00442197">
            <w:pPr>
              <w:pStyle w:val="Tablesubhead"/>
            </w:pPr>
            <w:r>
              <w:t xml:space="preserve">Science as a </w:t>
            </w:r>
            <w:r w:rsidR="00442197">
              <w:t>H</w:t>
            </w:r>
            <w:r>
              <w:t xml:space="preserve">uman </w:t>
            </w:r>
            <w:r w:rsidR="00442197">
              <w:t>E</w:t>
            </w:r>
            <w:r>
              <w:t>ndeavour</w:t>
            </w:r>
          </w:p>
        </w:tc>
        <w:tc>
          <w:tcPr>
            <w:tcW w:w="1666" w:type="pct"/>
            <w:shd w:val="clear" w:color="auto" w:fill="E6E7E8" w:themeFill="background2"/>
          </w:tcPr>
          <w:p w14:paraId="3B845379" w14:textId="57F80D19" w:rsidR="005C5417" w:rsidRPr="00581229" w:rsidRDefault="00442197" w:rsidP="00442197">
            <w:pPr>
              <w:pStyle w:val="Tablesubhead"/>
            </w:pPr>
            <w:r>
              <w:t>Science I</w:t>
            </w:r>
            <w:r w:rsidR="00A85A4D">
              <w:t xml:space="preserve">nquiry </w:t>
            </w:r>
            <w:r>
              <w:t>S</w:t>
            </w:r>
            <w:r w:rsidR="00A85A4D">
              <w:t>kills</w:t>
            </w:r>
          </w:p>
        </w:tc>
      </w:tr>
      <w:tr w:rsidR="005C5417" w:rsidRPr="004B2147" w14:paraId="3B84538C" w14:textId="77777777" w:rsidTr="001660F1">
        <w:trPr>
          <w:trHeight w:val="359"/>
        </w:trPr>
        <w:tc>
          <w:tcPr>
            <w:tcW w:w="1667" w:type="pct"/>
          </w:tcPr>
          <w:p w14:paraId="32851FB6" w14:textId="2B3D2247" w:rsidR="005C5417" w:rsidRPr="00A60BEA" w:rsidRDefault="00903790" w:rsidP="005B5BB9">
            <w:pPr>
              <w:spacing w:after="0"/>
              <w:rPr>
                <w:rFonts w:cs="Arial"/>
                <w:b/>
                <w:sz w:val="20"/>
                <w:szCs w:val="20"/>
              </w:rPr>
            </w:pPr>
            <w:r>
              <w:rPr>
                <w:rFonts w:cs="Arial"/>
                <w:b/>
                <w:sz w:val="20"/>
                <w:szCs w:val="20"/>
              </w:rPr>
              <w:t>Physical sciences</w:t>
            </w:r>
          </w:p>
          <w:p w14:paraId="1C14DA7D" w14:textId="59AD380C" w:rsidR="005C5417" w:rsidRPr="00774078" w:rsidRDefault="00903790" w:rsidP="00903790">
            <w:pPr>
              <w:pStyle w:val="TableBullet"/>
              <w:ind w:left="170" w:hanging="170"/>
              <w:rPr>
                <w:b/>
              </w:rPr>
            </w:pPr>
            <w:r w:rsidRPr="00903790">
              <w:t xml:space="preserve">Energy transfer through different mediums can be explained using wave and particle models </w:t>
            </w:r>
            <w:hyperlink r:id="rId20" w:tooltip="View additional details of ACSSU182" w:history="1">
              <w:r w:rsidRPr="00903790">
                <w:rPr>
                  <w:rStyle w:val="Hyperlink"/>
                </w:rPr>
                <w:t>ACSSU182</w:t>
              </w:r>
            </w:hyperlink>
          </w:p>
          <w:p w14:paraId="0C1C6504" w14:textId="5B34AB21" w:rsidR="00485807" w:rsidRPr="00897107" w:rsidRDefault="00485807" w:rsidP="00A85A4D">
            <w:pPr>
              <w:pStyle w:val="TableBullet"/>
              <w:numPr>
                <w:ilvl w:val="0"/>
                <w:numId w:val="0"/>
              </w:numPr>
              <w:ind w:left="170"/>
              <w:rPr>
                <w:rFonts w:cs="Arial"/>
                <w:sz w:val="20"/>
                <w:szCs w:val="20"/>
              </w:rPr>
            </w:pPr>
          </w:p>
        </w:tc>
        <w:tc>
          <w:tcPr>
            <w:tcW w:w="1667" w:type="pct"/>
          </w:tcPr>
          <w:p w14:paraId="16694CAD" w14:textId="2F77DB4C" w:rsidR="005C5417" w:rsidRDefault="00903790" w:rsidP="00485807">
            <w:pPr>
              <w:spacing w:line="220" w:lineRule="auto"/>
              <w:rPr>
                <w:rFonts w:cs="Arial"/>
                <w:b/>
                <w:sz w:val="20"/>
                <w:szCs w:val="20"/>
              </w:rPr>
            </w:pPr>
            <w:r>
              <w:rPr>
                <w:rFonts w:cs="Arial"/>
                <w:b/>
                <w:sz w:val="20"/>
                <w:szCs w:val="20"/>
              </w:rPr>
              <w:t>Use and influence of science</w:t>
            </w:r>
          </w:p>
          <w:p w14:paraId="6BE7B553" w14:textId="3CEB3EEB" w:rsidR="00485807" w:rsidRDefault="00903790" w:rsidP="00903790">
            <w:pPr>
              <w:pStyle w:val="TableBullet"/>
              <w:ind w:left="170" w:hanging="170"/>
            </w:pPr>
            <w:r w:rsidRPr="00903790">
              <w:t xml:space="preserve">People can use scientific knowledge to evaluate whether they should accept claims, explanations or predictions </w:t>
            </w:r>
            <w:hyperlink r:id="rId21" w:tooltip="View additional details of ACSHE160" w:history="1">
              <w:r w:rsidRPr="00903790">
                <w:rPr>
                  <w:rStyle w:val="Hyperlink"/>
                </w:rPr>
                <w:t>ACSHE160</w:t>
              </w:r>
            </w:hyperlink>
          </w:p>
          <w:p w14:paraId="3B845383" w14:textId="0D6D4619" w:rsidR="00485807" w:rsidRPr="00581229" w:rsidRDefault="00485807" w:rsidP="00897107">
            <w:pPr>
              <w:pStyle w:val="TableBullet"/>
              <w:numPr>
                <w:ilvl w:val="0"/>
                <w:numId w:val="0"/>
              </w:numPr>
              <w:ind w:left="170"/>
            </w:pPr>
            <w:r w:rsidRPr="00485807">
              <w:rPr>
                <w:lang w:val="en"/>
              </w:rPr>
              <w:t xml:space="preserve"> </w:t>
            </w:r>
          </w:p>
        </w:tc>
        <w:tc>
          <w:tcPr>
            <w:tcW w:w="1666" w:type="pct"/>
          </w:tcPr>
          <w:p w14:paraId="1AB5CCA3" w14:textId="77777777" w:rsidR="00742595" w:rsidRPr="00742595" w:rsidRDefault="00742595" w:rsidP="00742595">
            <w:pPr>
              <w:spacing w:line="220" w:lineRule="auto"/>
              <w:rPr>
                <w:rFonts w:cs="Arial"/>
                <w:b/>
                <w:sz w:val="20"/>
                <w:szCs w:val="20"/>
              </w:rPr>
            </w:pPr>
            <w:r w:rsidRPr="00742595">
              <w:rPr>
                <w:rFonts w:cs="Arial"/>
                <w:b/>
                <w:sz w:val="20"/>
                <w:szCs w:val="20"/>
              </w:rPr>
              <w:t>Planning and conducting</w:t>
            </w:r>
          </w:p>
          <w:p w14:paraId="4B783B1E" w14:textId="77777777" w:rsidR="00742595" w:rsidRPr="002C17D4" w:rsidRDefault="00742595" w:rsidP="00742595">
            <w:pPr>
              <w:pStyle w:val="TableBullet"/>
              <w:ind w:left="170" w:hanging="170"/>
            </w:pPr>
            <w:r w:rsidRPr="002C17D4">
              <w:rPr>
                <w:szCs w:val="20"/>
              </w:rPr>
              <w:t>Plan, select and use appropriate </w:t>
            </w:r>
            <w:r w:rsidRPr="003C5D82">
              <w:rPr>
                <w:szCs w:val="20"/>
              </w:rPr>
              <w:t>investigation</w:t>
            </w:r>
            <w:r w:rsidRPr="002C17D4">
              <w:rPr>
                <w:szCs w:val="20"/>
              </w:rPr>
              <w:t xml:space="preserve"> methods, including </w:t>
            </w:r>
            <w:hyperlink r:id="rId22" w:tooltip="Display the glossary entry for 'field work'" w:history="1">
              <w:r w:rsidRPr="002C17D4">
                <w:rPr>
                  <w:rStyle w:val="Hyperlink"/>
                  <w:color w:val="auto"/>
                  <w:szCs w:val="20"/>
                </w:rPr>
                <w:t>field work</w:t>
              </w:r>
            </w:hyperlink>
            <w:r w:rsidRPr="002C17D4">
              <w:rPr>
                <w:szCs w:val="20"/>
              </w:rPr>
              <w:t> and laboratory experimentation, to collect </w:t>
            </w:r>
            <w:r w:rsidRPr="00957CB5">
              <w:rPr>
                <w:szCs w:val="20"/>
              </w:rPr>
              <w:t>reliable data</w:t>
            </w:r>
            <w:r w:rsidRPr="002C17D4">
              <w:rPr>
                <w:szCs w:val="20"/>
              </w:rPr>
              <w:t>; assess risk and address ethical issues associated with these methods</w:t>
            </w:r>
            <w:r>
              <w:rPr>
                <w:szCs w:val="20"/>
              </w:rPr>
              <w:t xml:space="preserve"> </w:t>
            </w:r>
            <w:hyperlink r:id="rId23" w:tooltip="View additional details of ACSIS165" w:history="1">
              <w:r w:rsidRPr="002C17D4">
                <w:rPr>
                  <w:rStyle w:val="Hyperlink"/>
                  <w:szCs w:val="20"/>
                </w:rPr>
                <w:t>ACSIS165</w:t>
              </w:r>
            </w:hyperlink>
          </w:p>
          <w:p w14:paraId="5E80C6B0" w14:textId="77777777" w:rsidR="00742595" w:rsidRPr="002C17D4" w:rsidRDefault="00742595" w:rsidP="00742595">
            <w:pPr>
              <w:pStyle w:val="TableBullet"/>
              <w:ind w:left="170" w:hanging="170"/>
            </w:pPr>
            <w:r w:rsidRPr="002C17D4">
              <w:rPr>
                <w:szCs w:val="20"/>
              </w:rPr>
              <w:t>Select and use appropriate equipment, including</w:t>
            </w:r>
            <w:r>
              <w:rPr>
                <w:szCs w:val="20"/>
              </w:rPr>
              <w:t xml:space="preserve"> </w:t>
            </w:r>
            <w:r w:rsidRPr="003C5D82">
              <w:rPr>
                <w:szCs w:val="20"/>
              </w:rPr>
              <w:t>digital technologies</w:t>
            </w:r>
            <w:r w:rsidRPr="002C17D4">
              <w:rPr>
                <w:szCs w:val="20"/>
              </w:rPr>
              <w:t>, to systematically and accurately collect and record </w:t>
            </w:r>
            <w:r w:rsidRPr="003C5D82">
              <w:rPr>
                <w:szCs w:val="20"/>
              </w:rPr>
              <w:t>data</w:t>
            </w:r>
            <w:r w:rsidRPr="002C17D4">
              <w:rPr>
                <w:szCs w:val="20"/>
              </w:rPr>
              <w:t> </w:t>
            </w:r>
            <w:hyperlink r:id="rId24" w:tooltip="View additional details of ACSIS166" w:history="1">
              <w:r w:rsidRPr="002C17D4">
                <w:rPr>
                  <w:rStyle w:val="Hyperlink"/>
                  <w:szCs w:val="20"/>
                </w:rPr>
                <w:t>ACSIS166</w:t>
              </w:r>
            </w:hyperlink>
          </w:p>
          <w:p w14:paraId="0D533125" w14:textId="77777777" w:rsidR="00742595" w:rsidRDefault="00742595" w:rsidP="00742595">
            <w:pPr>
              <w:pStyle w:val="Tablebulletslevel1"/>
              <w:tabs>
                <w:tab w:val="clear" w:pos="284"/>
              </w:tabs>
              <w:ind w:left="0" w:firstLine="0"/>
              <w:rPr>
                <w:b/>
                <w:bCs/>
              </w:rPr>
            </w:pPr>
            <w:r w:rsidRPr="002C17D4">
              <w:rPr>
                <w:b/>
                <w:bCs/>
              </w:rPr>
              <w:t>Processing and analysing data and information</w:t>
            </w:r>
          </w:p>
          <w:p w14:paraId="4B911ECC" w14:textId="77777777" w:rsidR="00742595" w:rsidRPr="0066630B" w:rsidRDefault="00742595" w:rsidP="00742595">
            <w:pPr>
              <w:pStyle w:val="TableBullet"/>
              <w:ind w:left="170" w:hanging="170"/>
            </w:pPr>
            <w:r w:rsidRPr="003C5D82">
              <w:rPr>
                <w:rFonts w:eastAsia="SimSun"/>
                <w:szCs w:val="20"/>
                <w:bdr w:val="none" w:sz="0" w:space="0" w:color="auto" w:frame="1"/>
              </w:rPr>
              <w:t>Analyse</w:t>
            </w:r>
            <w:r>
              <w:rPr>
                <w:rStyle w:val="apple-converted-space"/>
                <w:rFonts w:eastAsia="SimSun"/>
                <w:szCs w:val="20"/>
              </w:rPr>
              <w:t xml:space="preserve"> </w:t>
            </w:r>
            <w:hyperlink r:id="rId25" w:tooltip="Display the glossary entry for 'patterns'" w:history="1">
              <w:r w:rsidRPr="002C17D4">
                <w:rPr>
                  <w:rStyle w:val="Hyperlink"/>
                  <w:rFonts w:eastAsia="SimSun"/>
                  <w:color w:val="auto"/>
                  <w:szCs w:val="20"/>
                  <w:bdr w:val="none" w:sz="0" w:space="0" w:color="auto" w:frame="1"/>
                </w:rPr>
                <w:t>patterns</w:t>
              </w:r>
            </w:hyperlink>
            <w:r>
              <w:rPr>
                <w:rStyle w:val="apple-converted-space"/>
                <w:rFonts w:eastAsia="SimSun"/>
                <w:szCs w:val="20"/>
              </w:rPr>
              <w:t xml:space="preserve"> </w:t>
            </w:r>
            <w:r w:rsidRPr="002C17D4">
              <w:rPr>
                <w:rFonts w:cs="Arial"/>
                <w:szCs w:val="20"/>
              </w:rPr>
              <w:t>and</w:t>
            </w:r>
            <w:r>
              <w:rPr>
                <w:rStyle w:val="apple-converted-space"/>
                <w:rFonts w:eastAsia="SimSun"/>
                <w:szCs w:val="20"/>
              </w:rPr>
              <w:t xml:space="preserve"> </w:t>
            </w:r>
            <w:hyperlink r:id="rId26" w:tooltip="Display the glossary entry for 'trends'" w:history="1">
              <w:r w:rsidRPr="002C17D4">
                <w:rPr>
                  <w:rStyle w:val="Hyperlink"/>
                  <w:rFonts w:eastAsia="SimSun"/>
                  <w:color w:val="auto"/>
                  <w:szCs w:val="20"/>
                  <w:bdr w:val="none" w:sz="0" w:space="0" w:color="auto" w:frame="1"/>
                </w:rPr>
                <w:t>trends</w:t>
              </w:r>
            </w:hyperlink>
            <w:r>
              <w:rPr>
                <w:rStyle w:val="apple-converted-space"/>
                <w:rFonts w:eastAsia="SimSun"/>
                <w:szCs w:val="20"/>
              </w:rPr>
              <w:t xml:space="preserve"> </w:t>
            </w:r>
            <w:r w:rsidRPr="002C17D4">
              <w:rPr>
                <w:rFonts w:cs="Arial"/>
                <w:szCs w:val="20"/>
              </w:rPr>
              <w:t>in</w:t>
            </w:r>
            <w:r>
              <w:rPr>
                <w:rStyle w:val="apple-converted-space"/>
                <w:rFonts w:eastAsia="SimSun"/>
                <w:szCs w:val="20"/>
              </w:rPr>
              <w:t xml:space="preserve"> </w:t>
            </w:r>
            <w:r w:rsidRPr="003C5D82">
              <w:rPr>
                <w:rFonts w:eastAsia="SimSun"/>
                <w:szCs w:val="20"/>
                <w:bdr w:val="none" w:sz="0" w:space="0" w:color="auto" w:frame="1"/>
              </w:rPr>
              <w:t>data</w:t>
            </w:r>
            <w:r>
              <w:rPr>
                <w:rFonts w:cs="Arial"/>
                <w:szCs w:val="20"/>
              </w:rPr>
              <w:t xml:space="preserve">, including </w:t>
            </w:r>
            <w:r w:rsidRPr="002C17D4">
              <w:rPr>
                <w:rFonts w:cs="Arial"/>
                <w:szCs w:val="20"/>
              </w:rPr>
              <w:t>describing</w:t>
            </w:r>
            <w:r>
              <w:rPr>
                <w:rStyle w:val="apple-converted-space"/>
                <w:rFonts w:eastAsia="SimSun"/>
                <w:szCs w:val="20"/>
              </w:rPr>
              <w:t xml:space="preserve"> </w:t>
            </w:r>
            <w:r w:rsidRPr="003C5D82">
              <w:rPr>
                <w:rFonts w:eastAsia="SimSun"/>
                <w:szCs w:val="20"/>
                <w:bdr w:val="none" w:sz="0" w:space="0" w:color="auto" w:frame="1"/>
              </w:rPr>
              <w:t>relationships</w:t>
            </w:r>
            <w:r>
              <w:rPr>
                <w:rStyle w:val="apple-converted-space"/>
                <w:rFonts w:eastAsia="SimSun"/>
                <w:szCs w:val="20"/>
              </w:rPr>
              <w:t xml:space="preserve"> </w:t>
            </w:r>
            <w:r w:rsidRPr="002C17D4">
              <w:rPr>
                <w:rFonts w:cs="Arial"/>
                <w:szCs w:val="20"/>
              </w:rPr>
              <w:t>between</w:t>
            </w:r>
            <w:r>
              <w:rPr>
                <w:rStyle w:val="apple-converted-space"/>
                <w:rFonts w:eastAsia="SimSun"/>
                <w:szCs w:val="20"/>
              </w:rPr>
              <w:t xml:space="preserve"> </w:t>
            </w:r>
            <w:r w:rsidRPr="003C5D82">
              <w:rPr>
                <w:rFonts w:eastAsia="SimSun"/>
                <w:szCs w:val="20"/>
                <w:bdr w:val="none" w:sz="0" w:space="0" w:color="auto" w:frame="1"/>
              </w:rPr>
              <w:t>variables</w:t>
            </w:r>
            <w:r>
              <w:rPr>
                <w:rStyle w:val="apple-converted-space"/>
                <w:rFonts w:eastAsia="SimSun"/>
                <w:szCs w:val="20"/>
              </w:rPr>
              <w:t xml:space="preserve"> </w:t>
            </w:r>
            <w:r w:rsidRPr="002C17D4">
              <w:rPr>
                <w:rFonts w:cs="Arial"/>
                <w:szCs w:val="20"/>
              </w:rPr>
              <w:t>and identifying inconsistencies</w:t>
            </w:r>
            <w:r>
              <w:rPr>
                <w:rStyle w:val="apple-converted-space"/>
                <w:rFonts w:eastAsia="SimSun"/>
                <w:color w:val="535353"/>
                <w:szCs w:val="20"/>
              </w:rPr>
              <w:t xml:space="preserve"> </w:t>
            </w:r>
            <w:hyperlink r:id="rId27" w:tooltip="View additional details of ACSIS169" w:history="1">
              <w:r w:rsidRPr="00D26E9D">
                <w:rPr>
                  <w:rStyle w:val="Hyperlink"/>
                  <w:rFonts w:eastAsia="SimSun"/>
                  <w:szCs w:val="20"/>
                </w:rPr>
                <w:t>ACSIS169</w:t>
              </w:r>
            </w:hyperlink>
          </w:p>
          <w:p w14:paraId="19576775" w14:textId="77777777" w:rsidR="00742595" w:rsidRPr="00D26E9D" w:rsidRDefault="00742595" w:rsidP="00742595">
            <w:pPr>
              <w:pStyle w:val="TableBullet"/>
              <w:ind w:left="170" w:hanging="170"/>
              <w:rPr>
                <w:b/>
              </w:rPr>
            </w:pPr>
            <w:r w:rsidRPr="0066630B">
              <w:rPr>
                <w:szCs w:val="20"/>
              </w:rPr>
              <w:t xml:space="preserve">Use knowledge of scientific concepts to draw </w:t>
            </w:r>
            <w:hyperlink r:id="rId28" w:tooltip="Display the glossary entry for 'conclusions'" w:history="1">
              <w:r w:rsidRPr="0066630B">
                <w:rPr>
                  <w:rStyle w:val="Hyperlink"/>
                  <w:color w:val="auto"/>
                  <w:szCs w:val="20"/>
                </w:rPr>
                <w:t>conclusions</w:t>
              </w:r>
            </w:hyperlink>
            <w:r>
              <w:rPr>
                <w:szCs w:val="20"/>
              </w:rPr>
              <w:t xml:space="preserve"> </w:t>
            </w:r>
            <w:r w:rsidRPr="0066630B">
              <w:rPr>
                <w:szCs w:val="20"/>
              </w:rPr>
              <w:t>that are consistent with</w:t>
            </w:r>
            <w:r>
              <w:rPr>
                <w:szCs w:val="20"/>
              </w:rPr>
              <w:t xml:space="preserve"> </w:t>
            </w:r>
            <w:hyperlink r:id="rId29" w:tooltip="Display the glossary entry for 'evidence'" w:history="1">
              <w:r w:rsidRPr="0066630B">
                <w:rPr>
                  <w:rStyle w:val="Hyperlink"/>
                  <w:color w:val="auto"/>
                  <w:szCs w:val="20"/>
                </w:rPr>
                <w:t>evidence</w:t>
              </w:r>
            </w:hyperlink>
            <w:r>
              <w:rPr>
                <w:rStyle w:val="Hyperlink"/>
                <w:color w:val="auto"/>
                <w:szCs w:val="20"/>
              </w:rPr>
              <w:t xml:space="preserve"> </w:t>
            </w:r>
            <w:hyperlink r:id="rId30" w:tooltip="View additional details of ACSIS170" w:history="1">
              <w:r w:rsidRPr="0066630B">
                <w:rPr>
                  <w:rStyle w:val="Hyperlink"/>
                  <w:szCs w:val="20"/>
                </w:rPr>
                <w:t>ACSIS170</w:t>
              </w:r>
            </w:hyperlink>
          </w:p>
          <w:p w14:paraId="4928A3D5" w14:textId="77777777" w:rsidR="00742595" w:rsidRDefault="00742595" w:rsidP="00742595">
            <w:pPr>
              <w:pStyle w:val="Tablebulletslevel1"/>
              <w:tabs>
                <w:tab w:val="clear" w:pos="284"/>
              </w:tabs>
              <w:ind w:left="0" w:firstLine="0"/>
              <w:rPr>
                <w:b/>
                <w:bCs/>
              </w:rPr>
            </w:pPr>
            <w:r>
              <w:rPr>
                <w:b/>
                <w:bCs/>
              </w:rPr>
              <w:t>Evaluating</w:t>
            </w:r>
          </w:p>
          <w:p w14:paraId="3722024A" w14:textId="77777777" w:rsidR="00742595" w:rsidRPr="003C5D82" w:rsidRDefault="00742595" w:rsidP="00742595">
            <w:pPr>
              <w:pStyle w:val="TableBullet"/>
              <w:ind w:left="170" w:hanging="170"/>
            </w:pPr>
            <w:r w:rsidRPr="003C5D82">
              <w:t xml:space="preserve">Evaluate conclusions, including identifying sources of uncertainty and possible alternative explanations, and describe specific ways to improve the quality of the data </w:t>
            </w:r>
            <w:hyperlink r:id="rId31" w:tooltip="View additional details of ACSIS171" w:history="1">
              <w:r w:rsidRPr="003C5D82">
                <w:rPr>
                  <w:rStyle w:val="Hyperlink"/>
                  <w:rFonts w:eastAsia="SimSun"/>
                </w:rPr>
                <w:t>ACSIS171</w:t>
              </w:r>
            </w:hyperlink>
          </w:p>
          <w:p w14:paraId="2EBE978B" w14:textId="77777777" w:rsidR="00742595" w:rsidRPr="00D26E9D" w:rsidRDefault="00742595" w:rsidP="00742595">
            <w:pPr>
              <w:pStyle w:val="Tablebulletslevel1"/>
              <w:tabs>
                <w:tab w:val="clear" w:pos="284"/>
              </w:tabs>
              <w:ind w:left="0" w:firstLine="0"/>
              <w:rPr>
                <w:b/>
                <w:bCs/>
              </w:rPr>
            </w:pPr>
            <w:r w:rsidRPr="00D26E9D">
              <w:rPr>
                <w:b/>
                <w:bCs/>
              </w:rPr>
              <w:t>Communicating</w:t>
            </w:r>
          </w:p>
          <w:p w14:paraId="3B84538B" w14:textId="60C86DFC" w:rsidR="005C5417" w:rsidRPr="00AF07E3" w:rsidRDefault="00742595" w:rsidP="00742595">
            <w:pPr>
              <w:pStyle w:val="TableBullet"/>
              <w:ind w:left="170" w:hanging="170"/>
            </w:pPr>
            <w:r w:rsidRPr="00D26E9D">
              <w:t>Communicate scientific ideas and information for a particular purpose, including constructing evidence-based arguments and using appropriate</w:t>
            </w:r>
            <w:r>
              <w:rPr>
                <w:rStyle w:val="apple-converted-space"/>
                <w:rFonts w:eastAsia="SimSun"/>
              </w:rPr>
              <w:t xml:space="preserve"> </w:t>
            </w:r>
            <w:r w:rsidRPr="002B697E">
              <w:rPr>
                <w:bdr w:val="none" w:sz="0" w:space="0" w:color="auto" w:frame="1"/>
              </w:rPr>
              <w:t>scientific language</w:t>
            </w:r>
            <w:r w:rsidRPr="00D26E9D">
              <w:t>,</w:t>
            </w:r>
            <w:r>
              <w:rPr>
                <w:rStyle w:val="apple-converted-space"/>
                <w:rFonts w:eastAsia="SimSun"/>
              </w:rPr>
              <w:t xml:space="preserve"> </w:t>
            </w:r>
            <w:r w:rsidRPr="002B697E">
              <w:rPr>
                <w:bdr w:val="none" w:sz="0" w:space="0" w:color="auto" w:frame="1"/>
              </w:rPr>
              <w:t>conventions</w:t>
            </w:r>
            <w:r>
              <w:rPr>
                <w:rStyle w:val="apple-converted-space"/>
                <w:rFonts w:eastAsia="SimSun"/>
              </w:rPr>
              <w:t xml:space="preserve"> </w:t>
            </w:r>
            <w:r w:rsidRPr="00D26E9D">
              <w:t>and representations</w:t>
            </w:r>
            <w:r>
              <w:t xml:space="preserve"> </w:t>
            </w:r>
            <w:hyperlink r:id="rId32" w:tooltip="View additional details of ACSIS174" w:history="1">
              <w:r w:rsidRPr="00D26E9D">
                <w:rPr>
                  <w:rStyle w:val="Hyperlink"/>
                  <w:rFonts w:cs="Arial"/>
                </w:rPr>
                <w:t>ACSIS174</w:t>
              </w:r>
            </w:hyperlink>
          </w:p>
        </w:tc>
      </w:tr>
    </w:tbl>
    <w:p w14:paraId="2B5BB07E" w14:textId="6C6F5867" w:rsidR="00D23A72" w:rsidRDefault="00D23A72"/>
    <w:p w14:paraId="069F5079" w14:textId="77777777" w:rsidR="00D23A72" w:rsidRDefault="00D23A72">
      <w:r>
        <w:br w:type="page"/>
      </w:r>
    </w:p>
    <w:p w14:paraId="32331312" w14:textId="77777777" w:rsidR="00D23A72" w:rsidRDefault="00D23A72"/>
    <w:tbl>
      <w:tblPr>
        <w:tblStyle w:val="QCAAtablestyle1"/>
        <w:tblW w:w="4939" w:type="pct"/>
        <w:tblLayout w:type="fixed"/>
        <w:tblLook w:val="01E0" w:firstRow="1" w:lastRow="1" w:firstColumn="1" w:lastColumn="1" w:noHBand="0" w:noVBand="0"/>
      </w:tblPr>
      <w:tblGrid>
        <w:gridCol w:w="4596"/>
        <w:gridCol w:w="4578"/>
      </w:tblGrid>
      <w:tr w:rsidR="001D5D69" w:rsidRPr="00581229" w14:paraId="3B845391" w14:textId="77777777" w:rsidTr="00ED6FBA">
        <w:trPr>
          <w:cnfStyle w:val="100000000000" w:firstRow="1" w:lastRow="0" w:firstColumn="0" w:lastColumn="0" w:oddVBand="0" w:evenVBand="0" w:oddHBand="0" w:evenHBand="0" w:firstRowFirstColumn="0" w:firstRowLastColumn="0" w:lastRowFirstColumn="0" w:lastRowLastColumn="0"/>
          <w:trHeight w:val="1031"/>
        </w:trPr>
        <w:tc>
          <w:tcPr>
            <w:tcW w:w="5000" w:type="pct"/>
            <w:gridSpan w:val="2"/>
            <w:tcBorders>
              <w:bottom w:val="single" w:sz="4" w:space="0" w:color="A6A8AB"/>
            </w:tcBorders>
            <w:shd w:val="clear" w:color="auto" w:fill="F2F2F2" w:themeFill="background1" w:themeFillShade="F2"/>
          </w:tcPr>
          <w:p w14:paraId="3B84538D"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3B845390" w14:textId="41312C68" w:rsidR="00E572C8" w:rsidRPr="00C85183" w:rsidRDefault="001D5D69" w:rsidP="00ED6FBA">
            <w:pPr>
              <w:spacing w:before="0" w:after="0" w:line="264" w:lineRule="auto"/>
              <w:rPr>
                <w:color w:val="0000FF"/>
                <w:sz w:val="21"/>
              </w:rPr>
            </w:pPr>
            <w:r w:rsidRPr="00D23A72">
              <w:rPr>
                <w:rStyle w:val="TableTextChar"/>
                <w:color w:val="auto"/>
              </w:rPr>
              <w:t>This assessment may provide opportunities to engage with the following GCs and CCPs. Refer a</w:t>
            </w:r>
            <w:r w:rsidR="00062CB5" w:rsidRPr="00D23A72">
              <w:rPr>
                <w:rStyle w:val="TableTextChar"/>
                <w:color w:val="auto"/>
              </w:rPr>
              <w:t xml:space="preserve">lso to the Resources tab </w:t>
            </w:r>
            <w:r w:rsidR="00406DB9" w:rsidRPr="00D23A72">
              <w:rPr>
                <w:rStyle w:val="TableTextChar"/>
                <w:color w:val="auto"/>
              </w:rPr>
              <w:t xml:space="preserve">on the Year </w:t>
            </w:r>
            <w:r w:rsidR="001660F1" w:rsidRPr="00D23A72">
              <w:rPr>
                <w:rStyle w:val="TableTextChar"/>
                <w:color w:val="auto"/>
              </w:rPr>
              <w:t>7</w:t>
            </w:r>
            <w:r w:rsidR="002777C2" w:rsidRPr="00D23A72">
              <w:rPr>
                <w:rStyle w:val="TableTextChar"/>
                <w:color w:val="auto"/>
              </w:rPr>
              <w:t xml:space="preserve"> </w:t>
            </w:r>
            <w:r w:rsidR="001660F1" w:rsidRPr="00D23A72">
              <w:rPr>
                <w:rStyle w:val="TableTextChar"/>
                <w:color w:val="auto"/>
              </w:rPr>
              <w:t>Science</w:t>
            </w:r>
            <w:r w:rsidR="00406DB9" w:rsidRPr="00D23A72">
              <w:rPr>
                <w:rStyle w:val="TableTextChar"/>
                <w:color w:val="auto"/>
              </w:rPr>
              <w:t xml:space="preserve"> curriculum and assessment page</w:t>
            </w:r>
            <w:r w:rsidRPr="00D23A72">
              <w:rPr>
                <w:rStyle w:val="TableTextChar"/>
                <w:color w:val="auto"/>
              </w:rPr>
              <w:t xml:space="preserve">: </w:t>
            </w:r>
            <w:hyperlink r:id="rId33" w:history="1">
              <w:r w:rsidR="00D23A72" w:rsidRPr="00D23A72">
                <w:rPr>
                  <w:rStyle w:val="Hyperlink"/>
                  <w:color w:val="auto"/>
                </w:rPr>
                <w:t>www.qcaa.qld.edu.au/yr9-science-resources.html</w:t>
              </w:r>
            </w:hyperlink>
            <w:r w:rsidR="001660F1" w:rsidRPr="00D23A72">
              <w:rPr>
                <w:color w:val="auto"/>
              </w:rPr>
              <w:t xml:space="preserve"> </w:t>
            </w:r>
          </w:p>
        </w:tc>
      </w:tr>
      <w:tr w:rsidR="00ED6FBA" w:rsidRPr="00581229" w14:paraId="3B84539C" w14:textId="04E3A792" w:rsidTr="00ED6FBA">
        <w:trPr>
          <w:trHeight w:val="642"/>
        </w:trPr>
        <w:tc>
          <w:tcPr>
            <w:tcW w:w="2505" w:type="pct"/>
            <w:tcBorders>
              <w:right w:val="nil"/>
            </w:tcBorders>
          </w:tcPr>
          <w:p w14:paraId="7270D022" w14:textId="2358F163" w:rsidR="00ED6FBA" w:rsidRDefault="00ED6FBA" w:rsidP="00C206A7">
            <w:pPr>
              <w:tabs>
                <w:tab w:val="left" w:pos="510"/>
              </w:tabs>
              <w:spacing w:before="0" w:line="220" w:lineRule="atLeast"/>
              <w:ind w:left="510" w:hanging="510"/>
              <w:rPr>
                <w:rStyle w:val="TableTextChar"/>
              </w:rPr>
            </w:pPr>
            <w:r w:rsidRPr="00581229">
              <w:rPr>
                <w:noProof/>
                <w:sz w:val="17"/>
                <w:szCs w:val="17"/>
              </w:rPr>
              <w:drawing>
                <wp:inline distT="0" distB="0" distL="0" distR="0" wp14:anchorId="26312BB9" wp14:editId="476719FE">
                  <wp:extent cx="190800" cy="19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190800" cy="190800"/>
                          </a:xfrm>
                          <a:prstGeom prst="rect">
                            <a:avLst/>
                          </a:prstGeom>
                          <a:noFill/>
                          <a:ln>
                            <a:noFill/>
                          </a:ln>
                        </pic:spPr>
                      </pic:pic>
                    </a:graphicData>
                  </a:graphic>
                </wp:inline>
              </w:drawing>
            </w:r>
            <w:r w:rsidRPr="00581229">
              <w:rPr>
                <w:sz w:val="17"/>
                <w:szCs w:val="17"/>
              </w:rPr>
              <w:tab/>
            </w:r>
            <w:r w:rsidRPr="00C206A7">
              <w:rPr>
                <w:rStyle w:val="TableTextChar"/>
              </w:rPr>
              <w:t>Literacy</w:t>
            </w:r>
          </w:p>
          <w:p w14:paraId="3B84539B" w14:textId="211EC3C1" w:rsidR="00ED6FBA" w:rsidRPr="00171041" w:rsidRDefault="00ED6FBA" w:rsidP="00ED6FBA">
            <w:pPr>
              <w:tabs>
                <w:tab w:val="left" w:pos="510"/>
              </w:tabs>
              <w:spacing w:before="0" w:line="220" w:lineRule="atLeast"/>
              <w:ind w:left="510" w:hanging="510"/>
              <w:rPr>
                <w:i/>
                <w:sz w:val="20"/>
              </w:rPr>
            </w:pPr>
            <w:r w:rsidRPr="00581229">
              <w:rPr>
                <w:noProof/>
                <w:sz w:val="17"/>
                <w:szCs w:val="17"/>
              </w:rPr>
              <w:drawing>
                <wp:inline distT="0" distB="0" distL="0" distR="0" wp14:anchorId="61312813" wp14:editId="35DB38DE">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5"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171041">
              <w:rPr>
                <w:rStyle w:val="TableTextChar"/>
              </w:rPr>
              <w:t>Numeracy</w:t>
            </w:r>
          </w:p>
        </w:tc>
        <w:tc>
          <w:tcPr>
            <w:tcW w:w="2495" w:type="pct"/>
            <w:tcBorders>
              <w:left w:val="nil"/>
            </w:tcBorders>
          </w:tcPr>
          <w:p w14:paraId="586648E3" w14:textId="77777777" w:rsidR="00ED6FBA" w:rsidRPr="00DC0B7F" w:rsidRDefault="00ED6FBA" w:rsidP="00ED6FBA">
            <w:pPr>
              <w:tabs>
                <w:tab w:val="left" w:pos="510"/>
              </w:tabs>
              <w:spacing w:line="220" w:lineRule="atLeast"/>
              <w:ind w:left="510" w:hanging="510"/>
              <w:rPr>
                <w:b/>
                <w:sz w:val="20"/>
              </w:rPr>
            </w:pPr>
            <w:r w:rsidRPr="00581229">
              <w:rPr>
                <w:noProof/>
                <w:sz w:val="17"/>
                <w:szCs w:val="17"/>
              </w:rPr>
              <w:drawing>
                <wp:inline distT="0" distB="0" distL="0" distR="0" wp14:anchorId="176F2322" wp14:editId="1DA39E2E">
                  <wp:extent cx="191135" cy="1911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2CA045BC" w14:textId="6707204D" w:rsidR="00ED6FBA" w:rsidRPr="00171041" w:rsidRDefault="00ED6FBA" w:rsidP="00ED6FBA">
            <w:pPr>
              <w:tabs>
                <w:tab w:val="left" w:pos="510"/>
              </w:tabs>
              <w:spacing w:line="220" w:lineRule="atLeast"/>
              <w:ind w:left="510" w:hanging="510"/>
              <w:rPr>
                <w:i/>
                <w:sz w:val="20"/>
              </w:rPr>
            </w:pPr>
            <w:r w:rsidRPr="00581229">
              <w:rPr>
                <w:i/>
                <w:noProof/>
                <w:sz w:val="17"/>
                <w:szCs w:val="17"/>
              </w:rPr>
              <w:drawing>
                <wp:inline distT="0" distB="0" distL="0" distR="0" wp14:anchorId="28F8017C" wp14:editId="4D5DC36B">
                  <wp:extent cx="190500" cy="19050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tc>
      </w:tr>
      <w:tr w:rsidR="001D5D69" w:rsidRPr="00581229" w14:paraId="3B84539F" w14:textId="77777777" w:rsidTr="002777C2">
        <w:tc>
          <w:tcPr>
            <w:tcW w:w="5000" w:type="pct"/>
            <w:gridSpan w:val="2"/>
            <w:shd w:val="clear" w:color="auto" w:fill="F2F2F2" w:themeFill="background1" w:themeFillShade="F2"/>
          </w:tcPr>
          <w:p w14:paraId="3B84539D" w14:textId="77777777" w:rsidR="00BD2E1D" w:rsidRDefault="001D5D69" w:rsidP="00C206A7">
            <w:pPr>
              <w:pStyle w:val="Tablesubhead"/>
            </w:pPr>
            <w:r w:rsidRPr="00581229">
              <w:t>Achievement standard</w:t>
            </w:r>
          </w:p>
          <w:p w14:paraId="3B84539E" w14:textId="796CC6F2" w:rsidR="001D5D69" w:rsidRPr="00581229" w:rsidRDefault="001D5D69" w:rsidP="0033141A">
            <w:pPr>
              <w:pStyle w:val="TableT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1D5D69">
        <w:tc>
          <w:tcPr>
            <w:tcW w:w="5000" w:type="pct"/>
            <w:gridSpan w:val="2"/>
          </w:tcPr>
          <w:p w14:paraId="0EEF8350" w14:textId="3FDF59D5" w:rsidR="00171041" w:rsidRPr="00171041" w:rsidRDefault="00171041" w:rsidP="00ED6FBA">
            <w:pPr>
              <w:pStyle w:val="TableText"/>
              <w:numPr>
                <w:ilvl w:val="0"/>
                <w:numId w:val="15"/>
              </w:numPr>
              <w:spacing w:after="120"/>
            </w:pPr>
            <w:r w:rsidRPr="00171041">
              <w:t xml:space="preserve">By the end of Year 9, students explain chemical processes and natural radioactivity in terms of atoms and energy transfers and describe examples of important chemical reactions. </w:t>
            </w:r>
            <w:r w:rsidRPr="00171041">
              <w:rPr>
                <w:rStyle w:val="QCAAShading"/>
              </w:rPr>
              <w:t>They </w:t>
            </w:r>
            <w:r w:rsidRPr="00ED6FBA">
              <w:rPr>
                <w:rStyle w:val="QCAAShading"/>
                <w:rFonts w:eastAsia="SimSun"/>
              </w:rPr>
              <w:t>describe</w:t>
            </w:r>
            <w:r w:rsidRPr="00171041">
              <w:rPr>
                <w:rStyle w:val="QCAAShading"/>
              </w:rPr>
              <w:t> models of energy transfer and </w:t>
            </w:r>
            <w:r w:rsidRPr="00ED6FBA">
              <w:rPr>
                <w:rStyle w:val="QCAAShading"/>
                <w:rFonts w:eastAsia="SimSun"/>
              </w:rPr>
              <w:t>apply</w:t>
            </w:r>
            <w:r w:rsidRPr="00171041">
              <w:rPr>
                <w:rStyle w:val="QCAAShading"/>
              </w:rPr>
              <w:t> these to </w:t>
            </w:r>
            <w:r w:rsidRPr="00ED6FBA">
              <w:rPr>
                <w:rStyle w:val="QCAAShading"/>
                <w:rFonts w:eastAsia="SimSun"/>
              </w:rPr>
              <w:t>explain</w:t>
            </w:r>
            <w:r w:rsidRPr="00171041">
              <w:rPr>
                <w:rStyle w:val="QCAAShading"/>
              </w:rPr>
              <w:t> phenomena.</w:t>
            </w:r>
            <w:r w:rsidRPr="00171041">
              <w:t xml:space="preserve"> They explain global features and events in terms of geological processes and timescales. They analyse how biological systems function and respond to external changes with reference to interdependencies, energy transfers and flows of matter. They describe social and technological factors that have influenced scientific developments and predict how future applications of science and technology may affect people’s lives.</w:t>
            </w:r>
          </w:p>
          <w:p w14:paraId="3B8453A1" w14:textId="19BFB14E" w:rsidR="00423F52" w:rsidRPr="001660F1" w:rsidRDefault="00171041" w:rsidP="00171041">
            <w:pPr>
              <w:pStyle w:val="TableText"/>
              <w:rPr>
                <w:szCs w:val="19"/>
                <w:lang w:eastAsia="en-US"/>
              </w:rPr>
            </w:pPr>
            <w:r w:rsidRPr="00171041">
              <w:t xml:space="preserve">Students design questions that can be investigated using a range of inquiry skills. </w:t>
            </w:r>
            <w:r w:rsidRPr="00171041">
              <w:rPr>
                <w:rStyle w:val="QCAAShading"/>
              </w:rPr>
              <w:t>They </w:t>
            </w:r>
            <w:r w:rsidRPr="00171041">
              <w:rPr>
                <w:rStyle w:val="QCAAShading"/>
                <w:rFonts w:eastAsia="SimSun"/>
              </w:rPr>
              <w:t>design</w:t>
            </w:r>
            <w:r w:rsidRPr="00171041">
              <w:rPr>
                <w:rStyle w:val="QCAAShading"/>
              </w:rPr>
              <w:t> methods that include the control and accurate measurement of variables and systematic collection of data and </w:t>
            </w:r>
            <w:r w:rsidRPr="00171041">
              <w:rPr>
                <w:rStyle w:val="QCAAShading"/>
                <w:rFonts w:eastAsia="SimSun"/>
              </w:rPr>
              <w:t>describe</w:t>
            </w:r>
            <w:r w:rsidRPr="00171041">
              <w:rPr>
                <w:rStyle w:val="QCAAShading"/>
              </w:rPr>
              <w:t> how they </w:t>
            </w:r>
            <w:r w:rsidRPr="00171041">
              <w:rPr>
                <w:rStyle w:val="QCAAShading"/>
                <w:rFonts w:eastAsia="SimSun"/>
              </w:rPr>
              <w:t>considered</w:t>
            </w:r>
            <w:r w:rsidRPr="00171041">
              <w:t xml:space="preserve"> ethics and </w:t>
            </w:r>
            <w:r w:rsidRPr="00171041">
              <w:rPr>
                <w:rStyle w:val="QCAAShading"/>
              </w:rPr>
              <w:t>safety. They </w:t>
            </w:r>
            <w:r w:rsidRPr="00171041">
              <w:rPr>
                <w:rStyle w:val="QCAAShading"/>
                <w:rFonts w:eastAsia="SimSun"/>
              </w:rPr>
              <w:t>analyse</w:t>
            </w:r>
            <w:r w:rsidRPr="00171041">
              <w:rPr>
                <w:rStyle w:val="QCAAShading"/>
              </w:rPr>
              <w:t> trends in data, </w:t>
            </w:r>
            <w:r w:rsidRPr="00171041">
              <w:rPr>
                <w:rStyle w:val="QCAAShading"/>
                <w:rFonts w:eastAsia="SimSun"/>
              </w:rPr>
              <w:t>identify</w:t>
            </w:r>
            <w:r w:rsidRPr="00171041">
              <w:rPr>
                <w:rStyle w:val="QCAAShading"/>
              </w:rPr>
              <w:t> relationships between variables and reveal inconsistencies in results. They </w:t>
            </w:r>
            <w:r w:rsidRPr="00171041">
              <w:rPr>
                <w:rStyle w:val="QCAAShading"/>
                <w:rFonts w:eastAsia="SimSun"/>
              </w:rPr>
              <w:t>analyse</w:t>
            </w:r>
            <w:r w:rsidRPr="00171041">
              <w:rPr>
                <w:rStyle w:val="QCAAShading"/>
              </w:rPr>
              <w:t> their methods and the quality of their data, and </w:t>
            </w:r>
            <w:r w:rsidRPr="00171041">
              <w:rPr>
                <w:rStyle w:val="QCAAShading"/>
                <w:rFonts w:eastAsia="SimSun"/>
              </w:rPr>
              <w:t>explain</w:t>
            </w:r>
            <w:r w:rsidRPr="00171041">
              <w:rPr>
                <w:rStyle w:val="QCAAShading"/>
              </w:rPr>
              <w:t> specific actions to improve the quality of their evidence. They</w:t>
            </w:r>
            <w:r w:rsidRPr="00171041">
              <w:t xml:space="preserve"> evaluate others’ methods and explanations from a scientific perspective and </w:t>
            </w:r>
            <w:r w:rsidRPr="00171041">
              <w:rPr>
                <w:rStyle w:val="QCAAShading"/>
              </w:rPr>
              <w:t>use appropriate language and representations when communicating their findings and ideas to specific audiences.</w:t>
            </w:r>
          </w:p>
        </w:tc>
      </w:tr>
      <w:tr w:rsidR="001D5D69" w:rsidRPr="00581229" w14:paraId="3B8453A4" w14:textId="77777777" w:rsidTr="001D5D69">
        <w:trPr>
          <w:trHeight w:val="93"/>
        </w:trPr>
        <w:tc>
          <w:tcPr>
            <w:tcW w:w="5000" w:type="pct"/>
            <w:gridSpan w:val="2"/>
          </w:tcPr>
          <w:p w14:paraId="3B8453A3" w14:textId="326A45F0" w:rsidR="001D5D69" w:rsidRPr="00581229" w:rsidRDefault="001D5D69" w:rsidP="00C206A7">
            <w:pPr>
              <w:pStyle w:val="ACversionline"/>
            </w:pPr>
            <w:r w:rsidRPr="00581229">
              <w:t>Source: ACAR</w:t>
            </w:r>
            <w:r>
              <w:t>A, The Australian Curriculum v</w:t>
            </w:r>
            <w:r w:rsidR="00141786">
              <w:t>7</w:t>
            </w:r>
            <w:r w:rsidR="0033141A">
              <w:t>.0</w:t>
            </w:r>
            <w:r w:rsidRPr="00581229">
              <w:t xml:space="preserve">, </w:t>
            </w:r>
            <w:hyperlink r:id="rId38" w:history="1">
              <w:r w:rsidRPr="00197397">
                <w:rPr>
                  <w:rStyle w:val="Hyperlink"/>
                </w:rPr>
                <w:t>www.australiancurriculum.edu.au</w:t>
              </w:r>
            </w:hyperlink>
          </w:p>
        </w:tc>
      </w:tr>
    </w:tbl>
    <w:p w14:paraId="3B8453A6" w14:textId="77777777"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01"/>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3DC2F7F9"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00215B87" w:rsidRPr="00215B87">
              <w:t xml:space="preserve">Year </w:t>
            </w:r>
            <w:r w:rsidR="00BB73CA">
              <w:t>9</w:t>
            </w:r>
            <w:r w:rsidR="001F7C9B">
              <w:t xml:space="preserve"> Science </w:t>
            </w:r>
            <w:r w:rsidR="00215B87" w:rsidRPr="00215B87">
              <w:t>Year level plan. The knowledge, understanding and skills in the Year level plan will prepare students to engage in this assessment</w:t>
            </w:r>
            <w:r w:rsidRPr="00581229">
              <w:t xml:space="preserve">:  </w:t>
            </w:r>
          </w:p>
          <w:p w14:paraId="3B8453AE" w14:textId="70F22861" w:rsidR="00A23F9B" w:rsidRPr="007D588B" w:rsidRDefault="00661554" w:rsidP="001F7C9B">
            <w:pPr>
              <w:pStyle w:val="TableBullet"/>
              <w:ind w:left="170" w:hanging="170"/>
            </w:pPr>
            <w:r>
              <w:rPr>
                <w:lang w:val="en"/>
              </w:rPr>
              <w:t xml:space="preserve">See </w:t>
            </w:r>
            <w:r w:rsidR="00423F52">
              <w:rPr>
                <w:lang w:val="en"/>
              </w:rPr>
              <w:t xml:space="preserve">Year </w:t>
            </w:r>
            <w:r w:rsidR="00BB73CA">
              <w:rPr>
                <w:lang w:val="en"/>
              </w:rPr>
              <w:t>9</w:t>
            </w:r>
            <w:r w:rsidR="00423F52">
              <w:rPr>
                <w:lang w:val="en"/>
              </w:rPr>
              <w:t xml:space="preserve"> plan</w:t>
            </w:r>
            <w:r>
              <w:rPr>
                <w:lang w:val="en"/>
              </w:rPr>
              <w:t xml:space="preserve"> — </w:t>
            </w:r>
            <w:r w:rsidR="001F7C9B">
              <w:t xml:space="preserve">Science </w:t>
            </w:r>
            <w:r w:rsidR="00406DB9">
              <w:t>exemplar</w:t>
            </w:r>
            <w:r w:rsidRPr="00581229">
              <w:rPr>
                <w:lang w:val="en"/>
              </w:rPr>
              <w:t xml:space="preserve"> </w:t>
            </w:r>
            <w:r>
              <w:rPr>
                <w:lang w:val="en"/>
              </w:rPr>
              <w:br/>
            </w:r>
            <w:hyperlink r:id="rId39" w:history="1">
              <w:r w:rsidR="00BB73CA" w:rsidRPr="00033672">
                <w:rPr>
                  <w:rStyle w:val="Hyperlink"/>
                </w:rPr>
                <w:t>www.qcaa.qld.edu.au/downloads/p_10/ac_science_yr9_plan.doc</w:t>
              </w:r>
            </w:hyperlink>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76D83B0F"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804482">
            <w:pPr>
              <w:pStyle w:val="TableBullet"/>
              <w:ind w:left="170" w:hanging="170"/>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40" w:history="1">
              <w:r w:rsidR="003A13EA" w:rsidRPr="003A13EA">
                <w:rPr>
                  <w:rStyle w:val="Hyperlink"/>
                </w:rPr>
                <w:t>www.qcaa.qld.edu.au/10188.html</w:t>
              </w:r>
            </w:hyperlink>
          </w:p>
          <w:p w14:paraId="497D6FE8" w14:textId="56F87103" w:rsidR="005E424E" w:rsidRPr="005E424E" w:rsidRDefault="00661554" w:rsidP="00804482">
            <w:pPr>
              <w:pStyle w:val="TableBullet"/>
              <w:ind w:left="170" w:hanging="170"/>
              <w:rPr>
                <w:color w:val="0000FF"/>
              </w:rPr>
            </w:pPr>
            <w:r w:rsidRPr="003A3B32">
              <w:t xml:space="preserve">Australian Curriculum Student </w:t>
            </w:r>
            <w:r w:rsidR="005E424E" w:rsidRPr="005E424E">
              <w:t xml:space="preserve">Diversity </w:t>
            </w:r>
            <w:hyperlink r:id="rId41" w:history="1">
              <w:r w:rsidR="00774FCA" w:rsidRPr="00406DB9">
                <w:rPr>
                  <w:rStyle w:val="Hyperlink"/>
                </w:rPr>
                <w:t>www.australiancurriculum.edu.au/StudentDiversity/Student-diversity-advice</w:t>
              </w:r>
            </w:hyperlink>
          </w:p>
          <w:p w14:paraId="3B8453B7" w14:textId="136A6EE8" w:rsidR="00661554" w:rsidRPr="003A13EA" w:rsidRDefault="005E424E" w:rsidP="00804482">
            <w:pPr>
              <w:pStyle w:val="TableBullet"/>
              <w:ind w:left="170" w:hanging="170"/>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hyperlink r:id="rId42" w:history="1">
              <w:r w:rsidR="00443CC0" w:rsidRPr="001B78AC">
                <w:rPr>
                  <w:rStyle w:val="Hyperlink"/>
                </w:rPr>
                <w:t>www.curriculum.edu.au/verve/_resources/national_declaration_on_the_educational_goals_for_young_</w:t>
              </w:r>
              <w:r w:rsidR="00443CC0" w:rsidRPr="001B78AC">
                <w:rPr>
                  <w:rStyle w:val="Hyperlink"/>
                </w:rPr>
                <w:br/>
                <w:t>australians.pdf</w:t>
              </w:r>
            </w:hyperlink>
          </w:p>
          <w:p w14:paraId="3B8453B8" w14:textId="2AE87200" w:rsidR="00A32D9C" w:rsidRPr="002E33DE" w:rsidRDefault="00661554" w:rsidP="00ED6FBA">
            <w:pPr>
              <w:pStyle w:val="TableBullet"/>
            </w:pPr>
            <w:r w:rsidRPr="00581229">
              <w:t xml:space="preserve">The </w:t>
            </w:r>
            <w:r w:rsidRPr="008E110C">
              <w:rPr>
                <w:i/>
              </w:rPr>
              <w:t>Disability Standards for Education</w:t>
            </w:r>
            <w:r w:rsidRPr="004B0F3C">
              <w:t xml:space="preserve"> </w:t>
            </w:r>
            <w:hyperlink r:id="rId43" w:history="1">
              <w:r w:rsidRPr="003A13EA">
                <w:rPr>
                  <w:rStyle w:val="Hyperlink"/>
                </w:rPr>
                <w:t>www.ag.gov.au</w:t>
              </w:r>
            </w:hyperlink>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C206A7">
            <w:pPr>
              <w:pStyle w:val="Tablesubhead"/>
            </w:pPr>
            <w:r w:rsidRPr="00581229">
              <w:lastRenderedPageBreak/>
              <w:t>Resources</w:t>
            </w:r>
          </w:p>
        </w:tc>
      </w:tr>
      <w:tr w:rsidR="00661554" w:rsidRPr="00581229" w14:paraId="3B8453C8" w14:textId="77777777" w:rsidTr="00ED6FBA">
        <w:trPr>
          <w:trHeight w:val="501"/>
        </w:trPr>
        <w:tc>
          <w:tcPr>
            <w:tcW w:w="5000" w:type="pct"/>
          </w:tcPr>
          <w:p w14:paraId="207F1A51" w14:textId="77777777" w:rsidR="00A32D9C" w:rsidRPr="00A32D9C" w:rsidRDefault="00A32D9C" w:rsidP="00A32D9C">
            <w:pPr>
              <w:pStyle w:val="TableBullet"/>
            </w:pPr>
            <w:r w:rsidRPr="00A32D9C">
              <w:t>Education Queensland Classroom activity risk management guidelines</w:t>
            </w:r>
          </w:p>
          <w:p w14:paraId="3B8453C7" w14:textId="7C2DB532" w:rsidR="00C2597F" w:rsidRPr="007C5F4C" w:rsidRDefault="00A32D9C" w:rsidP="00A32D9C">
            <w:pPr>
              <w:pStyle w:val="TableBullet"/>
              <w:numPr>
                <w:ilvl w:val="0"/>
                <w:numId w:val="0"/>
              </w:numPr>
              <w:ind w:left="360" w:hanging="360"/>
              <w:rPr>
                <w:lang w:val="en"/>
              </w:rPr>
            </w:pPr>
            <w:r>
              <w:rPr>
                <w:rFonts w:asciiTheme="majorHAnsi" w:hAnsiTheme="majorHAnsi" w:cs="Arial"/>
                <w:szCs w:val="20"/>
              </w:rPr>
              <w:tab/>
            </w:r>
            <w:hyperlink r:id="rId44" w:history="1">
              <w:r w:rsidRPr="00A32D9C">
                <w:rPr>
                  <w:rStyle w:val="Hyperlink"/>
                  <w:rFonts w:asciiTheme="majorHAnsi" w:hAnsiTheme="majorHAnsi" w:cs="Arial"/>
                  <w:szCs w:val="20"/>
                </w:rPr>
                <w:t>http://education.qld.gov.au/curriculum/carmg/index.html</w:t>
              </w:r>
            </w:hyperlink>
            <w:r w:rsidRPr="00A32D9C">
              <w:rPr>
                <w:rFonts w:asciiTheme="majorHAnsi" w:hAnsiTheme="majorHAnsi" w:cs="Arial"/>
                <w:b/>
                <w:szCs w:val="20"/>
              </w:rPr>
              <w:t xml:space="preserve"> </w:t>
            </w:r>
          </w:p>
        </w:tc>
      </w:tr>
    </w:tbl>
    <w:p w14:paraId="3B8453CA" w14:textId="77777777" w:rsidR="00D43831" w:rsidRPr="00581229" w:rsidRDefault="00D43831" w:rsidP="00D43831">
      <w:pPr>
        <w:pStyle w:val="Heading2"/>
      </w:pPr>
      <w:r w:rsidRPr="00581229">
        <w:t>Develop assessment</w:t>
      </w:r>
    </w:p>
    <w:tbl>
      <w:tblPr>
        <w:tblStyle w:val="QCAAtablestyle1"/>
        <w:tblW w:w="4881" w:type="pct"/>
        <w:tblLook w:val="01E0" w:firstRow="1" w:lastRow="1" w:firstColumn="1" w:lastColumn="1" w:noHBand="0" w:noVBand="0"/>
      </w:tblPr>
      <w:tblGrid>
        <w:gridCol w:w="9066"/>
      </w:tblGrid>
      <w:tr w:rsidR="00D43831" w:rsidRPr="004500FF" w14:paraId="3B8453CC" w14:textId="77777777" w:rsidTr="00B818BF">
        <w:trPr>
          <w:cnfStyle w:val="100000000000" w:firstRow="1" w:lastRow="0" w:firstColumn="0" w:lastColumn="0" w:oddVBand="0" w:evenVBand="0" w:oddHBand="0" w:evenHBand="0" w:firstRowFirstColumn="0" w:firstRowLastColumn="0" w:lastRowFirstColumn="0" w:lastRowLastColumn="0"/>
          <w:trHeight w:val="7"/>
        </w:trPr>
        <w:tc>
          <w:tcPr>
            <w:tcW w:w="5000" w:type="pct"/>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B818BF">
        <w:trPr>
          <w:trHeight w:val="675"/>
        </w:trPr>
        <w:tc>
          <w:tcPr>
            <w:tcW w:w="5000" w:type="pct"/>
          </w:tcPr>
          <w:p w14:paraId="058D80E7" w14:textId="77777777" w:rsidR="00C14EE6" w:rsidRPr="00CF1FCC" w:rsidRDefault="00C14EE6" w:rsidP="00C14EE6">
            <w:pPr>
              <w:pStyle w:val="Tabletext0"/>
            </w:pPr>
            <w:r>
              <w:t xml:space="preserve">Learning experiences in preparation for the assessment could include: </w:t>
            </w:r>
          </w:p>
          <w:p w14:paraId="2096D73E" w14:textId="77777777" w:rsidR="00C14EE6" w:rsidRDefault="00C14EE6" w:rsidP="00C14EE6">
            <w:pPr>
              <w:pStyle w:val="TableHeading"/>
            </w:pPr>
            <w:r w:rsidRPr="006D35C2">
              <w:t>Exploring energy, energy changes and electricity</w:t>
            </w:r>
          </w:p>
          <w:p w14:paraId="55CC1746" w14:textId="77777777" w:rsidR="00C14EE6" w:rsidRPr="00213F98" w:rsidRDefault="00C14EE6" w:rsidP="00C14EE6">
            <w:pPr>
              <w:pStyle w:val="TableBullet"/>
              <w:ind w:left="170" w:hanging="170"/>
            </w:pPr>
            <w:r>
              <w:t>Id</w:t>
            </w:r>
            <w:r w:rsidRPr="00213F98">
              <w:t>entify forms of energy and energy changes in electric appliances (e.g. kettles, toasters, washing machines and stereos) in energy chains.</w:t>
            </w:r>
          </w:p>
          <w:p w14:paraId="11A5C9A6" w14:textId="77777777" w:rsidR="00C14EE6" w:rsidRPr="00213F98" w:rsidRDefault="00C14EE6" w:rsidP="00C14EE6">
            <w:pPr>
              <w:pStyle w:val="TableBullet"/>
              <w:ind w:left="170" w:hanging="170"/>
            </w:pPr>
            <w:r w:rsidRPr="00213F98">
              <w:t>Discuss the concept of electricity, including current, voltage and resistance, in terms of the flow of electric charges carried by electrons between atoms in the wires of an electric circuit. This can be explained by comparing it to the flow of water in a water circuit for a swimming pool.</w:t>
            </w:r>
          </w:p>
          <w:p w14:paraId="2035AA64" w14:textId="77777777" w:rsidR="00C14EE6" w:rsidRPr="00213F98" w:rsidRDefault="00C14EE6" w:rsidP="00C14EE6">
            <w:pPr>
              <w:pStyle w:val="TableBullet"/>
              <w:ind w:left="170" w:hanging="170"/>
            </w:pPr>
            <w:r w:rsidRPr="00213F98">
              <w:t>Identify the relationship</w:t>
            </w:r>
            <w:r>
              <w:t>s</w:t>
            </w:r>
            <w:r w:rsidRPr="00213F98">
              <w:t xml:space="preserve"> between electric current</w:t>
            </w:r>
            <w:r>
              <w:t>, voltage,</w:t>
            </w:r>
            <w:r w:rsidRPr="00213F98">
              <w:t xml:space="preserve"> energy</w:t>
            </w:r>
            <w:r>
              <w:t xml:space="preserve"> and power</w:t>
            </w:r>
            <w:r w:rsidRPr="00213F98">
              <w:t>.</w:t>
            </w:r>
          </w:p>
          <w:p w14:paraId="45D683F0" w14:textId="77777777" w:rsidR="00C14EE6" w:rsidRDefault="00C14EE6" w:rsidP="00C14EE6">
            <w:pPr>
              <w:pStyle w:val="TableBullet"/>
              <w:ind w:left="170" w:hanging="170"/>
            </w:pPr>
            <w:r w:rsidRPr="00213F98">
              <w:t xml:space="preserve">Make a glossary </w:t>
            </w:r>
            <w:r>
              <w:t>of</w:t>
            </w:r>
            <w:r w:rsidRPr="00213F98">
              <w:t xml:space="preserve"> key scientific language</w:t>
            </w:r>
            <w:r>
              <w:t>, including</w:t>
            </w:r>
            <w:r w:rsidRPr="00213F98">
              <w:t xml:space="preserve"> energy, joules, electrical energy, voltage, current, resistance, voltmeter, ammeter, series and parallel circuits, volts, amps, ohms, Ohm’s law, power, watts.</w:t>
            </w:r>
          </w:p>
          <w:p w14:paraId="51905E36" w14:textId="77777777" w:rsidR="00C14EE6" w:rsidRPr="00213F98" w:rsidRDefault="00C14EE6" w:rsidP="00C14EE6">
            <w:pPr>
              <w:pStyle w:val="TableBullet"/>
              <w:ind w:left="170" w:hanging="170"/>
            </w:pPr>
            <w:r w:rsidRPr="00213F98">
              <w:t>Discuss the use of different amounts of electrical energy by different appliances and practise calculations using the formula E = Pt.</w:t>
            </w:r>
          </w:p>
          <w:p w14:paraId="2A7B1728" w14:textId="77777777" w:rsidR="00C14EE6" w:rsidRPr="00213F98" w:rsidRDefault="00C14EE6" w:rsidP="00C14EE6">
            <w:pPr>
              <w:pStyle w:val="TableBullet"/>
              <w:ind w:left="170" w:hanging="170"/>
            </w:pPr>
            <w:r w:rsidRPr="00213F98">
              <w:t>Research the use of resistors as heating elements in electric appliances and write a paragraph to summarise the findings.</w:t>
            </w:r>
          </w:p>
          <w:p w14:paraId="4F3435B1" w14:textId="77777777" w:rsidR="00C14EE6" w:rsidRDefault="00C14EE6" w:rsidP="00C14EE6">
            <w:pPr>
              <w:pStyle w:val="TableBullet"/>
              <w:ind w:left="170" w:hanging="170"/>
            </w:pPr>
            <w:r>
              <w:t>Discuss the unit of measurement for nichrome wire. Standard wire gauge (</w:t>
            </w:r>
            <w:proofErr w:type="gramStart"/>
            <w:r>
              <w:t>swg</w:t>
            </w:r>
            <w:proofErr w:type="gramEnd"/>
            <w:r>
              <w:t>) is a measurement of the diameter of wire.</w:t>
            </w:r>
          </w:p>
          <w:p w14:paraId="20FCB12D" w14:textId="77777777" w:rsidR="00C14EE6" w:rsidRDefault="00C14EE6" w:rsidP="00C14EE6">
            <w:pPr>
              <w:pStyle w:val="TableHeading"/>
            </w:pPr>
            <w:r>
              <w:t>Conducting investigations to explore</w:t>
            </w:r>
            <w:r w:rsidRPr="006D35C2">
              <w:t xml:space="preserve"> energy, energy changes and electricity</w:t>
            </w:r>
          </w:p>
          <w:p w14:paraId="1925D814" w14:textId="77777777" w:rsidR="00C14EE6" w:rsidRPr="00213F98" w:rsidRDefault="00C14EE6" w:rsidP="00C14EE6">
            <w:pPr>
              <w:pStyle w:val="TableBullet"/>
              <w:ind w:left="170" w:hanging="170"/>
            </w:pPr>
            <w:r w:rsidRPr="00213F98">
              <w:t>Identify risks and management strategies when conducting experiments with electric circuits.</w:t>
            </w:r>
          </w:p>
          <w:p w14:paraId="5BDF2ABD" w14:textId="77777777" w:rsidR="00C14EE6" w:rsidRPr="00213F98" w:rsidRDefault="00C14EE6" w:rsidP="00C14EE6">
            <w:pPr>
              <w:pStyle w:val="TableBullet"/>
              <w:ind w:left="170" w:hanging="170"/>
            </w:pPr>
            <w:r w:rsidRPr="00213F98">
              <w:t>Construct electric circuits using bulbs and switches in series and parallel and using measuring devices for voltage and current (voltmeters and ammeters or multimeters).</w:t>
            </w:r>
          </w:p>
          <w:p w14:paraId="1B778CB3" w14:textId="77777777" w:rsidR="00C14EE6" w:rsidRPr="00213F98" w:rsidRDefault="00C14EE6" w:rsidP="00C14EE6">
            <w:pPr>
              <w:pStyle w:val="TableBullet"/>
              <w:ind w:left="170" w:hanging="170"/>
            </w:pPr>
            <w:r w:rsidRPr="00213F98">
              <w:t xml:space="preserve">Investigate Ohm’s law experimentally to find out how voltage, current and resistance in an electric circuit are related. </w:t>
            </w:r>
          </w:p>
          <w:p w14:paraId="545D620D" w14:textId="77777777" w:rsidR="00C14EE6" w:rsidRPr="00213F98" w:rsidRDefault="00C14EE6" w:rsidP="00C14EE6">
            <w:pPr>
              <w:pStyle w:val="TableBullet"/>
              <w:ind w:left="170" w:hanging="170"/>
            </w:pPr>
            <w:r w:rsidRPr="00213F98">
              <w:t xml:space="preserve">Record data in tables using Microsoft Excel. </w:t>
            </w:r>
          </w:p>
          <w:p w14:paraId="1D878150" w14:textId="77777777" w:rsidR="00C14EE6" w:rsidRPr="00213F98" w:rsidRDefault="00C14EE6" w:rsidP="00C14EE6">
            <w:pPr>
              <w:pStyle w:val="TableBullet"/>
              <w:ind w:left="170" w:hanging="170"/>
            </w:pPr>
            <w:r w:rsidRPr="00213F98">
              <w:t xml:space="preserve">Analyse and interpret the results mathematically using the formula and create a graph of data collected in the investigation using Microsoft Excel. </w:t>
            </w:r>
          </w:p>
          <w:p w14:paraId="7278A5D0" w14:textId="77777777" w:rsidR="00C14EE6" w:rsidRPr="00213F98" w:rsidRDefault="00C14EE6" w:rsidP="00C14EE6">
            <w:pPr>
              <w:pStyle w:val="TableBullet"/>
              <w:ind w:left="170" w:hanging="170"/>
            </w:pPr>
            <w:r w:rsidRPr="00213F98">
              <w:t>Draw conclusions about the relationships between the variables in Ohm’s law.</w:t>
            </w:r>
          </w:p>
          <w:p w14:paraId="197E0EE8" w14:textId="77777777" w:rsidR="00C14EE6" w:rsidRPr="00213F98" w:rsidRDefault="00C14EE6" w:rsidP="00C14EE6">
            <w:pPr>
              <w:pStyle w:val="TableBullet"/>
              <w:ind w:left="170" w:hanging="170"/>
            </w:pPr>
            <w:r w:rsidRPr="00213F98">
              <w:t xml:space="preserve">Practise mathematical calculations using Ohm’s law (V = IR) and P = VI to solve </w:t>
            </w:r>
            <w:r>
              <w:t>problems with</w:t>
            </w:r>
            <w:r w:rsidRPr="00213F98">
              <w:t xml:space="preserve"> unknown variables.</w:t>
            </w:r>
          </w:p>
          <w:p w14:paraId="140E94F4" w14:textId="77777777" w:rsidR="00C14EE6" w:rsidRPr="00213F98" w:rsidRDefault="00C14EE6" w:rsidP="00C14EE6">
            <w:pPr>
              <w:pStyle w:val="TableBullet"/>
              <w:ind w:left="170" w:hanging="170"/>
            </w:pPr>
            <w:r w:rsidRPr="00213F98">
              <w:t xml:space="preserve">Work in a group to plan and conduct an investigation associated with electric circuits (e.g. </w:t>
            </w:r>
            <w:proofErr w:type="gramStart"/>
            <w:r w:rsidRPr="00213F98">
              <w:t>How</w:t>
            </w:r>
            <w:proofErr w:type="gramEnd"/>
            <w:r w:rsidRPr="00213F98">
              <w:t xml:space="preserve"> well do different types of pencil lead of the same length and diameter conduct electricity?). </w:t>
            </w:r>
          </w:p>
          <w:p w14:paraId="0E7510BD" w14:textId="77777777" w:rsidR="00C14EE6" w:rsidRPr="00213F98" w:rsidRDefault="00C14EE6" w:rsidP="00C14EE6">
            <w:pPr>
              <w:pStyle w:val="TableBullet"/>
              <w:ind w:left="170" w:hanging="170"/>
            </w:pPr>
            <w:r w:rsidRPr="00213F98">
              <w:t xml:space="preserve">Identify variables for investigation. </w:t>
            </w:r>
          </w:p>
          <w:p w14:paraId="3C0FC9B3" w14:textId="77777777" w:rsidR="00C14EE6" w:rsidRPr="00213F98" w:rsidRDefault="00C14EE6" w:rsidP="00C14EE6">
            <w:pPr>
              <w:pStyle w:val="TableBullet"/>
              <w:ind w:left="170" w:hanging="170"/>
            </w:pPr>
            <w:r w:rsidRPr="00213F98">
              <w:t xml:space="preserve">Formulate a question and hypothesis. </w:t>
            </w:r>
          </w:p>
          <w:p w14:paraId="44B9A3DB" w14:textId="77777777" w:rsidR="00C14EE6" w:rsidRPr="00213F98" w:rsidRDefault="00C14EE6" w:rsidP="00C14EE6">
            <w:pPr>
              <w:pStyle w:val="TableBullet"/>
              <w:ind w:left="170" w:hanging="170"/>
            </w:pPr>
            <w:r w:rsidRPr="00213F98">
              <w:t xml:space="preserve">Design a method to test the hypothesis and control variables. </w:t>
            </w:r>
          </w:p>
          <w:p w14:paraId="20CFDB82" w14:textId="77777777" w:rsidR="00C14EE6" w:rsidRPr="00213F98" w:rsidRDefault="00C14EE6" w:rsidP="00C14EE6">
            <w:pPr>
              <w:pStyle w:val="TableBullet"/>
              <w:ind w:left="170" w:hanging="170"/>
            </w:pPr>
            <w:r w:rsidRPr="00213F98">
              <w:t>Design a data table to record results.</w:t>
            </w:r>
          </w:p>
          <w:p w14:paraId="6124C09F" w14:textId="77777777" w:rsidR="00C14EE6" w:rsidRPr="00213F98" w:rsidRDefault="00C14EE6" w:rsidP="00C14EE6">
            <w:pPr>
              <w:pStyle w:val="TableBullet"/>
              <w:ind w:left="170" w:hanging="170"/>
            </w:pPr>
            <w:r w:rsidRPr="00213F98">
              <w:t>Analyse and interpret the results to draw conclusions.</w:t>
            </w:r>
          </w:p>
          <w:p w14:paraId="59FE8F04" w14:textId="77777777" w:rsidR="00C14EE6" w:rsidRDefault="00C14EE6" w:rsidP="00C14EE6">
            <w:pPr>
              <w:pStyle w:val="TableBullet"/>
              <w:ind w:left="170" w:hanging="170"/>
            </w:pPr>
            <w:r w:rsidRPr="00213F98">
              <w:t>Evaluate the conclusions based on the reliability and validity of the data.</w:t>
            </w:r>
          </w:p>
          <w:p w14:paraId="15C184F1" w14:textId="77777777" w:rsidR="00C14EE6" w:rsidRPr="00213F98" w:rsidRDefault="000A2A55" w:rsidP="00C14EE6">
            <w:pPr>
              <w:pStyle w:val="TableBullet"/>
              <w:ind w:left="170" w:hanging="170"/>
            </w:pPr>
            <w:hyperlink r:id="rId45" w:tooltip="Display the glossary entry for 'explain'" w:history="1">
              <w:r w:rsidR="00C14EE6">
                <w:t>E</w:t>
              </w:r>
              <w:r w:rsidR="00C14EE6" w:rsidRPr="00053AF8">
                <w:t>xplain</w:t>
              </w:r>
            </w:hyperlink>
            <w:r w:rsidR="00C14EE6">
              <w:t xml:space="preserve"> </w:t>
            </w:r>
            <w:r w:rsidR="00C14EE6" w:rsidRPr="00053AF8">
              <w:t xml:space="preserve">specific actions </w:t>
            </w:r>
            <w:r w:rsidR="00C14EE6">
              <w:t xml:space="preserve">to improve the quality of collected </w:t>
            </w:r>
            <w:r w:rsidR="00C14EE6" w:rsidRPr="00053AF8">
              <w:t>evidence</w:t>
            </w:r>
            <w:r w:rsidR="00C14EE6" w:rsidRPr="0066630B">
              <w:t>.</w:t>
            </w:r>
          </w:p>
          <w:p w14:paraId="3B8453DB" w14:textId="3C15C806" w:rsidR="00B0274A" w:rsidRPr="00E20E19" w:rsidRDefault="00C14EE6" w:rsidP="00C14EE6">
            <w:pPr>
              <w:pStyle w:val="TableBullet"/>
              <w:ind w:left="170" w:hanging="170"/>
            </w:pPr>
            <w:r w:rsidRPr="00213F98">
              <w:t>Write a scientif</w:t>
            </w:r>
            <w:r>
              <w:t>ic report on the investigation.</w:t>
            </w:r>
          </w:p>
        </w:tc>
      </w:tr>
    </w:tbl>
    <w:p w14:paraId="785C1016" w14:textId="77777777" w:rsidR="00A4290B" w:rsidRDefault="00A4290B" w:rsidP="00D43831">
      <w:pPr>
        <w:rPr>
          <w:rFonts w:eastAsia="SimSun"/>
        </w:rPr>
      </w:pPr>
    </w:p>
    <w:p w14:paraId="2112E1BB" w14:textId="77777777" w:rsidR="00ED6FBA" w:rsidRDefault="00ED6FBA">
      <w:r>
        <w:rPr>
          <w:b/>
        </w:rPr>
        <w:br w:type="page"/>
      </w:r>
    </w:p>
    <w:tbl>
      <w:tblPr>
        <w:tblStyle w:val="QCAAtablestyle1"/>
        <w:tblW w:w="4900" w:type="pct"/>
        <w:tblLook w:val="01E0" w:firstRow="1" w:lastRow="1" w:firstColumn="1" w:lastColumn="1" w:noHBand="0" w:noVBand="0"/>
      </w:tblPr>
      <w:tblGrid>
        <w:gridCol w:w="9101"/>
      </w:tblGrid>
      <w:tr w:rsidR="00D43831" w:rsidRPr="00F16EBF" w14:paraId="3B8453DF"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tcPr>
          <w:p w14:paraId="3B8453DE" w14:textId="4FD10753" w:rsidR="00D43831" w:rsidRPr="00D4384F" w:rsidRDefault="00D43831" w:rsidP="00C206A7">
            <w:pPr>
              <w:pStyle w:val="Tablehead"/>
            </w:pPr>
            <w:r w:rsidRPr="00D4384F">
              <w:lastRenderedPageBreak/>
              <w:t>Implementing</w:t>
            </w:r>
          </w:p>
        </w:tc>
      </w:tr>
      <w:tr w:rsidR="007D07C7" w:rsidRPr="00581229" w14:paraId="7675BC6C" w14:textId="77777777" w:rsidTr="00C206A7">
        <w:trPr>
          <w:trHeight w:val="294"/>
        </w:trPr>
        <w:tc>
          <w:tcPr>
            <w:tcW w:w="5000" w:type="pct"/>
            <w:shd w:val="clear" w:color="auto" w:fill="E6E7E8" w:themeFill="background2"/>
          </w:tcPr>
          <w:p w14:paraId="4EA3A174" w14:textId="41CB2E39" w:rsidR="007D07C7" w:rsidRPr="00D4384F" w:rsidRDefault="00276D00" w:rsidP="00A4290B">
            <w:pPr>
              <w:pStyle w:val="Tablesubhead"/>
              <w:tabs>
                <w:tab w:val="left" w:pos="1134"/>
              </w:tabs>
            </w:pPr>
            <w:r w:rsidRPr="00D4384F">
              <w:t>Section 1.</w:t>
            </w:r>
            <w:r w:rsidRPr="00D4384F">
              <w:tab/>
            </w:r>
            <w:r w:rsidR="00A4290B">
              <w:t>Explaining how heating elements in electric kettles work</w:t>
            </w:r>
          </w:p>
        </w:tc>
      </w:tr>
      <w:tr w:rsidR="00EC561B" w:rsidRPr="00581229" w14:paraId="719559D4" w14:textId="77777777" w:rsidTr="00EC561B">
        <w:trPr>
          <w:trHeight w:val="294"/>
        </w:trPr>
        <w:tc>
          <w:tcPr>
            <w:tcW w:w="5000" w:type="pct"/>
            <w:shd w:val="clear" w:color="auto" w:fill="auto"/>
          </w:tcPr>
          <w:p w14:paraId="1E369EAA" w14:textId="57CE00E3" w:rsidR="00EC561B" w:rsidRPr="00EC561B" w:rsidRDefault="00EC561B" w:rsidP="00EC561B">
            <w:pPr>
              <w:pStyle w:val="TableBullet"/>
              <w:ind w:left="170" w:hanging="170"/>
            </w:pPr>
            <w:r w:rsidRPr="00EC561B">
              <w:t>S</w:t>
            </w:r>
            <w:r w:rsidR="004B1D26">
              <w:t>upervise students in answering Q</w:t>
            </w:r>
            <w:r w:rsidRPr="00EC561B">
              <w:t>uestions 1</w:t>
            </w:r>
            <w:r w:rsidR="00443CC0">
              <w:t>–</w:t>
            </w:r>
            <w:r w:rsidRPr="00EC561B">
              <w:t>7</w:t>
            </w:r>
            <w:r w:rsidR="00443CC0">
              <w:t>.</w:t>
            </w:r>
          </w:p>
          <w:p w14:paraId="7CC01FEA" w14:textId="30719076" w:rsidR="00EC561B" w:rsidRPr="00237FD0" w:rsidRDefault="00EC561B" w:rsidP="00EC561B">
            <w:pPr>
              <w:pStyle w:val="TableBullet"/>
              <w:ind w:left="170" w:hanging="170"/>
              <w:rPr>
                <w:lang w:val="en"/>
              </w:rPr>
            </w:pPr>
            <w:r w:rsidRPr="00EC561B">
              <w:t>Where necessary, explain the requirements of questions so that literacy demands do not prevent students from providing evidence of their science understanding.</w:t>
            </w:r>
          </w:p>
        </w:tc>
      </w:tr>
      <w:tr w:rsidR="00D43831" w:rsidRPr="00581229" w14:paraId="3B8453E3" w14:textId="77777777" w:rsidTr="00C206A7">
        <w:trPr>
          <w:trHeight w:val="294"/>
        </w:trPr>
        <w:tc>
          <w:tcPr>
            <w:tcW w:w="5000" w:type="pct"/>
            <w:shd w:val="clear" w:color="auto" w:fill="E6E7E8" w:themeFill="background2"/>
          </w:tcPr>
          <w:p w14:paraId="3B8453E2" w14:textId="2B7F44A4" w:rsidR="00D43831" w:rsidRPr="00E96274" w:rsidRDefault="00D43831" w:rsidP="00064200">
            <w:pPr>
              <w:pStyle w:val="Tablesubhead"/>
              <w:tabs>
                <w:tab w:val="left" w:pos="1134"/>
              </w:tabs>
            </w:pPr>
            <w:r w:rsidRPr="00D4384F">
              <w:t xml:space="preserve">Section </w:t>
            </w:r>
            <w:r w:rsidR="00276D00">
              <w:t>2</w:t>
            </w:r>
            <w:r w:rsidRPr="00D4384F">
              <w:t>.</w:t>
            </w:r>
            <w:r w:rsidRPr="00D4384F">
              <w:tab/>
            </w:r>
            <w:r w:rsidR="00064200">
              <w:t>Identifying factors which effect energy transfer in electric circuits</w:t>
            </w:r>
          </w:p>
        </w:tc>
      </w:tr>
      <w:tr w:rsidR="00064200" w:rsidRPr="00581229" w14:paraId="3B8453F2" w14:textId="77777777" w:rsidTr="00064200">
        <w:trPr>
          <w:trHeight w:val="1953"/>
        </w:trPr>
        <w:tc>
          <w:tcPr>
            <w:tcW w:w="5000" w:type="pct"/>
          </w:tcPr>
          <w:p w14:paraId="721009F5" w14:textId="77777777" w:rsidR="00064200" w:rsidRPr="00064200" w:rsidRDefault="00064200" w:rsidP="00064200">
            <w:pPr>
              <w:pStyle w:val="TableHeading"/>
            </w:pPr>
            <w:r w:rsidRPr="00064200">
              <w:t>Hints for ensuring safe collection of valid data:</w:t>
            </w:r>
          </w:p>
          <w:p w14:paraId="6C5AF529" w14:textId="77777777" w:rsidR="00064200" w:rsidRPr="00064200" w:rsidRDefault="00064200" w:rsidP="00064200">
            <w:pPr>
              <w:pStyle w:val="TableBullet"/>
              <w:ind w:left="170" w:hanging="170"/>
            </w:pPr>
            <w:r w:rsidRPr="00064200">
              <w:t>It is important that currents through nichrome wire should be kept as low as possible, to minimise heating and to avoid exceeding the current rating of the power supply (usually 10 A but some power supplies are rated at 3 A).</w:t>
            </w:r>
          </w:p>
          <w:p w14:paraId="787C1B27" w14:textId="77777777" w:rsidR="00064200" w:rsidRPr="00064200" w:rsidRDefault="00064200" w:rsidP="00064200">
            <w:pPr>
              <w:pStyle w:val="TableBullet"/>
              <w:ind w:left="170" w:hanging="170"/>
            </w:pPr>
            <w:r w:rsidRPr="00064200">
              <w:t xml:space="preserve">Remind students to read meters quickly and then switch off to avoid overheating of wire. </w:t>
            </w:r>
          </w:p>
          <w:p w14:paraId="4C2AB1B6" w14:textId="77777777" w:rsidR="00064200" w:rsidRPr="00064200" w:rsidRDefault="00064200" w:rsidP="00064200">
            <w:pPr>
              <w:pStyle w:val="TableBullet"/>
              <w:ind w:left="170" w:hanging="170"/>
            </w:pPr>
            <w:r w:rsidRPr="00064200">
              <w:t>Suggestions for minimising current:</w:t>
            </w:r>
          </w:p>
          <w:p w14:paraId="1CF0676A" w14:textId="75CB6203" w:rsidR="00064200" w:rsidRPr="00ED6FBA" w:rsidRDefault="00064200" w:rsidP="00ED6FBA">
            <w:pPr>
              <w:pStyle w:val="TableBullet2"/>
            </w:pPr>
            <w:proofErr w:type="gramStart"/>
            <w:r w:rsidRPr="00ED6FBA">
              <w:t>use</w:t>
            </w:r>
            <w:proofErr w:type="gramEnd"/>
            <w:r w:rsidRPr="00ED6FBA">
              <w:t xml:space="preserve"> 50 cm as a minimum length of nichrome wire (dependent on swg of wire), longer </w:t>
            </w:r>
            <w:r w:rsidRPr="00ED6FBA">
              <w:tab/>
              <w:t xml:space="preserve">samples </w:t>
            </w:r>
            <w:r w:rsidRPr="00ED6FBA">
              <w:tab/>
              <w:t xml:space="preserve">will reduce currents. Wire can be rolled into a coil to save space </w:t>
            </w:r>
          </w:p>
          <w:p w14:paraId="4DBC0E3F" w14:textId="167C105E" w:rsidR="00064200" w:rsidRPr="00064200" w:rsidRDefault="00064200" w:rsidP="00ED6FBA">
            <w:pPr>
              <w:pStyle w:val="TableBullet2"/>
            </w:pPr>
            <w:proofErr w:type="gramStart"/>
            <w:r w:rsidRPr="00ED6FBA">
              <w:t>three</w:t>
            </w:r>
            <w:proofErr w:type="gramEnd"/>
            <w:r w:rsidRPr="00ED6FBA">
              <w:t xml:space="preserve"> different voltages are required, though actual values are not crucial. Do not exceed 6 </w:t>
            </w:r>
            <w:r w:rsidRPr="00ED6FBA">
              <w:tab/>
              <w:t xml:space="preserve">volts. </w:t>
            </w:r>
            <w:r w:rsidRPr="00064200">
              <w:t xml:space="preserve"> </w:t>
            </w:r>
          </w:p>
          <w:p w14:paraId="427B5E54" w14:textId="77777777" w:rsidR="00064200" w:rsidRPr="00064200" w:rsidRDefault="00064200" w:rsidP="00064200">
            <w:pPr>
              <w:pStyle w:val="TableBullet"/>
              <w:ind w:left="170" w:hanging="170"/>
            </w:pPr>
            <w:r w:rsidRPr="00064200">
              <w:t>It is important that teachers test circuits beforehand to ensure currents are not exceeded over the range of chosen voltages and that the meters chosen are of an appropriate range</w:t>
            </w:r>
          </w:p>
          <w:p w14:paraId="11DE9562" w14:textId="77777777" w:rsidR="00064200" w:rsidRPr="00064200" w:rsidRDefault="00064200" w:rsidP="00064200">
            <w:pPr>
              <w:pStyle w:val="TableBullet"/>
              <w:ind w:left="170" w:hanging="170"/>
            </w:pPr>
            <w:r w:rsidRPr="00064200">
              <w:t xml:space="preserve">Discuss safety expectations for the investigation. See Education Queensland </w:t>
            </w:r>
            <w:r w:rsidRPr="00064200">
              <w:rPr>
                <w:i/>
              </w:rPr>
              <w:t xml:space="preserve">Classroom activity risk management guidelines </w:t>
            </w:r>
            <w:hyperlink r:id="rId46" w:history="1">
              <w:r w:rsidRPr="00064200">
                <w:rPr>
                  <w:rStyle w:val="Hyperlink"/>
                </w:rPr>
                <w:t>http://education.qld.gov.au/curriculum/carmg/index.html</w:t>
              </w:r>
            </w:hyperlink>
          </w:p>
          <w:p w14:paraId="2315946A" w14:textId="77777777" w:rsidR="00064200" w:rsidRPr="00064200" w:rsidRDefault="00064200" w:rsidP="00064200">
            <w:pPr>
              <w:pStyle w:val="TableBullet"/>
              <w:ind w:left="170" w:hanging="170"/>
            </w:pPr>
            <w:r w:rsidRPr="00064200">
              <w:t>Ensure all students understand how the materials and equipment are to be assembled.</w:t>
            </w:r>
          </w:p>
          <w:p w14:paraId="0DEB68BF" w14:textId="77777777" w:rsidR="00064200" w:rsidRPr="00064200" w:rsidRDefault="00064200" w:rsidP="00064200">
            <w:pPr>
              <w:pStyle w:val="TableBullet"/>
              <w:ind w:left="170" w:hanging="170"/>
            </w:pPr>
            <w:r w:rsidRPr="00064200">
              <w:t>Check circuits before students begin measurements.</w:t>
            </w:r>
          </w:p>
          <w:p w14:paraId="1B1E30BE" w14:textId="77777777" w:rsidR="00064200" w:rsidRPr="00064200" w:rsidRDefault="00064200" w:rsidP="00064200">
            <w:pPr>
              <w:pStyle w:val="TableHeading"/>
            </w:pPr>
            <w:r w:rsidRPr="00064200">
              <w:t>Hints for purchasing materials</w:t>
            </w:r>
          </w:p>
          <w:p w14:paraId="7040BC31" w14:textId="77777777" w:rsidR="00064200" w:rsidRPr="007F0D65" w:rsidRDefault="00064200" w:rsidP="007F0D65">
            <w:pPr>
              <w:pStyle w:val="TableBullet"/>
              <w:ind w:left="170" w:hanging="170"/>
            </w:pPr>
            <w:r w:rsidRPr="007F0D65">
              <w:t>Nichrome wire is an inexpensive product that can be purchased by the roll. At the time of developing this assessment cost was $22 per roll.</w:t>
            </w:r>
          </w:p>
          <w:p w14:paraId="7E809577" w14:textId="77777777" w:rsidR="00064200" w:rsidRPr="007F0D65" w:rsidRDefault="00064200" w:rsidP="007F0D65">
            <w:pPr>
              <w:pStyle w:val="TableBullet"/>
              <w:ind w:left="170" w:hanging="170"/>
            </w:pPr>
            <w:r w:rsidRPr="007F0D65">
              <w:t xml:space="preserve">Each roll of 20 </w:t>
            </w:r>
            <w:proofErr w:type="gramStart"/>
            <w:r w:rsidRPr="007F0D65">
              <w:t>swg</w:t>
            </w:r>
            <w:proofErr w:type="gramEnd"/>
            <w:r w:rsidRPr="007F0D65">
              <w:t xml:space="preserve"> nichrome wire contains 8.5 metres and it is anticipated that 2 rolls would be needed for a class set (assuming 3 students per group in a class of 30 students).</w:t>
            </w:r>
          </w:p>
          <w:p w14:paraId="25F2E534" w14:textId="77777777" w:rsidR="00064200" w:rsidRPr="007F0D65" w:rsidRDefault="00064200" w:rsidP="007F0D65">
            <w:pPr>
              <w:pStyle w:val="TableBullet"/>
              <w:ind w:left="170" w:hanging="170"/>
            </w:pPr>
            <w:r w:rsidRPr="007F0D65">
              <w:t xml:space="preserve">Each roll of 26 </w:t>
            </w:r>
            <w:proofErr w:type="gramStart"/>
            <w:r w:rsidRPr="007F0D65">
              <w:t>swg</w:t>
            </w:r>
            <w:proofErr w:type="gramEnd"/>
            <w:r w:rsidRPr="007F0D65">
              <w:t xml:space="preserve"> contains 34 metres and it is anticipated that 1 roll would be needed for a class set (assuming 3 students per group in a class of 30 students).</w:t>
            </w:r>
          </w:p>
          <w:p w14:paraId="3B8453F1" w14:textId="724FAFD0" w:rsidR="00064200" w:rsidRPr="00453BE3" w:rsidRDefault="00064200" w:rsidP="007F0D65">
            <w:pPr>
              <w:pStyle w:val="TableBullet"/>
              <w:ind w:left="170" w:hanging="170"/>
            </w:pPr>
            <w:r w:rsidRPr="007F0D65">
              <w:t>The nichrome wire coils are not classified as a consumable resource and can be reused for multiple classes.</w:t>
            </w:r>
          </w:p>
        </w:tc>
      </w:tr>
      <w:tr w:rsidR="00D43831" w:rsidRPr="00581229" w14:paraId="3B8453F4" w14:textId="77777777" w:rsidTr="00C206A7">
        <w:trPr>
          <w:trHeight w:val="42"/>
        </w:trPr>
        <w:tc>
          <w:tcPr>
            <w:tcW w:w="5000" w:type="pct"/>
            <w:shd w:val="clear" w:color="auto" w:fill="E6E7E8" w:themeFill="background2"/>
          </w:tcPr>
          <w:p w14:paraId="3B8453F3" w14:textId="049B4B43" w:rsidR="00D43831" w:rsidRPr="00581229" w:rsidRDefault="003A294B" w:rsidP="006D2C82">
            <w:pPr>
              <w:pStyle w:val="Tablesubhead"/>
              <w:tabs>
                <w:tab w:val="left" w:pos="1134"/>
              </w:tabs>
            </w:pPr>
            <w:r>
              <w:t>Section 3</w:t>
            </w:r>
            <w:r w:rsidR="00D43831" w:rsidRPr="00581229">
              <w:t>.</w:t>
            </w:r>
            <w:r w:rsidR="00D43831" w:rsidRPr="00581229">
              <w:tab/>
            </w:r>
            <w:r w:rsidR="006D2C82">
              <w:t>Planning an investigation: Checking the power rating of a kettle</w:t>
            </w:r>
          </w:p>
        </w:tc>
      </w:tr>
      <w:tr w:rsidR="00BC70D1" w:rsidRPr="00581229" w14:paraId="3B845403" w14:textId="77777777" w:rsidTr="00BC70D1">
        <w:trPr>
          <w:trHeight w:val="363"/>
        </w:trPr>
        <w:tc>
          <w:tcPr>
            <w:tcW w:w="5000" w:type="pct"/>
          </w:tcPr>
          <w:p w14:paraId="17E28614" w14:textId="77777777" w:rsidR="00BC70D1" w:rsidRPr="00BC70D1" w:rsidRDefault="00BC70D1" w:rsidP="00BC70D1">
            <w:pPr>
              <w:pStyle w:val="TableBullet"/>
              <w:ind w:left="170" w:hanging="170"/>
            </w:pPr>
            <w:r w:rsidRPr="00BC70D1">
              <w:t>Provide an electric kettle to assist students with their planning of the investigation.</w:t>
            </w:r>
          </w:p>
          <w:p w14:paraId="683E6F80" w14:textId="77777777" w:rsidR="00BC70D1" w:rsidRPr="00BC70D1" w:rsidRDefault="00BC70D1" w:rsidP="00BC70D1">
            <w:pPr>
              <w:pStyle w:val="TableBullet"/>
              <w:ind w:left="170" w:hanging="170"/>
            </w:pPr>
            <w:r w:rsidRPr="00BC70D1">
              <w:t>Ensure students understand the question they are investigating.</w:t>
            </w:r>
          </w:p>
          <w:p w14:paraId="3E487138" w14:textId="77777777" w:rsidR="00BC70D1" w:rsidRPr="00BC70D1" w:rsidRDefault="00BC70D1" w:rsidP="00BC70D1">
            <w:pPr>
              <w:pStyle w:val="TableBullet"/>
              <w:ind w:left="170" w:hanging="170"/>
            </w:pPr>
            <w:r w:rsidRPr="00BC70D1">
              <w:t xml:space="preserve">Emphasise the danger of 240 volts and remind students that they must plan to use a low voltage source for their </w:t>
            </w:r>
            <w:proofErr w:type="gramStart"/>
            <w:r w:rsidRPr="00BC70D1">
              <w:t>investigation,</w:t>
            </w:r>
            <w:proofErr w:type="gramEnd"/>
            <w:r w:rsidRPr="00BC70D1">
              <w:t xml:space="preserve"> this could include a discussion about why safety switches are installed in houses.</w:t>
            </w:r>
          </w:p>
          <w:p w14:paraId="7C2C4483" w14:textId="77777777" w:rsidR="00BC70D1" w:rsidRPr="00BC70D1" w:rsidRDefault="00BC70D1" w:rsidP="00BC70D1">
            <w:pPr>
              <w:pStyle w:val="TableBullet"/>
              <w:ind w:left="170" w:hanging="170"/>
            </w:pPr>
            <w:r w:rsidRPr="00BC70D1">
              <w:t>Discuss the hint (at the beginning of Section 3) with students and remind them to refer to Sections 1 and 2 when planning the investigation.</w:t>
            </w:r>
          </w:p>
          <w:p w14:paraId="494D4741" w14:textId="77777777" w:rsidR="00BC70D1" w:rsidRPr="00BC70D1" w:rsidRDefault="00BC70D1" w:rsidP="00BC70D1">
            <w:pPr>
              <w:pStyle w:val="TableBullet"/>
              <w:ind w:left="170" w:hanging="170"/>
            </w:pPr>
            <w:r w:rsidRPr="00BC70D1">
              <w:t xml:space="preserve">Discuss safety expectations for the investigation.  </w:t>
            </w:r>
          </w:p>
          <w:p w14:paraId="3B845402" w14:textId="34B37795" w:rsidR="00BC70D1" w:rsidRPr="00453BE3" w:rsidRDefault="00BC70D1" w:rsidP="00BC70D1">
            <w:pPr>
              <w:pStyle w:val="TableBullet"/>
              <w:ind w:left="170" w:hanging="170"/>
            </w:pPr>
            <w:r w:rsidRPr="00BC70D1">
              <w:t>Check methods and circuits before students begin measurements.</w:t>
            </w:r>
          </w:p>
        </w:tc>
      </w:tr>
    </w:tbl>
    <w:p w14:paraId="3B845412" w14:textId="77777777" w:rsidR="000A0F82" w:rsidRPr="008E3B7D" w:rsidRDefault="000A0F82" w:rsidP="000A0F82">
      <w:pPr>
        <w:pStyle w:val="Heading2"/>
      </w:pPr>
      <w:r w:rsidRPr="008E3B7D">
        <w:t>Make judgments</w:t>
      </w:r>
    </w:p>
    <w:p w14:paraId="3B845414" w14:textId="61BA9B3F" w:rsidR="000A0F82" w:rsidRPr="00C206A7" w:rsidRDefault="000A0F82" w:rsidP="00021386">
      <w:pPr>
        <w:pStyle w:val="BodyText"/>
        <w:rPr>
          <w:rStyle w:val="TableTextChar"/>
        </w:rPr>
      </w:pPr>
      <w:r w:rsidRPr="00ED6FBA">
        <w:t xml:space="preserve">When making judgments about the evidence in </w:t>
      </w:r>
      <w:r w:rsidR="00594018" w:rsidRPr="00ED6FBA">
        <w:t xml:space="preserve">student </w:t>
      </w:r>
      <w:r w:rsidRPr="00ED6FBA">
        <w:t xml:space="preserve">responses to this assessment, teachers are advised to use the task-specific standards provided. The development of these task-specific standards has been informed by the Queensland Year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EndPr/>
        <w:sdtContent>
          <w:r w:rsidR="006B6B0D" w:rsidRPr="00ED6FBA">
            <w:t>9</w:t>
          </w:r>
        </w:sdtContent>
      </w:sdt>
      <w:r w:rsidRPr="00ED6FBA">
        <w:t xml:space="preserve"> standard elaborations. See </w:t>
      </w:r>
      <w:hyperlink r:id="rId47" w:history="1">
        <w:r w:rsidR="00443CC0">
          <w:rPr>
            <w:rStyle w:val="Hyperlink"/>
          </w:rPr>
          <w:t>www.qcaa.qld.edu.au/downloads/p_10/ac_sci_yr9_se.docx</w:t>
        </w:r>
      </w:hyperlink>
      <w:r w:rsidR="00E04535">
        <w:t xml:space="preserve"> </w:t>
      </w:r>
    </w:p>
    <w:p w14:paraId="3B845415" w14:textId="6D647932" w:rsidR="000A0F82" w:rsidRPr="00C31323" w:rsidRDefault="000A0F82" w:rsidP="000A0F82">
      <w:pPr>
        <w:pStyle w:val="Heading3"/>
      </w:pPr>
      <w:r w:rsidRPr="008E3B7D">
        <w:lastRenderedPageBreak/>
        <w:t xml:space="preserve">The Queensland standard elaborations </w:t>
      </w:r>
      <w:r w:rsidR="00FB5379">
        <w:t xml:space="preserve">for </w:t>
      </w:r>
      <w:r w:rsidR="00E04535">
        <w:t>Science</w:t>
      </w:r>
    </w:p>
    <w:p w14:paraId="3B845416" w14:textId="2941A24A"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EndPr/>
        <w:sdtContent>
          <w:r w:rsidR="006B6B0D">
            <w:t>9</w:t>
          </w:r>
        </w:sdtContent>
      </w:sdt>
      <w:r w:rsidR="00FB5379">
        <w:t xml:space="preserve"> </w:t>
      </w:r>
      <w:r>
        <w:t>s</w:t>
      </w:r>
      <w:r w:rsidRPr="008E3B7D">
        <w:t>tandard elaborations</w:t>
      </w:r>
      <w:r w:rsidR="00FB5379">
        <w:t xml:space="preserve"> for </w:t>
      </w:r>
      <w:r w:rsidR="00E04535">
        <w:t>Science</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B845417" w14:textId="3BA6D931" w:rsidR="000A0F82" w:rsidRPr="008E3B7D" w:rsidRDefault="000A0F82" w:rsidP="00FB5379">
      <w:pPr>
        <w:pStyle w:val="BodyText"/>
      </w:pPr>
      <w:r w:rsidRPr="008E3B7D">
        <w:t>The</w:t>
      </w:r>
      <w:r>
        <w:t xml:space="preserve"> </w:t>
      </w:r>
      <w:r w:rsidR="00FB5379">
        <w:t xml:space="preserve">Queensland </w:t>
      </w:r>
      <w:r w:rsidR="003A6EF9">
        <w:t>Science</w:t>
      </w:r>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729F79BB" w14:textId="5F4E4019" w:rsidR="00772221" w:rsidRDefault="000A0F82" w:rsidP="003A6EF9">
      <w:pPr>
        <w:pStyle w:val="BodyText"/>
      </w:pPr>
      <w:r w:rsidRPr="008E3B7D">
        <w:t xml:space="preserve">The Australian Curriculum achievement standards dimensions of Understanding and Skills are </w:t>
      </w:r>
      <w:r w:rsidR="00FB5379">
        <w:t xml:space="preserve">used to organise the Queensland </w:t>
      </w:r>
      <w:r w:rsidR="003A6EF9">
        <w:t xml:space="preserve">Science </w:t>
      </w:r>
      <w:r w:rsidRPr="008E3B7D">
        <w:t>standard e</w:t>
      </w:r>
      <w:r>
        <w:t xml:space="preserve">laborations. </w:t>
      </w:r>
    </w:p>
    <w:p w14:paraId="7BF0BBBD" w14:textId="77777777" w:rsidR="003A6EF9" w:rsidRPr="003A6EF9" w:rsidRDefault="003A6EF9" w:rsidP="003A6EF9">
      <w:pPr>
        <w:pStyle w:val="BodyText"/>
      </w:pPr>
      <w:r w:rsidRPr="003A6EF9">
        <w:t xml:space="preserve">The valued features of Science drawn from the achievement standard and the content descriptions for Understanding dimension and Skills dimension are organised as: </w:t>
      </w:r>
    </w:p>
    <w:p w14:paraId="5D5F3247" w14:textId="77777777" w:rsidR="003A6EF9" w:rsidRPr="003A6EF9" w:rsidRDefault="003A6EF9" w:rsidP="003A6EF9">
      <w:pPr>
        <w:pStyle w:val="ListBullet0"/>
      </w:pPr>
      <w:r w:rsidRPr="003A6EF9">
        <w:t>Science understanding</w:t>
      </w:r>
    </w:p>
    <w:p w14:paraId="2818A7EF" w14:textId="77777777" w:rsidR="003A6EF9" w:rsidRPr="003A6EF9" w:rsidRDefault="003A6EF9" w:rsidP="003A6EF9">
      <w:pPr>
        <w:pStyle w:val="ListBullet0"/>
      </w:pPr>
      <w:r w:rsidRPr="003A6EF9">
        <w:t>Science as a human endeavour</w:t>
      </w:r>
    </w:p>
    <w:p w14:paraId="54EF4301" w14:textId="77777777" w:rsidR="003A6EF9" w:rsidRPr="003A6EF9" w:rsidRDefault="003A6EF9" w:rsidP="003A6EF9">
      <w:pPr>
        <w:pStyle w:val="ListBullet0"/>
      </w:pPr>
      <w:r w:rsidRPr="003A6EF9">
        <w:t>Questioning and predicting</w:t>
      </w:r>
    </w:p>
    <w:p w14:paraId="79EA6CA1" w14:textId="77777777" w:rsidR="003A6EF9" w:rsidRPr="003A6EF9" w:rsidRDefault="003A6EF9" w:rsidP="003A6EF9">
      <w:pPr>
        <w:pStyle w:val="ListBullet0"/>
      </w:pPr>
      <w:r w:rsidRPr="003A6EF9">
        <w:t>Planning and conducting</w:t>
      </w:r>
    </w:p>
    <w:p w14:paraId="2915EAF1" w14:textId="77777777" w:rsidR="00C34F89" w:rsidRDefault="003A6EF9" w:rsidP="003A6EF9">
      <w:pPr>
        <w:pStyle w:val="ListBullet0"/>
      </w:pPr>
      <w:r w:rsidRPr="003A6EF9">
        <w:t>Processing and analysing data and information</w:t>
      </w:r>
      <w:r>
        <w:t xml:space="preserve"> </w:t>
      </w:r>
    </w:p>
    <w:p w14:paraId="57AAB56E" w14:textId="6EAB88D3" w:rsidR="003A6EF9" w:rsidRPr="003A6EF9" w:rsidRDefault="003A6EF9" w:rsidP="003A6EF9">
      <w:pPr>
        <w:pStyle w:val="ListBullet0"/>
      </w:pPr>
      <w:r w:rsidRPr="003A6EF9">
        <w:t>Evaluating</w:t>
      </w:r>
    </w:p>
    <w:p w14:paraId="4AFF299B" w14:textId="77777777" w:rsidR="003A6EF9" w:rsidRPr="003A6EF9" w:rsidRDefault="003A6EF9" w:rsidP="003A6EF9">
      <w:pPr>
        <w:pStyle w:val="ListBullet0"/>
      </w:pPr>
      <w:r w:rsidRPr="003A6EF9">
        <w:t>Communicating.</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3B845422" w14:textId="77777777" w:rsidR="000A0F82" w:rsidRPr="00A77A42" w:rsidRDefault="000A0F82" w:rsidP="00D41324">
      <w:pPr>
        <w:pStyle w:val="BodyText"/>
      </w:pPr>
      <w:r w:rsidRPr="00A77A42">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59AC1BE6"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3AB724BD"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lastRenderedPageBreak/>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719B7893" w:rsidR="000A0F82" w:rsidRPr="00A77A42" w:rsidRDefault="000A0F82" w:rsidP="00D41324">
      <w:pPr>
        <w:pStyle w:val="BodyText"/>
      </w:pPr>
      <w:r w:rsidRPr="00A77A42">
        <w:t xml:space="preserve">Task-specific valued features are the discrete aspects of the valued features of </w:t>
      </w:r>
      <w:r w:rsidR="003A6EF9">
        <w:t>Science</w:t>
      </w:r>
      <w:r w:rsidRPr="00A77A42">
        <w:t xml:space="preserve"> targeted in a particular assessment and incorporated into the task-specific standards for that assessment. They a</w:t>
      </w:r>
      <w:r w:rsidR="00D41324">
        <w:t xml:space="preserve">re selected from the Queensland </w:t>
      </w:r>
      <w:r w:rsidR="003A6EF9">
        <w:t>Science</w:t>
      </w:r>
      <w:r w:rsidR="00D41324" w:rsidRPr="00A77A42">
        <w:t xml:space="preserve"> </w:t>
      </w:r>
      <w:r w:rsidRPr="00A77A42">
        <w:t xml:space="preserve">standard elaborations valued features drawn from the Australian Curriculum achievement standard and content descriptions. </w:t>
      </w:r>
    </w:p>
    <w:p w14:paraId="3B84542D" w14:textId="77777777" w:rsidR="000A0F82" w:rsidRPr="003679BA" w:rsidRDefault="000A0F82" w:rsidP="000A0F82">
      <w:pPr>
        <w:pStyle w:val="Heading5"/>
      </w:pPr>
      <w:r w:rsidRPr="00A77A42">
        <w:t>Task-specific valued features for this assessment</w:t>
      </w:r>
    </w:p>
    <w:p w14:paraId="3B84542E" w14:textId="3B98F155"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882" w:type="pct"/>
        <w:tblLayout w:type="fixed"/>
        <w:tblLook w:val="04A0" w:firstRow="1" w:lastRow="0" w:firstColumn="1" w:lastColumn="0" w:noHBand="0" w:noVBand="1"/>
      </w:tblPr>
      <w:tblGrid>
        <w:gridCol w:w="1451"/>
        <w:gridCol w:w="3808"/>
        <w:gridCol w:w="3809"/>
      </w:tblGrid>
      <w:tr w:rsidR="003A6EF9" w:rsidRPr="00E35CD6" w14:paraId="3B845435" w14:textId="77777777" w:rsidTr="00ED6FBA">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451" w:type="dxa"/>
          </w:tcPr>
          <w:p w14:paraId="3B84542F" w14:textId="77777777" w:rsidR="003A6EF9" w:rsidRPr="00B20A96" w:rsidRDefault="003A6EF9" w:rsidP="00C206A7">
            <w:pPr>
              <w:pStyle w:val="Tablehead"/>
              <w:rPr>
                <w:sz w:val="20"/>
                <w:szCs w:val="20"/>
              </w:rPr>
            </w:pPr>
            <w:r w:rsidRPr="00B20A96">
              <w:rPr>
                <w:sz w:val="20"/>
                <w:szCs w:val="20"/>
              </w:rPr>
              <w:lastRenderedPageBreak/>
              <w:t>Australian Curriculum achievement standard dimensions</w:t>
            </w:r>
          </w:p>
        </w:tc>
        <w:tc>
          <w:tcPr>
            <w:tcW w:w="3808" w:type="dxa"/>
          </w:tcPr>
          <w:p w14:paraId="3B845433"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3809" w:type="dxa"/>
          </w:tcPr>
          <w:p w14:paraId="3B845434" w14:textId="77777777" w:rsidR="003A6EF9" w:rsidRPr="00B20A96" w:rsidRDefault="003A6EF9"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3A6EF9" w:rsidRPr="00E35CD6" w14:paraId="3B845447" w14:textId="77777777" w:rsidTr="00ED6FBA">
        <w:trPr>
          <w:cantSplit/>
          <w:trHeight w:val="1254"/>
        </w:trPr>
        <w:tc>
          <w:tcPr>
            <w:cnfStyle w:val="001000000000" w:firstRow="0" w:lastRow="0" w:firstColumn="1" w:lastColumn="0" w:oddVBand="0" w:evenVBand="0" w:oddHBand="0" w:evenHBand="0" w:firstRowFirstColumn="0" w:firstRowLastColumn="0" w:lastRowFirstColumn="0" w:lastRowLastColumn="0"/>
            <w:tcW w:w="1451" w:type="dxa"/>
            <w:textDirection w:val="btLr"/>
            <w:vAlign w:val="center"/>
          </w:tcPr>
          <w:p w14:paraId="3B84543F" w14:textId="3B56D1E6" w:rsidR="003A6EF9" w:rsidRPr="00BE7F78" w:rsidRDefault="003A6EF9" w:rsidP="003A6EF9">
            <w:pPr>
              <w:keepNext/>
              <w:keepLines/>
              <w:spacing w:before="40" w:after="40" w:line="220" w:lineRule="atLeast"/>
              <w:ind w:left="113" w:right="113"/>
              <w:jc w:val="center"/>
              <w:rPr>
                <w:b/>
              </w:rPr>
            </w:pPr>
            <w:r w:rsidRPr="00BE7F78">
              <w:rPr>
                <w:b/>
              </w:rPr>
              <w:t xml:space="preserve">Understanding </w:t>
            </w:r>
            <w:r>
              <w:rPr>
                <w:b/>
              </w:rPr>
              <w:t>dimension</w:t>
            </w:r>
          </w:p>
        </w:tc>
        <w:tc>
          <w:tcPr>
            <w:tcW w:w="3808" w:type="dxa"/>
          </w:tcPr>
          <w:p w14:paraId="3B845444" w14:textId="1E6ACA25" w:rsidR="003A6EF9" w:rsidRPr="00176F50" w:rsidRDefault="003A6EF9" w:rsidP="00FB5CEC">
            <w:pPr>
              <w:pStyle w:val="TableBullet"/>
              <w:numPr>
                <w:ilvl w:val="0"/>
                <w:numId w:val="0"/>
              </w:numPr>
              <w:ind w:left="360" w:hanging="360"/>
              <w:cnfStyle w:val="000000000000" w:firstRow="0" w:lastRow="0" w:firstColumn="0" w:lastColumn="0" w:oddVBand="0" w:evenVBand="0" w:oddHBand="0" w:evenHBand="0" w:firstRowFirstColumn="0" w:firstRowLastColumn="0" w:lastRowFirstColumn="0" w:lastRowLastColumn="0"/>
            </w:pPr>
            <w:r w:rsidRPr="00176F50">
              <w:t>Science understanding</w:t>
            </w:r>
          </w:p>
        </w:tc>
        <w:tc>
          <w:tcPr>
            <w:tcW w:w="3809" w:type="dxa"/>
          </w:tcPr>
          <w:p w14:paraId="25579A82" w14:textId="5DCA80BD" w:rsidR="007B2E73" w:rsidRPr="007B2E73" w:rsidRDefault="007B2E73" w:rsidP="00176F50">
            <w:pPr>
              <w:pStyle w:val="TableText"/>
              <w:cnfStyle w:val="000000000000" w:firstRow="0" w:lastRow="0" w:firstColumn="0" w:lastColumn="0" w:oddVBand="0" w:evenVBand="0" w:oddHBand="0" w:evenHBand="0" w:firstRowFirstColumn="0" w:firstRowLastColumn="0" w:lastRowFirstColumn="0" w:lastRowLastColumn="0"/>
              <w:rPr>
                <w:b/>
              </w:rPr>
            </w:pPr>
            <w:r w:rsidRPr="00176F50">
              <w:rPr>
                <w:b/>
              </w:rPr>
              <w:t>Section 1</w:t>
            </w:r>
            <w:r>
              <w:rPr>
                <w:b/>
              </w:rPr>
              <w:t>:</w:t>
            </w:r>
            <w:r w:rsidR="005F5413">
              <w:rPr>
                <w:b/>
              </w:rPr>
              <w:t xml:space="preserve"> Questions 1–</w:t>
            </w:r>
            <w:r w:rsidRPr="00176F50">
              <w:rPr>
                <w:b/>
              </w:rPr>
              <w:t xml:space="preserve">7 </w:t>
            </w:r>
          </w:p>
          <w:p w14:paraId="3C4A73D2" w14:textId="77777777" w:rsidR="00176F50" w:rsidRDefault="00176F50" w:rsidP="00176F50">
            <w:pPr>
              <w:pStyle w:val="TableText"/>
              <w:cnfStyle w:val="000000000000" w:firstRow="0" w:lastRow="0" w:firstColumn="0" w:lastColumn="0" w:oddVBand="0" w:evenVBand="0" w:oddHBand="0" w:evenHBand="0" w:firstRowFirstColumn="0" w:firstRowLastColumn="0" w:lastRowFirstColumn="0" w:lastRowLastColumn="0"/>
            </w:pPr>
            <w:r w:rsidRPr="00176F50">
              <w:t>Description of energy transfer in electric circuits and heating appliances and explanation of the factors that affect energy transfer using the particle model</w:t>
            </w:r>
          </w:p>
          <w:p w14:paraId="4F89DE22" w14:textId="29534B11" w:rsidR="007B2E73" w:rsidRPr="007B2E73" w:rsidRDefault="007B2E73" w:rsidP="00176F50">
            <w:pPr>
              <w:pStyle w:val="TableText"/>
              <w:cnfStyle w:val="000000000000" w:firstRow="0" w:lastRow="0" w:firstColumn="0" w:lastColumn="0" w:oddVBand="0" w:evenVBand="0" w:oddHBand="0" w:evenHBand="0" w:firstRowFirstColumn="0" w:firstRowLastColumn="0" w:lastRowFirstColumn="0" w:lastRowLastColumn="0"/>
              <w:rPr>
                <w:b/>
              </w:rPr>
            </w:pPr>
            <w:r w:rsidRPr="007B2E73">
              <w:rPr>
                <w:b/>
              </w:rPr>
              <w:t>Section 3: Introduction</w:t>
            </w:r>
          </w:p>
          <w:p w14:paraId="3B845446" w14:textId="7B73A41D" w:rsidR="003A6EF9" w:rsidRPr="007B2E73" w:rsidRDefault="007B2E73" w:rsidP="007B2E73">
            <w:pPr>
              <w:pStyle w:val="TableText"/>
              <w:cnfStyle w:val="000000000000" w:firstRow="0" w:lastRow="0" w:firstColumn="0" w:lastColumn="0" w:oddVBand="0" w:evenVBand="0" w:oddHBand="0" w:evenHBand="0" w:firstRowFirstColumn="0" w:firstRowLastColumn="0" w:lastRowFirstColumn="0" w:lastRowLastColumn="0"/>
            </w:pPr>
            <w:r>
              <w:t>Background information about factors</w:t>
            </w:r>
            <w:r w:rsidRPr="00FE364C">
              <w:t xml:space="preserve"> affecting energy transfer</w:t>
            </w:r>
          </w:p>
        </w:tc>
      </w:tr>
      <w:tr w:rsidR="003A6EF9" w:rsidRPr="00E35CD6" w14:paraId="1DC96417" w14:textId="77777777" w:rsidTr="00ED6FBA">
        <w:trPr>
          <w:cantSplit/>
          <w:trHeight w:val="484"/>
        </w:trPr>
        <w:tc>
          <w:tcPr>
            <w:cnfStyle w:val="001000000000" w:firstRow="0" w:lastRow="0" w:firstColumn="1" w:lastColumn="0" w:oddVBand="0" w:evenVBand="0" w:oddHBand="0" w:evenHBand="0" w:firstRowFirstColumn="0" w:firstRowLastColumn="0" w:lastRowFirstColumn="0" w:lastRowLastColumn="0"/>
            <w:tcW w:w="1451" w:type="dxa"/>
            <w:vMerge w:val="restart"/>
            <w:textDirection w:val="btLr"/>
            <w:vAlign w:val="center"/>
          </w:tcPr>
          <w:p w14:paraId="6C1D2691" w14:textId="0CBF3542" w:rsidR="003A6EF9" w:rsidRPr="00BE7F78" w:rsidRDefault="003A6EF9" w:rsidP="003A6EF9">
            <w:pPr>
              <w:keepNext/>
              <w:keepLines/>
              <w:spacing w:before="40" w:after="40" w:line="220" w:lineRule="atLeast"/>
              <w:ind w:left="113" w:right="113"/>
              <w:jc w:val="center"/>
              <w:rPr>
                <w:b/>
              </w:rPr>
            </w:pPr>
            <w:r>
              <w:rPr>
                <w:b/>
              </w:rPr>
              <w:t>Skills dimension</w:t>
            </w:r>
          </w:p>
        </w:tc>
        <w:tc>
          <w:tcPr>
            <w:tcW w:w="3808" w:type="dxa"/>
          </w:tcPr>
          <w:p w14:paraId="5BEF4462" w14:textId="51501A19" w:rsidR="003A6EF9" w:rsidRPr="00176F50" w:rsidRDefault="00176F50" w:rsidP="003A6EF9">
            <w:pPr>
              <w:pStyle w:val="TableText"/>
              <w:cnfStyle w:val="000000000000" w:firstRow="0" w:lastRow="0" w:firstColumn="0" w:lastColumn="0" w:oddVBand="0" w:evenVBand="0" w:oddHBand="0" w:evenHBand="0" w:firstRowFirstColumn="0" w:firstRowLastColumn="0" w:lastRowFirstColumn="0" w:lastRowLastColumn="0"/>
            </w:pPr>
            <w:r w:rsidRPr="00176F50">
              <w:t>Planning and conducting</w:t>
            </w:r>
          </w:p>
        </w:tc>
        <w:tc>
          <w:tcPr>
            <w:tcW w:w="3809" w:type="dxa"/>
          </w:tcPr>
          <w:p w14:paraId="2B241A7A" w14:textId="00A55E52" w:rsidR="007B2E73" w:rsidRPr="007B2E73" w:rsidRDefault="007B2E73" w:rsidP="007B2E73">
            <w:pPr>
              <w:pStyle w:val="TableText"/>
              <w:cnfStyle w:val="000000000000" w:firstRow="0" w:lastRow="0" w:firstColumn="0" w:lastColumn="0" w:oddVBand="0" w:evenVBand="0" w:oddHBand="0" w:evenHBand="0" w:firstRowFirstColumn="0" w:firstRowLastColumn="0" w:lastRowFirstColumn="0" w:lastRowLastColumn="0"/>
              <w:rPr>
                <w:b/>
              </w:rPr>
            </w:pPr>
            <w:r w:rsidRPr="00176F50">
              <w:rPr>
                <w:b/>
              </w:rPr>
              <w:t xml:space="preserve">Section </w:t>
            </w:r>
            <w:r>
              <w:rPr>
                <w:b/>
              </w:rPr>
              <w:t>2:</w:t>
            </w:r>
            <w:r w:rsidRPr="00176F50">
              <w:rPr>
                <w:b/>
              </w:rPr>
              <w:t xml:space="preserve"> Questions </w:t>
            </w:r>
            <w:r>
              <w:rPr>
                <w:b/>
              </w:rPr>
              <w:t>8 and 9a</w:t>
            </w:r>
            <w:r w:rsidRPr="00176F50">
              <w:rPr>
                <w:b/>
              </w:rPr>
              <w:t xml:space="preserve"> </w:t>
            </w:r>
          </w:p>
          <w:p w14:paraId="01ECD9CE" w14:textId="77777777" w:rsidR="00176F50" w:rsidRPr="00176F50" w:rsidRDefault="00176F50" w:rsidP="00176F50">
            <w:pPr>
              <w:pStyle w:val="TableBullet"/>
              <w:ind w:left="170" w:hanging="170"/>
              <w:cnfStyle w:val="000000000000" w:firstRow="0" w:lastRow="0" w:firstColumn="0" w:lastColumn="0" w:oddVBand="0" w:evenVBand="0" w:oddHBand="0" w:evenHBand="0" w:firstRowFirstColumn="0" w:firstRowLastColumn="0" w:lastRowFirstColumn="0" w:lastRowLastColumn="0"/>
            </w:pPr>
            <w:r w:rsidRPr="00176F50">
              <w:t xml:space="preserve">Measurement of voltage and current </w:t>
            </w:r>
            <w:r w:rsidRPr="00176F50">
              <w:rPr>
                <w:lang w:val="en"/>
              </w:rPr>
              <w:t xml:space="preserve">for various </w:t>
            </w:r>
            <w:r w:rsidRPr="00176F50">
              <w:t>lengths and thickness of wire</w:t>
            </w:r>
          </w:p>
          <w:p w14:paraId="602B4485" w14:textId="77777777" w:rsidR="003A6EF9" w:rsidRDefault="00176F50" w:rsidP="00176F50">
            <w:pPr>
              <w:pStyle w:val="TableBullet"/>
              <w:ind w:left="170" w:hanging="170"/>
              <w:cnfStyle w:val="000000000000" w:firstRow="0" w:lastRow="0" w:firstColumn="0" w:lastColumn="0" w:oddVBand="0" w:evenVBand="0" w:oddHBand="0" w:evenHBand="0" w:firstRowFirstColumn="0" w:firstRowLastColumn="0" w:lastRowFirstColumn="0" w:lastRowLastColumn="0"/>
            </w:pPr>
            <w:r w:rsidRPr="00176F50">
              <w:t>Identification and description of safety considerations</w:t>
            </w:r>
          </w:p>
          <w:p w14:paraId="6EAFB0A1" w14:textId="04062E6E" w:rsidR="00176F50" w:rsidRPr="001D7FB0" w:rsidRDefault="001D7FB0" w:rsidP="007B2E73">
            <w:pPr>
              <w:pStyle w:val="TableText"/>
              <w:cnfStyle w:val="000000000000" w:firstRow="0" w:lastRow="0" w:firstColumn="0" w:lastColumn="0" w:oddVBand="0" w:evenVBand="0" w:oddHBand="0" w:evenHBand="0" w:firstRowFirstColumn="0" w:firstRowLastColumn="0" w:lastRowFirstColumn="0" w:lastRowLastColumn="0"/>
              <w:rPr>
                <w:b/>
              </w:rPr>
            </w:pPr>
            <w:r w:rsidRPr="001D7FB0">
              <w:rPr>
                <w:b/>
              </w:rPr>
              <w:t>Section 3: Materials and Method</w:t>
            </w:r>
          </w:p>
          <w:p w14:paraId="051F5340" w14:textId="55B83D64" w:rsidR="001D7FB0" w:rsidRPr="00176F50" w:rsidRDefault="001D7FB0" w:rsidP="007B2E73">
            <w:pPr>
              <w:pStyle w:val="TableText"/>
              <w:cnfStyle w:val="000000000000" w:firstRow="0" w:lastRow="0" w:firstColumn="0" w:lastColumn="0" w:oddVBand="0" w:evenVBand="0" w:oddHBand="0" w:evenHBand="0" w:firstRowFirstColumn="0" w:firstRowLastColumn="0" w:lastRowFirstColumn="0" w:lastRowLastColumn="0"/>
            </w:pPr>
            <w:r w:rsidRPr="001D7FB0">
              <w:t>Design of an appropriate investigation to determine the resistance of the heating element of a kettle</w:t>
            </w:r>
          </w:p>
        </w:tc>
      </w:tr>
      <w:tr w:rsidR="00176F50" w:rsidRPr="00E35CD6" w14:paraId="69392BBE" w14:textId="77777777" w:rsidTr="00ED6FBA">
        <w:trPr>
          <w:cantSplit/>
          <w:trHeight w:val="484"/>
        </w:trPr>
        <w:tc>
          <w:tcPr>
            <w:cnfStyle w:val="001000000000" w:firstRow="0" w:lastRow="0" w:firstColumn="1" w:lastColumn="0" w:oddVBand="0" w:evenVBand="0" w:oddHBand="0" w:evenHBand="0" w:firstRowFirstColumn="0" w:firstRowLastColumn="0" w:lastRowFirstColumn="0" w:lastRowLastColumn="0"/>
            <w:tcW w:w="1451" w:type="dxa"/>
            <w:vMerge/>
            <w:textDirection w:val="btLr"/>
            <w:vAlign w:val="center"/>
          </w:tcPr>
          <w:p w14:paraId="588E708A" w14:textId="65181290" w:rsidR="00176F50" w:rsidRDefault="00176F50" w:rsidP="003A6EF9">
            <w:pPr>
              <w:keepNext/>
              <w:keepLines/>
              <w:spacing w:before="40" w:after="40" w:line="220" w:lineRule="atLeast"/>
              <w:ind w:left="113" w:right="113"/>
              <w:jc w:val="center"/>
              <w:rPr>
                <w:b/>
              </w:rPr>
            </w:pPr>
          </w:p>
        </w:tc>
        <w:tc>
          <w:tcPr>
            <w:tcW w:w="3808" w:type="dxa"/>
          </w:tcPr>
          <w:p w14:paraId="6B80319A" w14:textId="71599A0F" w:rsidR="00176F50" w:rsidRPr="00176F50" w:rsidRDefault="00176F50" w:rsidP="003A6EF9">
            <w:pPr>
              <w:pStyle w:val="TableText"/>
              <w:cnfStyle w:val="000000000000" w:firstRow="0" w:lastRow="0" w:firstColumn="0" w:lastColumn="0" w:oddVBand="0" w:evenVBand="0" w:oddHBand="0" w:evenHBand="0" w:firstRowFirstColumn="0" w:firstRowLastColumn="0" w:lastRowFirstColumn="0" w:lastRowLastColumn="0"/>
            </w:pPr>
            <w:r w:rsidRPr="00176F50">
              <w:t>Processing and analysing data and information</w:t>
            </w:r>
          </w:p>
        </w:tc>
        <w:tc>
          <w:tcPr>
            <w:tcW w:w="3809" w:type="dxa"/>
          </w:tcPr>
          <w:p w14:paraId="5B6548FB" w14:textId="75FF7C43" w:rsidR="0065764B" w:rsidRPr="0065764B" w:rsidRDefault="0065764B" w:rsidP="00176F50">
            <w:pPr>
              <w:pStyle w:val="TableText"/>
              <w:cnfStyle w:val="000000000000" w:firstRow="0" w:lastRow="0" w:firstColumn="0" w:lastColumn="0" w:oddVBand="0" w:evenVBand="0" w:oddHBand="0" w:evenHBand="0" w:firstRowFirstColumn="0" w:firstRowLastColumn="0" w:lastRowFirstColumn="0" w:lastRowLastColumn="0"/>
              <w:rPr>
                <w:b/>
              </w:rPr>
            </w:pPr>
            <w:r w:rsidRPr="0065764B">
              <w:rPr>
                <w:b/>
              </w:rPr>
              <w:t>Sec</w:t>
            </w:r>
            <w:r>
              <w:rPr>
                <w:b/>
              </w:rPr>
              <w:t>tion 2: Questions 9b, 10 and 11</w:t>
            </w:r>
          </w:p>
          <w:p w14:paraId="71E1C167" w14:textId="77777777" w:rsidR="00176F50" w:rsidRDefault="00176F50" w:rsidP="00176F50">
            <w:pPr>
              <w:pStyle w:val="TableText"/>
              <w:cnfStyle w:val="000000000000" w:firstRow="0" w:lastRow="0" w:firstColumn="0" w:lastColumn="0" w:oddVBand="0" w:evenVBand="0" w:oddHBand="0" w:evenHBand="0" w:firstRowFirstColumn="0" w:firstRowLastColumn="0" w:lastRowFirstColumn="0" w:lastRowLastColumn="0"/>
            </w:pPr>
            <w:r w:rsidRPr="00176F50">
              <w:t>Analysis of trends in data to draw conclusions consistent with evidence about how current, resistance and voltage relate to the wire’s dimensions</w:t>
            </w:r>
          </w:p>
          <w:p w14:paraId="654F1C29" w14:textId="3E8F5C42" w:rsidR="00176F50" w:rsidRPr="0065764B" w:rsidRDefault="0065764B" w:rsidP="0065764B">
            <w:pPr>
              <w:pStyle w:val="TableText"/>
              <w:cnfStyle w:val="000000000000" w:firstRow="0" w:lastRow="0" w:firstColumn="0" w:lastColumn="0" w:oddVBand="0" w:evenVBand="0" w:oddHBand="0" w:evenHBand="0" w:firstRowFirstColumn="0" w:firstRowLastColumn="0" w:lastRowFirstColumn="0" w:lastRowLastColumn="0"/>
              <w:rPr>
                <w:b/>
              </w:rPr>
            </w:pPr>
            <w:r w:rsidRPr="0065764B">
              <w:rPr>
                <w:b/>
              </w:rPr>
              <w:t>Section 3: Results, Analysis of results, Discussion, Conclusion</w:t>
            </w:r>
          </w:p>
          <w:p w14:paraId="2FFBC81F" w14:textId="266F4B74" w:rsidR="0065764B" w:rsidRPr="00176F50" w:rsidRDefault="0065764B" w:rsidP="0065764B">
            <w:pPr>
              <w:pStyle w:val="TableText"/>
              <w:cnfStyle w:val="000000000000" w:firstRow="0" w:lastRow="0" w:firstColumn="0" w:lastColumn="0" w:oddVBand="0" w:evenVBand="0" w:oddHBand="0" w:evenHBand="0" w:firstRowFirstColumn="0" w:firstRowLastColumn="0" w:lastRowFirstColumn="0" w:lastRowLastColumn="0"/>
            </w:pPr>
            <w:r w:rsidRPr="0065764B">
              <w:t>Analysis of trends in data to draw conclusions consistent with evidence about the power of a kettle element</w:t>
            </w:r>
          </w:p>
        </w:tc>
      </w:tr>
      <w:tr w:rsidR="00176F50" w:rsidRPr="00E35CD6" w14:paraId="303B78AA" w14:textId="77777777" w:rsidTr="00ED6FBA">
        <w:trPr>
          <w:cantSplit/>
          <w:trHeight w:val="484"/>
        </w:trPr>
        <w:tc>
          <w:tcPr>
            <w:cnfStyle w:val="001000000000" w:firstRow="0" w:lastRow="0" w:firstColumn="1" w:lastColumn="0" w:oddVBand="0" w:evenVBand="0" w:oddHBand="0" w:evenHBand="0" w:firstRowFirstColumn="0" w:firstRowLastColumn="0" w:lastRowFirstColumn="0" w:lastRowLastColumn="0"/>
            <w:tcW w:w="1451" w:type="dxa"/>
            <w:vMerge/>
            <w:textDirection w:val="btLr"/>
            <w:vAlign w:val="center"/>
          </w:tcPr>
          <w:p w14:paraId="6812ED9B" w14:textId="26F83A9F" w:rsidR="00176F50" w:rsidRDefault="00176F50" w:rsidP="003A6EF9">
            <w:pPr>
              <w:keepNext/>
              <w:keepLines/>
              <w:spacing w:before="40" w:after="40" w:line="220" w:lineRule="atLeast"/>
              <w:ind w:left="113" w:right="113"/>
              <w:jc w:val="center"/>
              <w:rPr>
                <w:b/>
              </w:rPr>
            </w:pPr>
          </w:p>
        </w:tc>
        <w:tc>
          <w:tcPr>
            <w:tcW w:w="3808" w:type="dxa"/>
          </w:tcPr>
          <w:p w14:paraId="39324C05" w14:textId="1578194E" w:rsidR="00176F50" w:rsidRPr="00535AE1" w:rsidRDefault="00176F50" w:rsidP="003A6EF9">
            <w:pPr>
              <w:pStyle w:val="TableText"/>
              <w:cnfStyle w:val="000000000000" w:firstRow="0" w:lastRow="0" w:firstColumn="0" w:lastColumn="0" w:oddVBand="0" w:evenVBand="0" w:oddHBand="0" w:evenHBand="0" w:firstRowFirstColumn="0" w:firstRowLastColumn="0" w:lastRowFirstColumn="0" w:lastRowLastColumn="0"/>
            </w:pPr>
            <w:r w:rsidRPr="00535AE1">
              <w:t>Evaluating</w:t>
            </w:r>
          </w:p>
        </w:tc>
        <w:tc>
          <w:tcPr>
            <w:tcW w:w="3809" w:type="dxa"/>
          </w:tcPr>
          <w:p w14:paraId="1B27BE8C" w14:textId="77777777" w:rsidR="00176F50" w:rsidRDefault="00535AE1" w:rsidP="003A6EF9">
            <w:pPr>
              <w:pStyle w:val="TableText"/>
              <w:cnfStyle w:val="000000000000" w:firstRow="0" w:lastRow="0" w:firstColumn="0" w:lastColumn="0" w:oddVBand="0" w:evenVBand="0" w:oddHBand="0" w:evenHBand="0" w:firstRowFirstColumn="0" w:firstRowLastColumn="0" w:lastRowFirstColumn="0" w:lastRowLastColumn="0"/>
              <w:rPr>
                <w:b/>
              </w:rPr>
            </w:pPr>
            <w:r w:rsidRPr="00535AE1">
              <w:rPr>
                <w:b/>
              </w:rPr>
              <w:t>Section 3: Discussion</w:t>
            </w:r>
          </w:p>
          <w:p w14:paraId="599B2731" w14:textId="1BF4EB9E" w:rsidR="00535AE1" w:rsidRPr="00535AE1" w:rsidRDefault="00535AE1" w:rsidP="003A6EF9">
            <w:pPr>
              <w:pStyle w:val="TableText"/>
              <w:cnfStyle w:val="000000000000" w:firstRow="0" w:lastRow="0" w:firstColumn="0" w:lastColumn="0" w:oddVBand="0" w:evenVBand="0" w:oddHBand="0" w:evenHBand="0" w:firstRowFirstColumn="0" w:firstRowLastColumn="0" w:lastRowFirstColumn="0" w:lastRowLastColumn="0"/>
            </w:pPr>
            <w:r w:rsidRPr="00535AE1">
              <w:t>Analysis of the method to propose effective modifications</w:t>
            </w:r>
          </w:p>
        </w:tc>
      </w:tr>
      <w:tr w:rsidR="003A6EF9" w:rsidRPr="00E35CD6" w14:paraId="054F6B5E" w14:textId="77777777" w:rsidTr="00ED6FBA">
        <w:trPr>
          <w:cantSplit/>
          <w:trHeight w:val="484"/>
        </w:trPr>
        <w:tc>
          <w:tcPr>
            <w:cnfStyle w:val="001000000000" w:firstRow="0" w:lastRow="0" w:firstColumn="1" w:lastColumn="0" w:oddVBand="0" w:evenVBand="0" w:oddHBand="0" w:evenHBand="0" w:firstRowFirstColumn="0" w:firstRowLastColumn="0" w:lastRowFirstColumn="0" w:lastRowLastColumn="0"/>
            <w:tcW w:w="1451" w:type="dxa"/>
            <w:vMerge/>
            <w:textDirection w:val="btLr"/>
            <w:vAlign w:val="center"/>
          </w:tcPr>
          <w:p w14:paraId="772AC07A" w14:textId="77777777" w:rsidR="003A6EF9" w:rsidRDefault="003A6EF9" w:rsidP="003A6EF9">
            <w:pPr>
              <w:keepNext/>
              <w:keepLines/>
              <w:spacing w:before="40" w:after="40" w:line="220" w:lineRule="atLeast"/>
              <w:ind w:left="113" w:right="113"/>
              <w:jc w:val="center"/>
              <w:rPr>
                <w:b/>
              </w:rPr>
            </w:pPr>
          </w:p>
        </w:tc>
        <w:tc>
          <w:tcPr>
            <w:tcW w:w="3808" w:type="dxa"/>
          </w:tcPr>
          <w:p w14:paraId="3E270BAC" w14:textId="3B6F6F85" w:rsidR="003A6EF9" w:rsidRPr="00407DCC" w:rsidRDefault="00176F50" w:rsidP="003A6EF9">
            <w:pPr>
              <w:pStyle w:val="TableText"/>
              <w:cnfStyle w:val="000000000000" w:firstRow="0" w:lastRow="0" w:firstColumn="0" w:lastColumn="0" w:oddVBand="0" w:evenVBand="0" w:oddHBand="0" w:evenHBand="0" w:firstRowFirstColumn="0" w:firstRowLastColumn="0" w:lastRowFirstColumn="0" w:lastRowLastColumn="0"/>
            </w:pPr>
            <w:r w:rsidRPr="00407DCC">
              <w:t>Communicating</w:t>
            </w:r>
          </w:p>
        </w:tc>
        <w:tc>
          <w:tcPr>
            <w:tcW w:w="3809" w:type="dxa"/>
          </w:tcPr>
          <w:p w14:paraId="5DDD9D9C" w14:textId="19F45AF7" w:rsidR="00407DCC" w:rsidRPr="00407DCC" w:rsidRDefault="00407DCC" w:rsidP="003A6EF9">
            <w:pPr>
              <w:pStyle w:val="TableText"/>
              <w:cnfStyle w:val="000000000000" w:firstRow="0" w:lastRow="0" w:firstColumn="0" w:lastColumn="0" w:oddVBand="0" w:evenVBand="0" w:oddHBand="0" w:evenHBand="0" w:firstRowFirstColumn="0" w:firstRowLastColumn="0" w:lastRowFirstColumn="0" w:lastRowLastColumn="0"/>
            </w:pPr>
            <w:r w:rsidRPr="00407DCC">
              <w:rPr>
                <w:b/>
              </w:rPr>
              <w:t>Sections 1 and 2</w:t>
            </w:r>
          </w:p>
          <w:p w14:paraId="63F22A3D" w14:textId="77777777" w:rsidR="003A6EF9" w:rsidRPr="00407DCC" w:rsidRDefault="00176F50" w:rsidP="003A6EF9">
            <w:pPr>
              <w:pStyle w:val="TableText"/>
              <w:cnfStyle w:val="000000000000" w:firstRow="0" w:lastRow="0" w:firstColumn="0" w:lastColumn="0" w:oddVBand="0" w:evenVBand="0" w:oddHBand="0" w:evenHBand="0" w:firstRowFirstColumn="0" w:firstRowLastColumn="0" w:lastRowFirstColumn="0" w:lastRowLastColumn="0"/>
            </w:pPr>
            <w:r w:rsidRPr="00407DCC">
              <w:t>Communication of findings and ideas about factors that affect energy transfer in electric circuits</w:t>
            </w:r>
          </w:p>
          <w:p w14:paraId="4E5281C8" w14:textId="77777777" w:rsidR="00176F50" w:rsidRPr="00407DCC" w:rsidRDefault="00407DCC" w:rsidP="003A6EF9">
            <w:pPr>
              <w:pStyle w:val="TableText"/>
              <w:cnfStyle w:val="000000000000" w:firstRow="0" w:lastRow="0" w:firstColumn="0" w:lastColumn="0" w:oddVBand="0" w:evenVBand="0" w:oddHBand="0" w:evenHBand="0" w:firstRowFirstColumn="0" w:firstRowLastColumn="0" w:lastRowFirstColumn="0" w:lastRowLastColumn="0"/>
              <w:rPr>
                <w:b/>
              </w:rPr>
            </w:pPr>
            <w:r w:rsidRPr="00407DCC">
              <w:rPr>
                <w:b/>
              </w:rPr>
              <w:t>Section 3</w:t>
            </w:r>
          </w:p>
          <w:p w14:paraId="7AF788FE" w14:textId="712476FF" w:rsidR="00407DCC" w:rsidRPr="00407DCC" w:rsidRDefault="00407DCC" w:rsidP="003A6EF9">
            <w:pPr>
              <w:pStyle w:val="TableText"/>
              <w:cnfStyle w:val="000000000000" w:firstRow="0" w:lastRow="0" w:firstColumn="0" w:lastColumn="0" w:oddVBand="0" w:evenVBand="0" w:oddHBand="0" w:evenHBand="0" w:firstRowFirstColumn="0" w:firstRowLastColumn="0" w:lastRowFirstColumn="0" w:lastRowLastColumn="0"/>
            </w:pPr>
            <w:r w:rsidRPr="00407DCC">
              <w:t>Communication of findings and ideas using appropriate language, symbols, units and conventions</w:t>
            </w:r>
          </w:p>
        </w:tc>
      </w:tr>
    </w:tbl>
    <w:p w14:paraId="3B845448" w14:textId="4E49BD82" w:rsidR="00964A7A" w:rsidRDefault="00964A7A" w:rsidP="00964A7A">
      <w:pPr>
        <w:pStyle w:val="BodyText"/>
      </w:pPr>
    </w:p>
    <w:p w14:paraId="3B845449" w14:textId="77777777" w:rsidR="00A83E3D" w:rsidRPr="008E3B7D" w:rsidRDefault="00A83E3D" w:rsidP="00A83E3D">
      <w:pPr>
        <w:pStyle w:val="BodyText"/>
      </w:pPr>
      <w:r w:rsidRPr="008E3B7D">
        <w:t>The task-specific standards for this assessment are provided in two models using the same task-specific valued features:</w:t>
      </w:r>
    </w:p>
    <w:p w14:paraId="3B84544A" w14:textId="77777777" w:rsidR="00A83E3D" w:rsidRPr="008E3B7D" w:rsidRDefault="00A83E3D" w:rsidP="00A83E3D">
      <w:pPr>
        <w:pStyle w:val="ListBullet0"/>
      </w:pPr>
      <w:r w:rsidRPr="008E3B7D">
        <w:t xml:space="preserve">a matrix </w:t>
      </w:r>
    </w:p>
    <w:p w14:paraId="3B84544B" w14:textId="7D66F4C6" w:rsidR="00A83E3D" w:rsidRPr="008E3B7D" w:rsidRDefault="00A83E3D" w:rsidP="00A83E3D">
      <w:pPr>
        <w:pStyle w:val="ListBullet0"/>
      </w:pPr>
      <w:proofErr w:type="gramStart"/>
      <w:r w:rsidRPr="008E3B7D">
        <w:t>a</w:t>
      </w:r>
      <w:proofErr w:type="gramEnd"/>
      <w:r w:rsidRPr="008E3B7D">
        <w:t xml:space="preserve"> continua</w:t>
      </w:r>
      <w:r w:rsidR="00772221">
        <w:t>.</w:t>
      </w:r>
    </w:p>
    <w:p w14:paraId="3B84544C" w14:textId="77777777" w:rsidR="00A83E3D" w:rsidRPr="00A83E3D" w:rsidRDefault="00A83E3D" w:rsidP="00A83E3D">
      <w:pPr>
        <w:pStyle w:val="Heading4"/>
      </w:pPr>
      <w:r w:rsidRPr="00A83E3D">
        <w:lastRenderedPageBreak/>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4444C946"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7EF98721" w14:textId="77777777" w:rsidR="00565F2E" w:rsidRPr="008E3B7D" w:rsidRDefault="00565F2E" w:rsidP="00565F2E">
      <w:pPr>
        <w:pStyle w:val="Heading5"/>
      </w:pPr>
      <w:r w:rsidRPr="008E3B7D">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1DEA5574" w:rsidR="00A83E3D" w:rsidRPr="008E3B7D" w:rsidRDefault="00A83E3D" w:rsidP="00914DB2">
      <w:pPr>
        <w:pStyle w:val="BodyText"/>
      </w:pPr>
      <w:r w:rsidRPr="008E3B7D">
        <w:t>The continua model is a tool for making an overall on-balance judgment about the assessment and for providing feedback on task</w:t>
      </w:r>
      <w:r w:rsidR="00772221">
        <w:t>-</w:t>
      </w:r>
      <w:r w:rsidRPr="008E3B7D">
        <w:t>specific valued features.</w:t>
      </w:r>
    </w:p>
    <w:p w14:paraId="1B2034BF" w14:textId="77777777" w:rsidR="00D63E7F" w:rsidRDefault="00D63E7F">
      <w:pPr>
        <w:rPr>
          <w:b/>
          <w:color w:val="000000" w:themeColor="text1"/>
          <w:sz w:val="36"/>
        </w:rPr>
      </w:pPr>
      <w:r>
        <w:br w:type="page"/>
      </w:r>
    </w:p>
    <w:p w14:paraId="3B84545C" w14:textId="511E86A4"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762098C3" w:rsidR="00C206A7" w:rsidRPr="00C206A7" w:rsidRDefault="00C206A7" w:rsidP="00F57A9F">
            <w:pPr>
              <w:pStyle w:val="Tablesubhead"/>
            </w:pPr>
            <w:r w:rsidRPr="00C206A7">
              <w:t xml:space="preserve">Feedback to </w:t>
            </w:r>
            <w:r w:rsidR="00F57A9F">
              <w:t xml:space="preserve"> students</w:t>
            </w:r>
          </w:p>
        </w:tc>
        <w:tc>
          <w:tcPr>
            <w:tcW w:w="7830" w:type="dxa"/>
          </w:tcPr>
          <w:p w14:paraId="00351604" w14:textId="77777777" w:rsidR="003A6EF9" w:rsidRPr="003A6EF9" w:rsidRDefault="003A6EF9" w:rsidP="003A6EF9">
            <w:pPr>
              <w:pStyle w:val="TableText"/>
            </w:pPr>
            <w:r w:rsidRPr="003A6EF9">
              <w:t>Evaluate the information gathered from the assessment to inform teaching and learning strategies. Focus feedback on the student’s personal progress and the next steps in the learning journey.</w:t>
            </w:r>
          </w:p>
          <w:p w14:paraId="0F9A46BC" w14:textId="77777777" w:rsidR="003A6EF9" w:rsidRPr="003A6EF9" w:rsidRDefault="003A6EF9" w:rsidP="003A6EF9">
            <w:pPr>
              <w:pStyle w:val="TableText"/>
            </w:pPr>
            <w:r w:rsidRPr="003A6EF9">
              <w:t>The task-specific standards for this assessment can be used as a basis for providing feedback to students.</w:t>
            </w:r>
          </w:p>
          <w:p w14:paraId="28D797E3" w14:textId="77777777" w:rsidR="000C13F6" w:rsidRPr="002B254D" w:rsidRDefault="000C13F6" w:rsidP="000C13F6">
            <w:pPr>
              <w:pStyle w:val="Tablebulletslevel1"/>
              <w:keepNext/>
              <w:tabs>
                <w:tab w:val="clear" w:pos="284"/>
              </w:tabs>
              <w:ind w:left="0" w:firstLine="0"/>
            </w:pPr>
            <w:r w:rsidRPr="002B254D">
              <w:rPr>
                <w:szCs w:val="20"/>
              </w:rPr>
              <w:t>This assessment provides opportunities to give feedback to students on how well they:</w:t>
            </w:r>
          </w:p>
          <w:p w14:paraId="71EA94F6" w14:textId="2430C421" w:rsidR="000C13F6" w:rsidRPr="002B254D" w:rsidRDefault="000C13F6" w:rsidP="000C13F6">
            <w:pPr>
              <w:pStyle w:val="TableBullet"/>
              <w:ind w:left="170" w:hanging="170"/>
            </w:pPr>
            <w:r w:rsidRPr="002B254D">
              <w:t>understand the concepts of energy, power, voltage, current and resistance (Many</w:t>
            </w:r>
            <w:r w:rsidR="00ED6FBA">
              <w:t> </w:t>
            </w:r>
            <w:r w:rsidRPr="002B254D">
              <w:t>students carry misconceptions about electricity, particularly in relation to voltage</w:t>
            </w:r>
            <w:r w:rsidR="00ED6FBA">
              <w:t> </w:t>
            </w:r>
            <w:r w:rsidR="00F82792">
              <w:t>and power</w:t>
            </w:r>
            <w:r w:rsidRPr="002B254D">
              <w:t>)</w:t>
            </w:r>
          </w:p>
          <w:p w14:paraId="4F61A35E" w14:textId="77777777" w:rsidR="000C13F6" w:rsidRPr="002B254D" w:rsidRDefault="000C13F6" w:rsidP="000C13F6">
            <w:pPr>
              <w:pStyle w:val="TableBullet"/>
              <w:ind w:left="170" w:hanging="170"/>
            </w:pPr>
            <w:r w:rsidRPr="002B254D">
              <w:t>set up electric circuits and understand why voltmeters are connected in parallel with a component and ammeter</w:t>
            </w:r>
            <w:r>
              <w:t>s</w:t>
            </w:r>
            <w:r w:rsidRPr="002B254D">
              <w:t xml:space="preserve"> in series</w:t>
            </w:r>
          </w:p>
          <w:p w14:paraId="6FC52CAE" w14:textId="77777777" w:rsidR="000C13F6" w:rsidRPr="002B254D" w:rsidRDefault="000C13F6" w:rsidP="000C13F6">
            <w:pPr>
              <w:pStyle w:val="TableBullet"/>
              <w:ind w:left="170" w:hanging="170"/>
            </w:pPr>
            <w:r w:rsidRPr="002B254D">
              <w:t>follow instructions</w:t>
            </w:r>
            <w:r>
              <w:t xml:space="preserve"> to accurately collect and </w:t>
            </w:r>
            <w:r w:rsidRPr="002B254D">
              <w:t>record data</w:t>
            </w:r>
          </w:p>
          <w:p w14:paraId="7A4FFFC0" w14:textId="77777777" w:rsidR="000C13F6" w:rsidRPr="002B254D" w:rsidRDefault="000C13F6" w:rsidP="000C13F6">
            <w:pPr>
              <w:pStyle w:val="TableBullet"/>
              <w:ind w:left="170" w:hanging="170"/>
            </w:pPr>
            <w:r w:rsidRPr="002B254D">
              <w:t>analyse and interpret data and draw conclusions consistent with evidence</w:t>
            </w:r>
          </w:p>
          <w:p w14:paraId="6A13625B" w14:textId="77777777" w:rsidR="000C13F6" w:rsidRPr="002B254D" w:rsidRDefault="000C13F6" w:rsidP="000C13F6">
            <w:pPr>
              <w:pStyle w:val="TableBullet"/>
              <w:ind w:left="170" w:hanging="170"/>
            </w:pPr>
            <w:r w:rsidRPr="002B254D">
              <w:t>use scientific understandings as a basis for planning investigations</w:t>
            </w:r>
          </w:p>
          <w:p w14:paraId="3B845465" w14:textId="04B135C6" w:rsidR="00C206A7" w:rsidRPr="000174D0" w:rsidRDefault="000C13F6" w:rsidP="000C13F6">
            <w:pPr>
              <w:pStyle w:val="TableBullet"/>
              <w:ind w:left="170" w:hanging="170"/>
            </w:pPr>
            <w:proofErr w:type="gramStart"/>
            <w:r w:rsidRPr="002B254D">
              <w:t>methodically</w:t>
            </w:r>
            <w:proofErr w:type="gramEnd"/>
            <w:r w:rsidRPr="002B254D">
              <w:t xml:space="preserve"> write a scientific report, making fluent use of scientific terms and conventions</w:t>
            </w:r>
            <w:r>
              <w:t>.</w:t>
            </w: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54A9DA64" w14:textId="376109A5" w:rsidR="00E375B5" w:rsidRDefault="00E375B5" w:rsidP="000174D0">
            <w:pPr>
              <w:pStyle w:val="TableText"/>
            </w:pPr>
            <w:r>
              <w:t xml:space="preserve">Hattie, J and Timperley, H 2007 ‘The Power of Feedback’, </w:t>
            </w:r>
            <w:r w:rsidRPr="00D22A22">
              <w:rPr>
                <w:i/>
              </w:rPr>
              <w:t>Review of Educational Research</w:t>
            </w:r>
            <w:r>
              <w:t>, Vol. 77, No.1</w:t>
            </w:r>
            <w:r w:rsidR="00E1661E">
              <w:t>,</w:t>
            </w:r>
            <w:r>
              <w:t xml:space="preserve"> pp. 81–112.</w:t>
            </w:r>
          </w:p>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3D308D">
            <w:pPr>
              <w:pStyle w:val="TableBullet"/>
              <w:ind w:left="170" w:hanging="170"/>
              <w:rPr>
                <w:rStyle w:val="Hyperlink"/>
              </w:rPr>
            </w:pPr>
            <w:r w:rsidRPr="008B4E49">
              <w:rPr>
                <w:i/>
              </w:rPr>
              <w:t>About feedback</w:t>
            </w:r>
            <w:r>
              <w:rPr>
                <w:i/>
              </w:rPr>
              <w:br/>
            </w:r>
            <w:hyperlink r:id="rId48" w:history="1">
              <w:r w:rsidR="00BD2E1D">
                <w:rPr>
                  <w:rStyle w:val="Hyperlink"/>
                </w:rPr>
                <w:t>www.qcaa.qld.edu.au/downloads/p_10/as_feedback_about.docx</w:t>
              </w:r>
            </w:hyperlink>
          </w:p>
          <w:p w14:paraId="3B84546A" w14:textId="21BEFF9E" w:rsidR="002A4E81" w:rsidRPr="00E1661E" w:rsidRDefault="00C206A7" w:rsidP="00E1661E">
            <w:pPr>
              <w:pStyle w:val="TableBullet"/>
              <w:ind w:left="170" w:hanging="170"/>
            </w:pPr>
            <w:r w:rsidRPr="00581229">
              <w:rPr>
                <w:i/>
              </w:rPr>
              <w:t>Seeking and providing feedback</w:t>
            </w:r>
            <w:r w:rsidRPr="00581229">
              <w:t xml:space="preserve"> </w:t>
            </w:r>
            <w:r>
              <w:t xml:space="preserve"> </w:t>
            </w:r>
            <w:hyperlink r:id="rId49" w:history="1">
              <w:r w:rsidR="00BD2E1D">
                <w:rPr>
                  <w:rStyle w:val="Hyperlink"/>
                </w:rPr>
                <w:t>www.qcaa.qld.edu.au/downloads/p_10/as_feedback_provide.docx</w:t>
              </w:r>
            </w:hyperlink>
          </w:p>
        </w:tc>
      </w:tr>
    </w:tbl>
    <w:p w14:paraId="3B84546C" w14:textId="77777777" w:rsidR="007D7EA9" w:rsidRPr="00964A7A" w:rsidRDefault="007D7EA9" w:rsidP="00964A7A">
      <w:pPr>
        <w:pStyle w:val="BodyText"/>
      </w:pPr>
      <w:bookmarkStart w:id="5" w:name="_GoBack"/>
      <w:bookmarkEnd w:id="5"/>
    </w:p>
    <w:sectPr w:rsidR="007D7EA9" w:rsidRPr="00964A7A" w:rsidSect="00087A36">
      <w:footerReference w:type="default" r:id="rId50"/>
      <w:type w:val="continuous"/>
      <w:pgSz w:w="11907" w:h="16840" w:code="9"/>
      <w:pgMar w:top="993"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7FC8A" w15:done="0"/>
  <w15:commentEx w15:paraId="74306E6D" w15:done="0"/>
  <w15:commentEx w15:paraId="5E18EC58" w15:done="0"/>
  <w15:commentEx w15:paraId="0F3C7D8D" w15:done="0"/>
  <w15:commentEx w15:paraId="5467D840" w15:done="0"/>
  <w15:commentEx w15:paraId="11D6C83E" w15:done="0"/>
  <w15:commentEx w15:paraId="475F5B6A" w15:done="0"/>
  <w15:commentEx w15:paraId="2408FB52" w15:done="0"/>
  <w15:commentEx w15:paraId="71440F84" w15:done="0"/>
  <w15:commentEx w15:paraId="6C176D0F" w15:done="0"/>
  <w15:commentEx w15:paraId="418FD018" w15:done="0"/>
  <w15:commentEx w15:paraId="4018EFBF" w15:done="0"/>
  <w15:commentEx w15:paraId="5569995F" w15:done="0"/>
  <w15:commentEx w15:paraId="21114E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3D16B6" w14:textId="77777777" w:rsidR="00443CC0" w:rsidRDefault="00443CC0">
      <w:r>
        <w:separator/>
      </w:r>
    </w:p>
    <w:p w14:paraId="499D0827" w14:textId="77777777" w:rsidR="00443CC0" w:rsidRDefault="00443CC0"/>
  </w:endnote>
  <w:endnote w:type="continuationSeparator" w:id="0">
    <w:p w14:paraId="6A0F950D" w14:textId="77777777" w:rsidR="00443CC0" w:rsidRDefault="00443CC0">
      <w:r>
        <w:continuationSeparator/>
      </w:r>
    </w:p>
    <w:p w14:paraId="72D60E61" w14:textId="77777777" w:rsidR="00443CC0" w:rsidRDefault="00443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443CC0" w:rsidRPr="007165FF" w14:paraId="3B84548C" w14:textId="77777777" w:rsidTr="0093255E">
      <w:tc>
        <w:tcPr>
          <w:tcW w:w="2089" w:type="pct"/>
          <w:noWrap/>
          <w:tcMar>
            <w:left w:w="0" w:type="dxa"/>
            <w:right w:w="0" w:type="dxa"/>
          </w:tcMar>
        </w:tcPr>
        <w:sdt>
          <w:sdtPr>
            <w:alias w:val="Title"/>
            <w:tag w:val=""/>
            <w:id w:val="737750627"/>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EndPr/>
          <w:sdtContent>
            <w:p w14:paraId="3B845488" w14:textId="27897A44" w:rsidR="00443CC0" w:rsidRDefault="00443CC0" w:rsidP="0093255E">
              <w:pPr>
                <w:pStyle w:val="Footer"/>
              </w:pPr>
              <w:r>
                <w:t>Teacher guidelines</w:t>
              </w:r>
            </w:p>
          </w:sdtContent>
        </w:sdt>
        <w:p w14:paraId="3B845489" w14:textId="09F848AB" w:rsidR="00443CC0" w:rsidRPr="00FD561F" w:rsidRDefault="000A2A55" w:rsidP="0093255E">
          <w:pPr>
            <w:pStyle w:val="footersubtitle"/>
            <w:tabs>
              <w:tab w:val="left" w:pos="1250"/>
            </w:tabs>
          </w:pPr>
          <w:sdt>
            <w:sdtPr>
              <w:alias w:val="Subtitle"/>
              <w:tag w:val="Subtitle"/>
              <w:id w:val="743533529"/>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EndPr/>
            <w:sdtContent>
              <w:r w:rsidR="00443CC0">
                <w:t>Science</w:t>
              </w:r>
            </w:sdtContent>
          </w:sdt>
          <w:r w:rsidR="00443CC0">
            <w:tab/>
          </w:r>
        </w:p>
      </w:tc>
      <w:tc>
        <w:tcPr>
          <w:tcW w:w="2911" w:type="pct"/>
        </w:tcPr>
        <w:p w14:paraId="3B84548A" w14:textId="77777777" w:rsidR="00443CC0" w:rsidRDefault="00443CC0" w:rsidP="0093255E">
          <w:pPr>
            <w:pStyle w:val="Footer"/>
            <w:ind w:left="284"/>
            <w:jc w:val="right"/>
            <w:rPr>
              <w:rFonts w:eastAsia="SimSun"/>
            </w:rPr>
          </w:pPr>
          <w:r w:rsidRPr="0055152A">
            <w:rPr>
              <w:rFonts w:eastAsia="SimSun"/>
            </w:rPr>
            <w:t>Queensland Curriculum &amp; Assessment Authority</w:t>
          </w:r>
        </w:p>
        <w:p w14:paraId="3B84548B" w14:textId="77777777" w:rsidR="00443CC0" w:rsidRPr="000F044B" w:rsidRDefault="000A2A55" w:rsidP="0093255E">
          <w:pPr>
            <w:pStyle w:val="footersubtitle"/>
            <w:jc w:val="right"/>
            <w:rPr>
              <w:rStyle w:val="Footerbold"/>
              <w:b w:val="0"/>
              <w:color w:val="6F7378" w:themeColor="background2" w:themeShade="80"/>
            </w:rPr>
          </w:pPr>
          <w:sdt>
            <w:sdtPr>
              <w:rPr>
                <w:b/>
                <w:color w:val="00948D"/>
              </w:rPr>
              <w:alias w:val="Publication Date"/>
              <w:tag w:val=""/>
              <w:id w:val="-1055546378"/>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443CC0" w:rsidRPr="000F044B">
                <w:rPr>
                  <w:shd w:val="clear" w:color="auto" w:fill="F7EA9F"/>
                </w:rPr>
                <w:t>[Publish Date]</w:t>
              </w:r>
            </w:sdtContent>
          </w:sdt>
          <w:r w:rsidR="00443CC0" w:rsidRPr="000F044B">
            <w:t xml:space="preserve"> </w:t>
          </w:r>
        </w:p>
      </w:tc>
    </w:tr>
    <w:tr w:rsidR="00443CC0" w:rsidRPr="007165FF" w14:paraId="3B84548E" w14:textId="77777777" w:rsidTr="0093255E">
      <w:tc>
        <w:tcPr>
          <w:tcW w:w="5000" w:type="pct"/>
          <w:gridSpan w:val="2"/>
          <w:noWrap/>
          <w:tcMar>
            <w:left w:w="0" w:type="dxa"/>
            <w:right w:w="0" w:type="dxa"/>
          </w:tcMar>
          <w:vAlign w:val="center"/>
        </w:tcPr>
        <w:sdt>
          <w:sdtPr>
            <w:id w:val="-2012288120"/>
            <w:docPartObj>
              <w:docPartGallery w:val="Page Numbers (Top of Page)"/>
              <w:docPartUnique/>
            </w:docPartObj>
          </w:sdtPr>
          <w:sdtEndPr/>
          <w:sdtContent>
            <w:p w14:paraId="3B84548D" w14:textId="77777777" w:rsidR="00443CC0" w:rsidRPr="00914504" w:rsidRDefault="00443CC0"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11</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10</w:t>
              </w:r>
              <w:r w:rsidRPr="00914504">
                <w:rPr>
                  <w:b w:val="0"/>
                  <w:color w:val="000000" w:themeColor="text1"/>
                  <w:sz w:val="24"/>
                  <w:szCs w:val="24"/>
                </w:rPr>
                <w:fldChar w:fldCharType="end"/>
              </w:r>
            </w:p>
          </w:sdtContent>
        </w:sdt>
      </w:tc>
    </w:tr>
  </w:tbl>
  <w:p w14:paraId="3B84548F" w14:textId="77777777" w:rsidR="00443CC0" w:rsidRPr="0085726A" w:rsidRDefault="00443CC0"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443CC0" w:rsidRDefault="00443CC0">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4F219FB7" w:rsidR="00443CC0" w:rsidRDefault="000A2A55"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EndPr/>
                            <w:sdtContent>
                              <w:r w:rsidR="00443CC0">
                                <w:t>14980</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4F219FB7" w:rsidR="00443CC0" w:rsidRDefault="00443CC0" w:rsidP="007B12CB">
                    <w:pPr>
                      <w:pStyle w:val="ID"/>
                    </w:pPr>
                    <w:sdt>
                      <w:sdtPr>
                        <w:alias w:val="Category"/>
                        <w:tag w:val=""/>
                        <w:id w:val="856556250"/>
                        <w:dataBinding w:prefixMappings="xmlns:ns0='http://purl.org/dc/elements/1.1/' xmlns:ns1='http://schemas.openxmlformats.org/package/2006/metadata/core-properties' " w:xpath="/ns1:coreProperties[1]/ns1:category[1]" w:storeItemID="{6C3C8BC8-F283-45AE-878A-BAB7291924A1}"/>
                        <w:text/>
                      </w:sdtPr>
                      <w:sdtContent>
                        <w:r>
                          <w:t>14980</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443CC0" w:rsidRPr="007165FF" w14:paraId="3B845496" w14:textId="77777777" w:rsidTr="00C206A7">
      <w:trPr>
        <w:trHeight w:val="567"/>
      </w:trPr>
      <w:tc>
        <w:tcPr>
          <w:tcW w:w="1412" w:type="pct"/>
          <w:noWrap/>
          <w:tcMar>
            <w:left w:w="170" w:type="dxa"/>
            <w:right w:w="0" w:type="dxa"/>
          </w:tcMar>
        </w:tcPr>
        <w:p w14:paraId="3B845491" w14:textId="77777777" w:rsidR="00443CC0" w:rsidRPr="004C49F2" w:rsidRDefault="00443CC0" w:rsidP="00C206A7">
          <w:pPr>
            <w:pStyle w:val="Footer"/>
            <w:rPr>
              <w:rStyle w:val="Footerbold"/>
              <w:b/>
              <w:color w:val="1E1E1E"/>
            </w:rPr>
          </w:pPr>
          <w:r w:rsidRPr="004C49F2">
            <w:rPr>
              <w:rStyle w:val="Footerbold"/>
              <w:b/>
              <w:color w:val="1E1E1E"/>
            </w:rPr>
            <w:t>Australian Curriculum</w:t>
          </w:r>
        </w:p>
        <w:p w14:paraId="3B845492" w14:textId="33897BD3" w:rsidR="00443CC0" w:rsidRPr="000F044B" w:rsidRDefault="00443CC0"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9</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Science</w:t>
              </w:r>
            </w:sdtContent>
          </w:sdt>
        </w:p>
      </w:tc>
      <w:tc>
        <w:tcPr>
          <w:tcW w:w="2178" w:type="pct"/>
        </w:tcPr>
        <w:p w14:paraId="3B845493" w14:textId="324CF758" w:rsidR="00443CC0" w:rsidRPr="008A290D" w:rsidRDefault="00443CC0" w:rsidP="008A290D">
          <w:pPr>
            <w:pStyle w:val="Footer"/>
            <w:jc w:val="center"/>
          </w:pPr>
          <w:r>
            <w:t>Electric kettles</w:t>
          </w:r>
        </w:p>
        <w:p w14:paraId="3B845494" w14:textId="71315A73" w:rsidR="00443CC0" w:rsidRPr="000F044B" w:rsidRDefault="00443CC0"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443CC0" w:rsidRPr="000F044B" w:rsidRDefault="000A2A55"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443CC0">
                <w:t>Teacher guidelines</w:t>
              </w:r>
            </w:sdtContent>
          </w:sdt>
        </w:p>
      </w:tc>
    </w:tr>
  </w:tbl>
  <w:p w14:paraId="3B845497" w14:textId="77777777" w:rsidR="00443CC0" w:rsidRDefault="00443CC0" w:rsidP="0085726A">
    <w:pPr>
      <w:pStyle w:val="Smallspace"/>
    </w:pPr>
  </w:p>
  <w:p w14:paraId="3B845498" w14:textId="77777777" w:rsidR="00443CC0" w:rsidRDefault="00443CC0"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23BBD" w14:textId="77777777" w:rsidR="00443CC0" w:rsidRPr="00E95E3F" w:rsidRDefault="00443CC0" w:rsidP="00B3438C">
      <w:pPr>
        <w:pStyle w:val="footnoteseparator"/>
      </w:pPr>
    </w:p>
  </w:footnote>
  <w:footnote w:type="continuationSeparator" w:id="0">
    <w:p w14:paraId="30C0AA55" w14:textId="77777777" w:rsidR="00443CC0" w:rsidRDefault="00443CC0">
      <w:r>
        <w:continuationSeparator/>
      </w:r>
    </w:p>
    <w:p w14:paraId="6A534755" w14:textId="77777777" w:rsidR="00443CC0" w:rsidRDefault="00443C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65E6CCF"/>
    <w:multiLevelType w:val="multilevel"/>
    <w:tmpl w:val="3808DDDE"/>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4FA6F3FA"/>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192AB7EE"/>
    <w:lvl w:ilvl="0" w:tplc="BEA8B848">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2"/>
  </w:num>
  <w:num w:numId="2">
    <w:abstractNumId w:val="19"/>
  </w:num>
  <w:num w:numId="3">
    <w:abstractNumId w:val="10"/>
  </w:num>
  <w:num w:numId="4">
    <w:abstractNumId w:val="14"/>
  </w:num>
  <w:num w:numId="5">
    <w:abstractNumId w:val="8"/>
  </w:num>
  <w:num w:numId="6">
    <w:abstractNumId w:val="14"/>
  </w:num>
  <w:num w:numId="7">
    <w:abstractNumId w:val="9"/>
  </w:num>
  <w:num w:numId="8">
    <w:abstractNumId w:val="10"/>
  </w:num>
  <w:num w:numId="9">
    <w:abstractNumId w:val="3"/>
  </w:num>
  <w:num w:numId="10">
    <w:abstractNumId w:val="2"/>
  </w:num>
  <w:num w:numId="11">
    <w:abstractNumId w:val="1"/>
  </w:num>
  <w:num w:numId="12">
    <w:abstractNumId w:val="0"/>
  </w:num>
  <w:num w:numId="13">
    <w:abstractNumId w:val="7"/>
  </w:num>
  <w:num w:numId="14">
    <w:abstractNumId w:val="15"/>
  </w:num>
  <w:num w:numId="15">
    <w:abstractNumId w:val="21"/>
  </w:num>
  <w:num w:numId="16">
    <w:abstractNumId w:val="17"/>
  </w:num>
  <w:num w:numId="17">
    <w:abstractNumId w:val="20"/>
  </w:num>
  <w:num w:numId="18">
    <w:abstractNumId w:val="16"/>
  </w:num>
  <w:num w:numId="19">
    <w:abstractNumId w:val="4"/>
  </w:num>
  <w:num w:numId="20">
    <w:abstractNumId w:val="11"/>
  </w:num>
  <w:num w:numId="21">
    <w:abstractNumId w:val="6"/>
  </w:num>
  <w:num w:numId="22">
    <w:abstractNumId w:val="25"/>
  </w:num>
  <w:num w:numId="23">
    <w:abstractNumId w:val="23"/>
  </w:num>
  <w:num w:numId="24">
    <w:abstractNumId w:val="24"/>
  </w:num>
  <w:num w:numId="25">
    <w:abstractNumId w:val="19"/>
  </w:num>
  <w:num w:numId="26">
    <w:abstractNumId w:val="18"/>
  </w:num>
  <w:num w:numId="27">
    <w:abstractNumId w:val="22"/>
  </w:num>
  <w:num w:numId="28">
    <w:abstractNumId w:val="5"/>
  </w:num>
  <w:num w:numId="29">
    <w:abstractNumId w:val="13"/>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819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01A7"/>
    <w:rsid w:val="00002D5B"/>
    <w:rsid w:val="00003A28"/>
    <w:rsid w:val="00004943"/>
    <w:rsid w:val="00005B9D"/>
    <w:rsid w:val="000063A2"/>
    <w:rsid w:val="00007DAB"/>
    <w:rsid w:val="0001015F"/>
    <w:rsid w:val="00010602"/>
    <w:rsid w:val="00012EF4"/>
    <w:rsid w:val="00014390"/>
    <w:rsid w:val="000159C5"/>
    <w:rsid w:val="000174D0"/>
    <w:rsid w:val="00017830"/>
    <w:rsid w:val="00017F0E"/>
    <w:rsid w:val="00020EDF"/>
    <w:rsid w:val="00021386"/>
    <w:rsid w:val="0002293A"/>
    <w:rsid w:val="00022C26"/>
    <w:rsid w:val="000241FD"/>
    <w:rsid w:val="00024678"/>
    <w:rsid w:val="00025ADB"/>
    <w:rsid w:val="00025D91"/>
    <w:rsid w:val="000262B9"/>
    <w:rsid w:val="00026D8B"/>
    <w:rsid w:val="0002703C"/>
    <w:rsid w:val="000309D1"/>
    <w:rsid w:val="00031333"/>
    <w:rsid w:val="000315C3"/>
    <w:rsid w:val="00032D0A"/>
    <w:rsid w:val="00033AB9"/>
    <w:rsid w:val="00040EF5"/>
    <w:rsid w:val="00042024"/>
    <w:rsid w:val="00042417"/>
    <w:rsid w:val="00043A66"/>
    <w:rsid w:val="00045335"/>
    <w:rsid w:val="00050242"/>
    <w:rsid w:val="00050998"/>
    <w:rsid w:val="00052C69"/>
    <w:rsid w:val="00054C08"/>
    <w:rsid w:val="00054C8A"/>
    <w:rsid w:val="00055FD1"/>
    <w:rsid w:val="00056B44"/>
    <w:rsid w:val="00062CB5"/>
    <w:rsid w:val="00062E0A"/>
    <w:rsid w:val="00064200"/>
    <w:rsid w:val="000658BE"/>
    <w:rsid w:val="00065D7D"/>
    <w:rsid w:val="00067EC9"/>
    <w:rsid w:val="00070242"/>
    <w:rsid w:val="00070735"/>
    <w:rsid w:val="00072AAF"/>
    <w:rsid w:val="0007358E"/>
    <w:rsid w:val="00074F2E"/>
    <w:rsid w:val="00075317"/>
    <w:rsid w:val="000764AB"/>
    <w:rsid w:val="000775A1"/>
    <w:rsid w:val="000820C4"/>
    <w:rsid w:val="0008306F"/>
    <w:rsid w:val="00083234"/>
    <w:rsid w:val="000843E5"/>
    <w:rsid w:val="00084A26"/>
    <w:rsid w:val="000852BB"/>
    <w:rsid w:val="00086AA0"/>
    <w:rsid w:val="00087A36"/>
    <w:rsid w:val="00087B97"/>
    <w:rsid w:val="00091F28"/>
    <w:rsid w:val="00092359"/>
    <w:rsid w:val="000928DA"/>
    <w:rsid w:val="00094BC9"/>
    <w:rsid w:val="00095897"/>
    <w:rsid w:val="000A0F82"/>
    <w:rsid w:val="000A1DDF"/>
    <w:rsid w:val="000A2A55"/>
    <w:rsid w:val="000A398B"/>
    <w:rsid w:val="000A4456"/>
    <w:rsid w:val="000A462D"/>
    <w:rsid w:val="000A4CC7"/>
    <w:rsid w:val="000B10B7"/>
    <w:rsid w:val="000B2156"/>
    <w:rsid w:val="000B3026"/>
    <w:rsid w:val="000B468B"/>
    <w:rsid w:val="000B6679"/>
    <w:rsid w:val="000C0932"/>
    <w:rsid w:val="000C0A8F"/>
    <w:rsid w:val="000C0C54"/>
    <w:rsid w:val="000C13F6"/>
    <w:rsid w:val="000C1B7A"/>
    <w:rsid w:val="000C256B"/>
    <w:rsid w:val="000C3195"/>
    <w:rsid w:val="000C4E50"/>
    <w:rsid w:val="000D2D55"/>
    <w:rsid w:val="000D3FF1"/>
    <w:rsid w:val="000D42A2"/>
    <w:rsid w:val="000D4545"/>
    <w:rsid w:val="000D455D"/>
    <w:rsid w:val="000D4F32"/>
    <w:rsid w:val="000D4F7D"/>
    <w:rsid w:val="000D62B4"/>
    <w:rsid w:val="000D7E9F"/>
    <w:rsid w:val="000E0468"/>
    <w:rsid w:val="000E233D"/>
    <w:rsid w:val="000E3F33"/>
    <w:rsid w:val="000E73AE"/>
    <w:rsid w:val="000F044B"/>
    <w:rsid w:val="000F15BE"/>
    <w:rsid w:val="000F17A9"/>
    <w:rsid w:val="000F19CA"/>
    <w:rsid w:val="000F2AB9"/>
    <w:rsid w:val="000F3253"/>
    <w:rsid w:val="000F53CA"/>
    <w:rsid w:val="000F58F6"/>
    <w:rsid w:val="000F5A97"/>
    <w:rsid w:val="000F6BAC"/>
    <w:rsid w:val="000F75C1"/>
    <w:rsid w:val="001002FB"/>
    <w:rsid w:val="001007C1"/>
    <w:rsid w:val="001029DB"/>
    <w:rsid w:val="00103BE1"/>
    <w:rsid w:val="00105545"/>
    <w:rsid w:val="00111134"/>
    <w:rsid w:val="001115B0"/>
    <w:rsid w:val="00114513"/>
    <w:rsid w:val="00114DE1"/>
    <w:rsid w:val="00115EFB"/>
    <w:rsid w:val="00122FC3"/>
    <w:rsid w:val="00124299"/>
    <w:rsid w:val="00124A32"/>
    <w:rsid w:val="001252D9"/>
    <w:rsid w:val="00125582"/>
    <w:rsid w:val="00125A69"/>
    <w:rsid w:val="00127B4D"/>
    <w:rsid w:val="00130DB0"/>
    <w:rsid w:val="001316B5"/>
    <w:rsid w:val="00132687"/>
    <w:rsid w:val="00132A42"/>
    <w:rsid w:val="001335A3"/>
    <w:rsid w:val="00133612"/>
    <w:rsid w:val="00133FAE"/>
    <w:rsid w:val="00134DDD"/>
    <w:rsid w:val="001355EF"/>
    <w:rsid w:val="00135C0D"/>
    <w:rsid w:val="00135F56"/>
    <w:rsid w:val="0013653C"/>
    <w:rsid w:val="001411A8"/>
    <w:rsid w:val="001413CB"/>
    <w:rsid w:val="00141786"/>
    <w:rsid w:val="00142006"/>
    <w:rsid w:val="00144243"/>
    <w:rsid w:val="001451E0"/>
    <w:rsid w:val="00145B46"/>
    <w:rsid w:val="0015335A"/>
    <w:rsid w:val="0015475A"/>
    <w:rsid w:val="001553EE"/>
    <w:rsid w:val="00155943"/>
    <w:rsid w:val="001577DF"/>
    <w:rsid w:val="00157FAC"/>
    <w:rsid w:val="0016009A"/>
    <w:rsid w:val="001604AE"/>
    <w:rsid w:val="001605FD"/>
    <w:rsid w:val="00163375"/>
    <w:rsid w:val="00164B9A"/>
    <w:rsid w:val="00165EDE"/>
    <w:rsid w:val="001660F1"/>
    <w:rsid w:val="0016738A"/>
    <w:rsid w:val="001703E9"/>
    <w:rsid w:val="00171041"/>
    <w:rsid w:val="00171F41"/>
    <w:rsid w:val="0017262D"/>
    <w:rsid w:val="0017342A"/>
    <w:rsid w:val="00175EB8"/>
    <w:rsid w:val="00175F19"/>
    <w:rsid w:val="001763A2"/>
    <w:rsid w:val="00176F50"/>
    <w:rsid w:val="00180AD3"/>
    <w:rsid w:val="00181A58"/>
    <w:rsid w:val="00181ED0"/>
    <w:rsid w:val="00181FC2"/>
    <w:rsid w:val="00182A1B"/>
    <w:rsid w:val="00182F8D"/>
    <w:rsid w:val="00184715"/>
    <w:rsid w:val="00185766"/>
    <w:rsid w:val="001869ED"/>
    <w:rsid w:val="001944D1"/>
    <w:rsid w:val="0019458A"/>
    <w:rsid w:val="00195644"/>
    <w:rsid w:val="00195943"/>
    <w:rsid w:val="00197397"/>
    <w:rsid w:val="001974B5"/>
    <w:rsid w:val="001A0456"/>
    <w:rsid w:val="001A23B0"/>
    <w:rsid w:val="001A35FF"/>
    <w:rsid w:val="001A51A3"/>
    <w:rsid w:val="001A63CF"/>
    <w:rsid w:val="001A717E"/>
    <w:rsid w:val="001B0E71"/>
    <w:rsid w:val="001B1919"/>
    <w:rsid w:val="001B219F"/>
    <w:rsid w:val="001B2F6C"/>
    <w:rsid w:val="001B3287"/>
    <w:rsid w:val="001B42F1"/>
    <w:rsid w:val="001B5C0D"/>
    <w:rsid w:val="001B5F92"/>
    <w:rsid w:val="001C24A0"/>
    <w:rsid w:val="001C3385"/>
    <w:rsid w:val="001C363B"/>
    <w:rsid w:val="001C6D32"/>
    <w:rsid w:val="001C7DF9"/>
    <w:rsid w:val="001D09F5"/>
    <w:rsid w:val="001D0CBC"/>
    <w:rsid w:val="001D1A0A"/>
    <w:rsid w:val="001D2AC6"/>
    <w:rsid w:val="001D2FEF"/>
    <w:rsid w:val="001D5D69"/>
    <w:rsid w:val="001D636A"/>
    <w:rsid w:val="001D738C"/>
    <w:rsid w:val="001D7464"/>
    <w:rsid w:val="001D7FB0"/>
    <w:rsid w:val="001E0CD8"/>
    <w:rsid w:val="001E30D3"/>
    <w:rsid w:val="001E38BC"/>
    <w:rsid w:val="001E3F01"/>
    <w:rsid w:val="001E654C"/>
    <w:rsid w:val="001E7392"/>
    <w:rsid w:val="001E7BC8"/>
    <w:rsid w:val="001F1BDA"/>
    <w:rsid w:val="001F279C"/>
    <w:rsid w:val="001F3875"/>
    <w:rsid w:val="001F4623"/>
    <w:rsid w:val="001F4999"/>
    <w:rsid w:val="001F5484"/>
    <w:rsid w:val="001F7C9B"/>
    <w:rsid w:val="00200484"/>
    <w:rsid w:val="00201EBE"/>
    <w:rsid w:val="00202C25"/>
    <w:rsid w:val="002048D5"/>
    <w:rsid w:val="00204C7E"/>
    <w:rsid w:val="00205852"/>
    <w:rsid w:val="00210836"/>
    <w:rsid w:val="002140C2"/>
    <w:rsid w:val="00215920"/>
    <w:rsid w:val="00215B87"/>
    <w:rsid w:val="00216149"/>
    <w:rsid w:val="002172BF"/>
    <w:rsid w:val="00220EA7"/>
    <w:rsid w:val="00221C9C"/>
    <w:rsid w:val="002221A0"/>
    <w:rsid w:val="00222DE4"/>
    <w:rsid w:val="00222F23"/>
    <w:rsid w:val="0022583B"/>
    <w:rsid w:val="00225F7C"/>
    <w:rsid w:val="00227B1B"/>
    <w:rsid w:val="002303F1"/>
    <w:rsid w:val="00230507"/>
    <w:rsid w:val="00230CBD"/>
    <w:rsid w:val="00233091"/>
    <w:rsid w:val="00234147"/>
    <w:rsid w:val="00234797"/>
    <w:rsid w:val="00235ADC"/>
    <w:rsid w:val="00237FD0"/>
    <w:rsid w:val="002406AA"/>
    <w:rsid w:val="00240887"/>
    <w:rsid w:val="0024651E"/>
    <w:rsid w:val="002508BD"/>
    <w:rsid w:val="002511A1"/>
    <w:rsid w:val="00251809"/>
    <w:rsid w:val="00251CD7"/>
    <w:rsid w:val="002541CC"/>
    <w:rsid w:val="002562FE"/>
    <w:rsid w:val="002576DE"/>
    <w:rsid w:val="00261538"/>
    <w:rsid w:val="00264110"/>
    <w:rsid w:val="00264149"/>
    <w:rsid w:val="00264CE4"/>
    <w:rsid w:val="0026569D"/>
    <w:rsid w:val="00265885"/>
    <w:rsid w:val="00265F5E"/>
    <w:rsid w:val="00266B5B"/>
    <w:rsid w:val="00266D57"/>
    <w:rsid w:val="00267AF3"/>
    <w:rsid w:val="00270181"/>
    <w:rsid w:val="00270E23"/>
    <w:rsid w:val="00271A2D"/>
    <w:rsid w:val="00276D00"/>
    <w:rsid w:val="002774D4"/>
    <w:rsid w:val="002777C2"/>
    <w:rsid w:val="002805E3"/>
    <w:rsid w:val="00280C62"/>
    <w:rsid w:val="00281C76"/>
    <w:rsid w:val="00282768"/>
    <w:rsid w:val="0028366C"/>
    <w:rsid w:val="0028380E"/>
    <w:rsid w:val="002841E3"/>
    <w:rsid w:val="002842FD"/>
    <w:rsid w:val="00284A66"/>
    <w:rsid w:val="00286A7F"/>
    <w:rsid w:val="00287E3C"/>
    <w:rsid w:val="002929F6"/>
    <w:rsid w:val="002936C9"/>
    <w:rsid w:val="00295019"/>
    <w:rsid w:val="002972A8"/>
    <w:rsid w:val="00297570"/>
    <w:rsid w:val="002A03EF"/>
    <w:rsid w:val="002A18C6"/>
    <w:rsid w:val="002A2C14"/>
    <w:rsid w:val="002A4E81"/>
    <w:rsid w:val="002A67ED"/>
    <w:rsid w:val="002A76C9"/>
    <w:rsid w:val="002B2B5F"/>
    <w:rsid w:val="002B3C50"/>
    <w:rsid w:val="002B3E3A"/>
    <w:rsid w:val="002B4257"/>
    <w:rsid w:val="002B63FF"/>
    <w:rsid w:val="002C0BE1"/>
    <w:rsid w:val="002C1251"/>
    <w:rsid w:val="002C1F67"/>
    <w:rsid w:val="002C20B8"/>
    <w:rsid w:val="002C3BFF"/>
    <w:rsid w:val="002C6AFD"/>
    <w:rsid w:val="002C72F3"/>
    <w:rsid w:val="002D0004"/>
    <w:rsid w:val="002D05D8"/>
    <w:rsid w:val="002D3C23"/>
    <w:rsid w:val="002D4B80"/>
    <w:rsid w:val="002D4E39"/>
    <w:rsid w:val="002D6621"/>
    <w:rsid w:val="002E07B9"/>
    <w:rsid w:val="002E0F9C"/>
    <w:rsid w:val="002E4C1F"/>
    <w:rsid w:val="002E5CAA"/>
    <w:rsid w:val="002E76A5"/>
    <w:rsid w:val="002F1C33"/>
    <w:rsid w:val="002F2691"/>
    <w:rsid w:val="002F5BF6"/>
    <w:rsid w:val="002F60D5"/>
    <w:rsid w:val="002F671C"/>
    <w:rsid w:val="002F6C5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141A"/>
    <w:rsid w:val="003325B4"/>
    <w:rsid w:val="00332B10"/>
    <w:rsid w:val="00332B9D"/>
    <w:rsid w:val="00334533"/>
    <w:rsid w:val="00334747"/>
    <w:rsid w:val="00336330"/>
    <w:rsid w:val="0033717A"/>
    <w:rsid w:val="003373DB"/>
    <w:rsid w:val="00337B40"/>
    <w:rsid w:val="00337C22"/>
    <w:rsid w:val="00337D69"/>
    <w:rsid w:val="00342D57"/>
    <w:rsid w:val="003433B8"/>
    <w:rsid w:val="00344DF1"/>
    <w:rsid w:val="00350056"/>
    <w:rsid w:val="0035035D"/>
    <w:rsid w:val="00351CE7"/>
    <w:rsid w:val="00351E86"/>
    <w:rsid w:val="003534FF"/>
    <w:rsid w:val="0035395E"/>
    <w:rsid w:val="0035706E"/>
    <w:rsid w:val="00357650"/>
    <w:rsid w:val="0036038D"/>
    <w:rsid w:val="003637BE"/>
    <w:rsid w:val="003640D6"/>
    <w:rsid w:val="0036483A"/>
    <w:rsid w:val="00365FE7"/>
    <w:rsid w:val="003703FD"/>
    <w:rsid w:val="00372E92"/>
    <w:rsid w:val="0037352C"/>
    <w:rsid w:val="00374B3F"/>
    <w:rsid w:val="003836CE"/>
    <w:rsid w:val="00386766"/>
    <w:rsid w:val="0039039F"/>
    <w:rsid w:val="00392A43"/>
    <w:rsid w:val="0039306E"/>
    <w:rsid w:val="00393E8B"/>
    <w:rsid w:val="0039594B"/>
    <w:rsid w:val="00397386"/>
    <w:rsid w:val="003A0B51"/>
    <w:rsid w:val="003A13EA"/>
    <w:rsid w:val="003A294B"/>
    <w:rsid w:val="003A3441"/>
    <w:rsid w:val="003A5AB5"/>
    <w:rsid w:val="003A66A9"/>
    <w:rsid w:val="003A6EF9"/>
    <w:rsid w:val="003A6F65"/>
    <w:rsid w:val="003A71D8"/>
    <w:rsid w:val="003B07B0"/>
    <w:rsid w:val="003B1068"/>
    <w:rsid w:val="003B1650"/>
    <w:rsid w:val="003B26EF"/>
    <w:rsid w:val="003B3025"/>
    <w:rsid w:val="003B4861"/>
    <w:rsid w:val="003B5233"/>
    <w:rsid w:val="003B5F83"/>
    <w:rsid w:val="003B63D3"/>
    <w:rsid w:val="003B6531"/>
    <w:rsid w:val="003B6A1B"/>
    <w:rsid w:val="003B6EE5"/>
    <w:rsid w:val="003B7039"/>
    <w:rsid w:val="003B7A55"/>
    <w:rsid w:val="003B7EBA"/>
    <w:rsid w:val="003C1FDF"/>
    <w:rsid w:val="003C2042"/>
    <w:rsid w:val="003C4FCA"/>
    <w:rsid w:val="003C5002"/>
    <w:rsid w:val="003D05A6"/>
    <w:rsid w:val="003D1F62"/>
    <w:rsid w:val="003D258C"/>
    <w:rsid w:val="003D308D"/>
    <w:rsid w:val="003D3652"/>
    <w:rsid w:val="003D43BD"/>
    <w:rsid w:val="003E12D4"/>
    <w:rsid w:val="003E4B69"/>
    <w:rsid w:val="003E5A98"/>
    <w:rsid w:val="003E756A"/>
    <w:rsid w:val="003F0695"/>
    <w:rsid w:val="003F2F6C"/>
    <w:rsid w:val="003F4B6D"/>
    <w:rsid w:val="003F5BAA"/>
    <w:rsid w:val="003F6421"/>
    <w:rsid w:val="003F77DE"/>
    <w:rsid w:val="00400CCC"/>
    <w:rsid w:val="00402913"/>
    <w:rsid w:val="00402F08"/>
    <w:rsid w:val="004037B0"/>
    <w:rsid w:val="00403A6D"/>
    <w:rsid w:val="0040556C"/>
    <w:rsid w:val="004059F4"/>
    <w:rsid w:val="0040665F"/>
    <w:rsid w:val="00406DB9"/>
    <w:rsid w:val="00407DCC"/>
    <w:rsid w:val="004112BA"/>
    <w:rsid w:val="00415943"/>
    <w:rsid w:val="0041619B"/>
    <w:rsid w:val="004171A4"/>
    <w:rsid w:val="0042003E"/>
    <w:rsid w:val="0042084F"/>
    <w:rsid w:val="0042126D"/>
    <w:rsid w:val="00421850"/>
    <w:rsid w:val="00421B30"/>
    <w:rsid w:val="00421F02"/>
    <w:rsid w:val="00423146"/>
    <w:rsid w:val="00423F52"/>
    <w:rsid w:val="00424129"/>
    <w:rsid w:val="004259AD"/>
    <w:rsid w:val="004302A5"/>
    <w:rsid w:val="00431096"/>
    <w:rsid w:val="00431620"/>
    <w:rsid w:val="00431EEE"/>
    <w:rsid w:val="00432102"/>
    <w:rsid w:val="00432B4C"/>
    <w:rsid w:val="00433800"/>
    <w:rsid w:val="00433869"/>
    <w:rsid w:val="004338A0"/>
    <w:rsid w:val="00437036"/>
    <w:rsid w:val="0043730D"/>
    <w:rsid w:val="00441A9B"/>
    <w:rsid w:val="00442197"/>
    <w:rsid w:val="0044334B"/>
    <w:rsid w:val="00443469"/>
    <w:rsid w:val="00443CC0"/>
    <w:rsid w:val="00445283"/>
    <w:rsid w:val="004461B1"/>
    <w:rsid w:val="004512BA"/>
    <w:rsid w:val="00452337"/>
    <w:rsid w:val="00452BB2"/>
    <w:rsid w:val="00452FB3"/>
    <w:rsid w:val="00454F2E"/>
    <w:rsid w:val="00457AB7"/>
    <w:rsid w:val="00457CC1"/>
    <w:rsid w:val="00461C3D"/>
    <w:rsid w:val="00464843"/>
    <w:rsid w:val="0046636A"/>
    <w:rsid w:val="004665E9"/>
    <w:rsid w:val="004666BD"/>
    <w:rsid w:val="00467329"/>
    <w:rsid w:val="00471542"/>
    <w:rsid w:val="00472274"/>
    <w:rsid w:val="00472F71"/>
    <w:rsid w:val="004730FF"/>
    <w:rsid w:val="00475A23"/>
    <w:rsid w:val="00475EF5"/>
    <w:rsid w:val="00475FFD"/>
    <w:rsid w:val="00476B19"/>
    <w:rsid w:val="0047704A"/>
    <w:rsid w:val="00482724"/>
    <w:rsid w:val="00484799"/>
    <w:rsid w:val="00484F72"/>
    <w:rsid w:val="00485807"/>
    <w:rsid w:val="0048713F"/>
    <w:rsid w:val="00487176"/>
    <w:rsid w:val="0049188D"/>
    <w:rsid w:val="0049214A"/>
    <w:rsid w:val="0049260A"/>
    <w:rsid w:val="00494001"/>
    <w:rsid w:val="00494B2C"/>
    <w:rsid w:val="00495A7C"/>
    <w:rsid w:val="00495B2E"/>
    <w:rsid w:val="004A026D"/>
    <w:rsid w:val="004A489A"/>
    <w:rsid w:val="004A5E22"/>
    <w:rsid w:val="004A6FA1"/>
    <w:rsid w:val="004A7BD1"/>
    <w:rsid w:val="004B1922"/>
    <w:rsid w:val="004B1D26"/>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57D0"/>
    <w:rsid w:val="004D65AF"/>
    <w:rsid w:val="004D6F7B"/>
    <w:rsid w:val="004D7C37"/>
    <w:rsid w:val="004E2965"/>
    <w:rsid w:val="004E365D"/>
    <w:rsid w:val="004E4374"/>
    <w:rsid w:val="004E5562"/>
    <w:rsid w:val="004E74B0"/>
    <w:rsid w:val="004F11E4"/>
    <w:rsid w:val="004F2561"/>
    <w:rsid w:val="004F3B8B"/>
    <w:rsid w:val="004F5A1B"/>
    <w:rsid w:val="0050396C"/>
    <w:rsid w:val="00504A44"/>
    <w:rsid w:val="0050537B"/>
    <w:rsid w:val="005116A2"/>
    <w:rsid w:val="00511D05"/>
    <w:rsid w:val="00513571"/>
    <w:rsid w:val="00513B5E"/>
    <w:rsid w:val="00515197"/>
    <w:rsid w:val="0051647F"/>
    <w:rsid w:val="00517AE0"/>
    <w:rsid w:val="0052010F"/>
    <w:rsid w:val="00520745"/>
    <w:rsid w:val="0052313B"/>
    <w:rsid w:val="00523260"/>
    <w:rsid w:val="00523445"/>
    <w:rsid w:val="00524F28"/>
    <w:rsid w:val="00525C59"/>
    <w:rsid w:val="00527F6D"/>
    <w:rsid w:val="00530B83"/>
    <w:rsid w:val="0053361A"/>
    <w:rsid w:val="00535836"/>
    <w:rsid w:val="00535AE1"/>
    <w:rsid w:val="00535B1E"/>
    <w:rsid w:val="00536AFC"/>
    <w:rsid w:val="00537D1B"/>
    <w:rsid w:val="00540B51"/>
    <w:rsid w:val="00541590"/>
    <w:rsid w:val="00541873"/>
    <w:rsid w:val="00544019"/>
    <w:rsid w:val="00547979"/>
    <w:rsid w:val="0055092E"/>
    <w:rsid w:val="0055229F"/>
    <w:rsid w:val="00554295"/>
    <w:rsid w:val="0055582C"/>
    <w:rsid w:val="00555AD0"/>
    <w:rsid w:val="00561265"/>
    <w:rsid w:val="00564208"/>
    <w:rsid w:val="00564402"/>
    <w:rsid w:val="0056463F"/>
    <w:rsid w:val="00565F2E"/>
    <w:rsid w:val="0056648A"/>
    <w:rsid w:val="0056777A"/>
    <w:rsid w:val="005705AD"/>
    <w:rsid w:val="0057177C"/>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4018"/>
    <w:rsid w:val="00595601"/>
    <w:rsid w:val="0059592E"/>
    <w:rsid w:val="0059632D"/>
    <w:rsid w:val="00597B36"/>
    <w:rsid w:val="005A1DDD"/>
    <w:rsid w:val="005A4463"/>
    <w:rsid w:val="005A5EE6"/>
    <w:rsid w:val="005B3664"/>
    <w:rsid w:val="005B4F44"/>
    <w:rsid w:val="005B5BB9"/>
    <w:rsid w:val="005B60B3"/>
    <w:rsid w:val="005C021D"/>
    <w:rsid w:val="005C0D7A"/>
    <w:rsid w:val="005C3905"/>
    <w:rsid w:val="005C4ED6"/>
    <w:rsid w:val="005C5417"/>
    <w:rsid w:val="005C5D4A"/>
    <w:rsid w:val="005C5F29"/>
    <w:rsid w:val="005C6D9E"/>
    <w:rsid w:val="005C7276"/>
    <w:rsid w:val="005C76AD"/>
    <w:rsid w:val="005C7BAF"/>
    <w:rsid w:val="005D064A"/>
    <w:rsid w:val="005D0CAB"/>
    <w:rsid w:val="005D50C0"/>
    <w:rsid w:val="005D52CA"/>
    <w:rsid w:val="005D6321"/>
    <w:rsid w:val="005E051A"/>
    <w:rsid w:val="005E1646"/>
    <w:rsid w:val="005E1959"/>
    <w:rsid w:val="005E1AD6"/>
    <w:rsid w:val="005E2987"/>
    <w:rsid w:val="005E318E"/>
    <w:rsid w:val="005E424E"/>
    <w:rsid w:val="005E4253"/>
    <w:rsid w:val="005E46AE"/>
    <w:rsid w:val="005E5D9F"/>
    <w:rsid w:val="005E5F52"/>
    <w:rsid w:val="005E66BA"/>
    <w:rsid w:val="005E70B4"/>
    <w:rsid w:val="005F4867"/>
    <w:rsid w:val="005F5413"/>
    <w:rsid w:val="005F7230"/>
    <w:rsid w:val="005F7BF6"/>
    <w:rsid w:val="00600C26"/>
    <w:rsid w:val="00601B61"/>
    <w:rsid w:val="00602233"/>
    <w:rsid w:val="00610D80"/>
    <w:rsid w:val="00612C8E"/>
    <w:rsid w:val="00614325"/>
    <w:rsid w:val="00614D1E"/>
    <w:rsid w:val="006159C5"/>
    <w:rsid w:val="0062163D"/>
    <w:rsid w:val="006224BD"/>
    <w:rsid w:val="0062383A"/>
    <w:rsid w:val="00624DAA"/>
    <w:rsid w:val="00627220"/>
    <w:rsid w:val="00630814"/>
    <w:rsid w:val="0063081B"/>
    <w:rsid w:val="00632802"/>
    <w:rsid w:val="006345E1"/>
    <w:rsid w:val="00635A7B"/>
    <w:rsid w:val="006436F4"/>
    <w:rsid w:val="00643E58"/>
    <w:rsid w:val="00644EA1"/>
    <w:rsid w:val="006450A7"/>
    <w:rsid w:val="0064577E"/>
    <w:rsid w:val="00650B7B"/>
    <w:rsid w:val="00655B13"/>
    <w:rsid w:val="0065710C"/>
    <w:rsid w:val="0065764B"/>
    <w:rsid w:val="00657D40"/>
    <w:rsid w:val="0066030B"/>
    <w:rsid w:val="00660676"/>
    <w:rsid w:val="00660ABF"/>
    <w:rsid w:val="00661554"/>
    <w:rsid w:val="00662C8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A7BFB"/>
    <w:rsid w:val="006B150F"/>
    <w:rsid w:val="006B37FA"/>
    <w:rsid w:val="006B5667"/>
    <w:rsid w:val="006B6288"/>
    <w:rsid w:val="006B6B0D"/>
    <w:rsid w:val="006B6B74"/>
    <w:rsid w:val="006B74C5"/>
    <w:rsid w:val="006C0C0E"/>
    <w:rsid w:val="006C13F2"/>
    <w:rsid w:val="006C3051"/>
    <w:rsid w:val="006C3971"/>
    <w:rsid w:val="006C55DD"/>
    <w:rsid w:val="006C6186"/>
    <w:rsid w:val="006C7B26"/>
    <w:rsid w:val="006D2C82"/>
    <w:rsid w:val="006D3155"/>
    <w:rsid w:val="006D5D9A"/>
    <w:rsid w:val="006E173C"/>
    <w:rsid w:val="006E1AD3"/>
    <w:rsid w:val="006E2E1E"/>
    <w:rsid w:val="006E3AA5"/>
    <w:rsid w:val="006E3EFF"/>
    <w:rsid w:val="006E5506"/>
    <w:rsid w:val="006E5E1D"/>
    <w:rsid w:val="006F0CA4"/>
    <w:rsid w:val="006F18A4"/>
    <w:rsid w:val="006F1F7D"/>
    <w:rsid w:val="006F221C"/>
    <w:rsid w:val="006F3CE3"/>
    <w:rsid w:val="006F5A14"/>
    <w:rsid w:val="006F7432"/>
    <w:rsid w:val="007009D9"/>
    <w:rsid w:val="007011D3"/>
    <w:rsid w:val="0070220D"/>
    <w:rsid w:val="0070354E"/>
    <w:rsid w:val="00703A29"/>
    <w:rsid w:val="00703C84"/>
    <w:rsid w:val="0070402F"/>
    <w:rsid w:val="00710D10"/>
    <w:rsid w:val="0071152F"/>
    <w:rsid w:val="007119E5"/>
    <w:rsid w:val="00712E1D"/>
    <w:rsid w:val="00714582"/>
    <w:rsid w:val="00714830"/>
    <w:rsid w:val="00715FCC"/>
    <w:rsid w:val="007165FF"/>
    <w:rsid w:val="007173EB"/>
    <w:rsid w:val="0071797E"/>
    <w:rsid w:val="007220D5"/>
    <w:rsid w:val="007223E1"/>
    <w:rsid w:val="007224F4"/>
    <w:rsid w:val="007246BC"/>
    <w:rsid w:val="00724B9F"/>
    <w:rsid w:val="00725544"/>
    <w:rsid w:val="0072581A"/>
    <w:rsid w:val="00727CF5"/>
    <w:rsid w:val="00727D2F"/>
    <w:rsid w:val="007302D3"/>
    <w:rsid w:val="00731506"/>
    <w:rsid w:val="0073195A"/>
    <w:rsid w:val="0073792D"/>
    <w:rsid w:val="00737AEB"/>
    <w:rsid w:val="00740260"/>
    <w:rsid w:val="00741E71"/>
    <w:rsid w:val="00742595"/>
    <w:rsid w:val="0074270E"/>
    <w:rsid w:val="007450E8"/>
    <w:rsid w:val="0074546C"/>
    <w:rsid w:val="00746282"/>
    <w:rsid w:val="00746325"/>
    <w:rsid w:val="00746BDE"/>
    <w:rsid w:val="00750C80"/>
    <w:rsid w:val="00751257"/>
    <w:rsid w:val="00753091"/>
    <w:rsid w:val="007558BF"/>
    <w:rsid w:val="00757E06"/>
    <w:rsid w:val="00760768"/>
    <w:rsid w:val="00761E53"/>
    <w:rsid w:val="00765276"/>
    <w:rsid w:val="007663D0"/>
    <w:rsid w:val="0076757E"/>
    <w:rsid w:val="00772221"/>
    <w:rsid w:val="0077479B"/>
    <w:rsid w:val="00774FCA"/>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4BF6"/>
    <w:rsid w:val="007A570B"/>
    <w:rsid w:val="007B12CB"/>
    <w:rsid w:val="007B1B77"/>
    <w:rsid w:val="007B1C53"/>
    <w:rsid w:val="007B2E73"/>
    <w:rsid w:val="007B67E8"/>
    <w:rsid w:val="007C03E6"/>
    <w:rsid w:val="007C1D54"/>
    <w:rsid w:val="007C449B"/>
    <w:rsid w:val="007C4FA7"/>
    <w:rsid w:val="007C5F4C"/>
    <w:rsid w:val="007C6601"/>
    <w:rsid w:val="007C6E17"/>
    <w:rsid w:val="007C70BE"/>
    <w:rsid w:val="007C7BF6"/>
    <w:rsid w:val="007D0420"/>
    <w:rsid w:val="007D07C7"/>
    <w:rsid w:val="007D158F"/>
    <w:rsid w:val="007D3DFB"/>
    <w:rsid w:val="007D4685"/>
    <w:rsid w:val="007D588B"/>
    <w:rsid w:val="007D5AB4"/>
    <w:rsid w:val="007D7EA9"/>
    <w:rsid w:val="007E06B8"/>
    <w:rsid w:val="007E246A"/>
    <w:rsid w:val="007E27DF"/>
    <w:rsid w:val="007E32D0"/>
    <w:rsid w:val="007E3512"/>
    <w:rsid w:val="007E4BC2"/>
    <w:rsid w:val="007E50E0"/>
    <w:rsid w:val="007E6728"/>
    <w:rsid w:val="007F0D65"/>
    <w:rsid w:val="007F1C6E"/>
    <w:rsid w:val="007F27F6"/>
    <w:rsid w:val="007F50BA"/>
    <w:rsid w:val="007F5B62"/>
    <w:rsid w:val="007F5B6F"/>
    <w:rsid w:val="007F5DBC"/>
    <w:rsid w:val="007F6CC9"/>
    <w:rsid w:val="007F7620"/>
    <w:rsid w:val="00801E00"/>
    <w:rsid w:val="00802636"/>
    <w:rsid w:val="00802BC3"/>
    <w:rsid w:val="0080327A"/>
    <w:rsid w:val="00804482"/>
    <w:rsid w:val="00807B7E"/>
    <w:rsid w:val="00811F0E"/>
    <w:rsid w:val="008132C9"/>
    <w:rsid w:val="0081438A"/>
    <w:rsid w:val="008143EF"/>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3CCA"/>
    <w:rsid w:val="00834051"/>
    <w:rsid w:val="00837549"/>
    <w:rsid w:val="0084063B"/>
    <w:rsid w:val="0084063E"/>
    <w:rsid w:val="00842772"/>
    <w:rsid w:val="00843D78"/>
    <w:rsid w:val="00843F9F"/>
    <w:rsid w:val="00844E0B"/>
    <w:rsid w:val="00851AAA"/>
    <w:rsid w:val="00854412"/>
    <w:rsid w:val="00855EA5"/>
    <w:rsid w:val="0085726A"/>
    <w:rsid w:val="00860177"/>
    <w:rsid w:val="0086135A"/>
    <w:rsid w:val="00863664"/>
    <w:rsid w:val="008643BC"/>
    <w:rsid w:val="00866839"/>
    <w:rsid w:val="008714CB"/>
    <w:rsid w:val="00873555"/>
    <w:rsid w:val="00874258"/>
    <w:rsid w:val="008743CC"/>
    <w:rsid w:val="0087441A"/>
    <w:rsid w:val="0087496F"/>
    <w:rsid w:val="00874EDD"/>
    <w:rsid w:val="008753D4"/>
    <w:rsid w:val="00875674"/>
    <w:rsid w:val="008760B6"/>
    <w:rsid w:val="008766B6"/>
    <w:rsid w:val="00877B9F"/>
    <w:rsid w:val="008809FE"/>
    <w:rsid w:val="00881D29"/>
    <w:rsid w:val="00884382"/>
    <w:rsid w:val="0088701E"/>
    <w:rsid w:val="00890409"/>
    <w:rsid w:val="0089044B"/>
    <w:rsid w:val="008907E9"/>
    <w:rsid w:val="00894F97"/>
    <w:rsid w:val="00894FD3"/>
    <w:rsid w:val="00895EAF"/>
    <w:rsid w:val="00897107"/>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32F2"/>
    <w:rsid w:val="008D43F7"/>
    <w:rsid w:val="008E05BD"/>
    <w:rsid w:val="008E0F71"/>
    <w:rsid w:val="008E1832"/>
    <w:rsid w:val="008E2A8C"/>
    <w:rsid w:val="008E5C7C"/>
    <w:rsid w:val="008E6B98"/>
    <w:rsid w:val="008E6F08"/>
    <w:rsid w:val="008E71E0"/>
    <w:rsid w:val="008E78D6"/>
    <w:rsid w:val="008F0A15"/>
    <w:rsid w:val="008F113A"/>
    <w:rsid w:val="008F3282"/>
    <w:rsid w:val="008F32A5"/>
    <w:rsid w:val="008F3AA0"/>
    <w:rsid w:val="008F4042"/>
    <w:rsid w:val="0090088E"/>
    <w:rsid w:val="00902913"/>
    <w:rsid w:val="00903790"/>
    <w:rsid w:val="00903802"/>
    <w:rsid w:val="009040D4"/>
    <w:rsid w:val="009050EE"/>
    <w:rsid w:val="00905446"/>
    <w:rsid w:val="00905E95"/>
    <w:rsid w:val="00907B77"/>
    <w:rsid w:val="00911387"/>
    <w:rsid w:val="00914DB2"/>
    <w:rsid w:val="00915B16"/>
    <w:rsid w:val="00916C05"/>
    <w:rsid w:val="009175AA"/>
    <w:rsid w:val="00920C7D"/>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47F02"/>
    <w:rsid w:val="00950CB6"/>
    <w:rsid w:val="00955B21"/>
    <w:rsid w:val="00955B78"/>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453"/>
    <w:rsid w:val="009829F5"/>
    <w:rsid w:val="00982C8E"/>
    <w:rsid w:val="00985222"/>
    <w:rsid w:val="00985569"/>
    <w:rsid w:val="009910C4"/>
    <w:rsid w:val="0099454A"/>
    <w:rsid w:val="009951EC"/>
    <w:rsid w:val="009953C0"/>
    <w:rsid w:val="00996745"/>
    <w:rsid w:val="009A0031"/>
    <w:rsid w:val="009A1FA0"/>
    <w:rsid w:val="009A4E22"/>
    <w:rsid w:val="009A6241"/>
    <w:rsid w:val="009A6C01"/>
    <w:rsid w:val="009A6F73"/>
    <w:rsid w:val="009B08FB"/>
    <w:rsid w:val="009B2129"/>
    <w:rsid w:val="009B2C81"/>
    <w:rsid w:val="009B3A76"/>
    <w:rsid w:val="009B5A5E"/>
    <w:rsid w:val="009B67DF"/>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2D9C"/>
    <w:rsid w:val="00A331AB"/>
    <w:rsid w:val="00A33518"/>
    <w:rsid w:val="00A353B9"/>
    <w:rsid w:val="00A354FF"/>
    <w:rsid w:val="00A35C4A"/>
    <w:rsid w:val="00A37836"/>
    <w:rsid w:val="00A40B03"/>
    <w:rsid w:val="00A41671"/>
    <w:rsid w:val="00A4290B"/>
    <w:rsid w:val="00A453C6"/>
    <w:rsid w:val="00A45F7E"/>
    <w:rsid w:val="00A469FB"/>
    <w:rsid w:val="00A5049D"/>
    <w:rsid w:val="00A508A9"/>
    <w:rsid w:val="00A51556"/>
    <w:rsid w:val="00A552F0"/>
    <w:rsid w:val="00A56835"/>
    <w:rsid w:val="00A56A81"/>
    <w:rsid w:val="00A576F1"/>
    <w:rsid w:val="00A60306"/>
    <w:rsid w:val="00A61EBE"/>
    <w:rsid w:val="00A62A2A"/>
    <w:rsid w:val="00A62FE3"/>
    <w:rsid w:val="00A65BE0"/>
    <w:rsid w:val="00A661CA"/>
    <w:rsid w:val="00A66B1F"/>
    <w:rsid w:val="00A66FB3"/>
    <w:rsid w:val="00A67239"/>
    <w:rsid w:val="00A67356"/>
    <w:rsid w:val="00A70910"/>
    <w:rsid w:val="00A71982"/>
    <w:rsid w:val="00A71A23"/>
    <w:rsid w:val="00A73CFE"/>
    <w:rsid w:val="00A74FB4"/>
    <w:rsid w:val="00A75428"/>
    <w:rsid w:val="00A82DC3"/>
    <w:rsid w:val="00A83E3D"/>
    <w:rsid w:val="00A8547E"/>
    <w:rsid w:val="00A85A4D"/>
    <w:rsid w:val="00A862B6"/>
    <w:rsid w:val="00A865AE"/>
    <w:rsid w:val="00A87C03"/>
    <w:rsid w:val="00A90685"/>
    <w:rsid w:val="00A922F1"/>
    <w:rsid w:val="00A927BB"/>
    <w:rsid w:val="00A93837"/>
    <w:rsid w:val="00A94909"/>
    <w:rsid w:val="00A95256"/>
    <w:rsid w:val="00A966DE"/>
    <w:rsid w:val="00AA175E"/>
    <w:rsid w:val="00AA4FDD"/>
    <w:rsid w:val="00AA55F1"/>
    <w:rsid w:val="00AA6389"/>
    <w:rsid w:val="00AA7691"/>
    <w:rsid w:val="00AB218F"/>
    <w:rsid w:val="00AB3A89"/>
    <w:rsid w:val="00AB57FF"/>
    <w:rsid w:val="00AB5C58"/>
    <w:rsid w:val="00AB5F91"/>
    <w:rsid w:val="00AB639B"/>
    <w:rsid w:val="00AC01D9"/>
    <w:rsid w:val="00AC081F"/>
    <w:rsid w:val="00AC0BBC"/>
    <w:rsid w:val="00AC0BE3"/>
    <w:rsid w:val="00AC1100"/>
    <w:rsid w:val="00AC1DA8"/>
    <w:rsid w:val="00AC2A01"/>
    <w:rsid w:val="00AC330E"/>
    <w:rsid w:val="00AC3633"/>
    <w:rsid w:val="00AC5E37"/>
    <w:rsid w:val="00AD0DAF"/>
    <w:rsid w:val="00AD2166"/>
    <w:rsid w:val="00AD2F8E"/>
    <w:rsid w:val="00AD301B"/>
    <w:rsid w:val="00AD314F"/>
    <w:rsid w:val="00AD3884"/>
    <w:rsid w:val="00AD6800"/>
    <w:rsid w:val="00AD72D0"/>
    <w:rsid w:val="00AD73A0"/>
    <w:rsid w:val="00AE08EF"/>
    <w:rsid w:val="00AE28BC"/>
    <w:rsid w:val="00AE42E0"/>
    <w:rsid w:val="00AE5877"/>
    <w:rsid w:val="00AF04D5"/>
    <w:rsid w:val="00AF10A6"/>
    <w:rsid w:val="00AF3F1E"/>
    <w:rsid w:val="00AF403B"/>
    <w:rsid w:val="00AF4730"/>
    <w:rsid w:val="00AF543B"/>
    <w:rsid w:val="00AF6B91"/>
    <w:rsid w:val="00AF6E47"/>
    <w:rsid w:val="00B00435"/>
    <w:rsid w:val="00B0103F"/>
    <w:rsid w:val="00B0274A"/>
    <w:rsid w:val="00B03671"/>
    <w:rsid w:val="00B03F7F"/>
    <w:rsid w:val="00B046A7"/>
    <w:rsid w:val="00B0487E"/>
    <w:rsid w:val="00B04CEE"/>
    <w:rsid w:val="00B05173"/>
    <w:rsid w:val="00B06BEA"/>
    <w:rsid w:val="00B115C9"/>
    <w:rsid w:val="00B126F9"/>
    <w:rsid w:val="00B14F7C"/>
    <w:rsid w:val="00B21D7E"/>
    <w:rsid w:val="00B2267E"/>
    <w:rsid w:val="00B237A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6A4F"/>
    <w:rsid w:val="00B47064"/>
    <w:rsid w:val="00B4750F"/>
    <w:rsid w:val="00B52050"/>
    <w:rsid w:val="00B52B33"/>
    <w:rsid w:val="00B54C82"/>
    <w:rsid w:val="00B54CB7"/>
    <w:rsid w:val="00B55455"/>
    <w:rsid w:val="00B55E1C"/>
    <w:rsid w:val="00B57D25"/>
    <w:rsid w:val="00B602BC"/>
    <w:rsid w:val="00B60663"/>
    <w:rsid w:val="00B64320"/>
    <w:rsid w:val="00B64D6C"/>
    <w:rsid w:val="00B65576"/>
    <w:rsid w:val="00B65C3E"/>
    <w:rsid w:val="00B7072D"/>
    <w:rsid w:val="00B70983"/>
    <w:rsid w:val="00B72DFF"/>
    <w:rsid w:val="00B73F79"/>
    <w:rsid w:val="00B757D7"/>
    <w:rsid w:val="00B7678E"/>
    <w:rsid w:val="00B815D0"/>
    <w:rsid w:val="00B818BF"/>
    <w:rsid w:val="00B81BEE"/>
    <w:rsid w:val="00B82333"/>
    <w:rsid w:val="00B83AB2"/>
    <w:rsid w:val="00B910AE"/>
    <w:rsid w:val="00B917FA"/>
    <w:rsid w:val="00B92F07"/>
    <w:rsid w:val="00B944F8"/>
    <w:rsid w:val="00B94C5D"/>
    <w:rsid w:val="00B94E04"/>
    <w:rsid w:val="00B96411"/>
    <w:rsid w:val="00B9774C"/>
    <w:rsid w:val="00BA1430"/>
    <w:rsid w:val="00BA365C"/>
    <w:rsid w:val="00BA482A"/>
    <w:rsid w:val="00BA5AF0"/>
    <w:rsid w:val="00BA69D6"/>
    <w:rsid w:val="00BB035A"/>
    <w:rsid w:val="00BB0CA7"/>
    <w:rsid w:val="00BB0D6A"/>
    <w:rsid w:val="00BB73CA"/>
    <w:rsid w:val="00BC1CBD"/>
    <w:rsid w:val="00BC2B30"/>
    <w:rsid w:val="00BC3119"/>
    <w:rsid w:val="00BC35CA"/>
    <w:rsid w:val="00BC41D1"/>
    <w:rsid w:val="00BC70D1"/>
    <w:rsid w:val="00BC7C9C"/>
    <w:rsid w:val="00BD2E1D"/>
    <w:rsid w:val="00BD2E58"/>
    <w:rsid w:val="00BD5D05"/>
    <w:rsid w:val="00BD74DD"/>
    <w:rsid w:val="00BD7D94"/>
    <w:rsid w:val="00BD7E52"/>
    <w:rsid w:val="00BE0EB0"/>
    <w:rsid w:val="00BE336E"/>
    <w:rsid w:val="00BE365B"/>
    <w:rsid w:val="00BE7F78"/>
    <w:rsid w:val="00BF24EC"/>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4EE6"/>
    <w:rsid w:val="00C1544D"/>
    <w:rsid w:val="00C206A7"/>
    <w:rsid w:val="00C21506"/>
    <w:rsid w:val="00C21D0F"/>
    <w:rsid w:val="00C21F7B"/>
    <w:rsid w:val="00C22A27"/>
    <w:rsid w:val="00C22BFD"/>
    <w:rsid w:val="00C23148"/>
    <w:rsid w:val="00C23A36"/>
    <w:rsid w:val="00C24DD5"/>
    <w:rsid w:val="00C2597F"/>
    <w:rsid w:val="00C26F43"/>
    <w:rsid w:val="00C34F89"/>
    <w:rsid w:val="00C3632B"/>
    <w:rsid w:val="00C37A08"/>
    <w:rsid w:val="00C40024"/>
    <w:rsid w:val="00C465A9"/>
    <w:rsid w:val="00C465F9"/>
    <w:rsid w:val="00C51328"/>
    <w:rsid w:val="00C52CEF"/>
    <w:rsid w:val="00C54032"/>
    <w:rsid w:val="00C544D2"/>
    <w:rsid w:val="00C544D9"/>
    <w:rsid w:val="00C603F0"/>
    <w:rsid w:val="00C62234"/>
    <w:rsid w:val="00C64006"/>
    <w:rsid w:val="00C6424D"/>
    <w:rsid w:val="00C64C03"/>
    <w:rsid w:val="00C667AC"/>
    <w:rsid w:val="00C67FC1"/>
    <w:rsid w:val="00C701E7"/>
    <w:rsid w:val="00C71348"/>
    <w:rsid w:val="00C71D8B"/>
    <w:rsid w:val="00C72645"/>
    <w:rsid w:val="00C728D0"/>
    <w:rsid w:val="00C738D7"/>
    <w:rsid w:val="00C75DBB"/>
    <w:rsid w:val="00C76BFC"/>
    <w:rsid w:val="00C81825"/>
    <w:rsid w:val="00C84CAE"/>
    <w:rsid w:val="00C8500A"/>
    <w:rsid w:val="00C850C5"/>
    <w:rsid w:val="00C85183"/>
    <w:rsid w:val="00C8566E"/>
    <w:rsid w:val="00C87BED"/>
    <w:rsid w:val="00C90DCF"/>
    <w:rsid w:val="00C90EBC"/>
    <w:rsid w:val="00C91200"/>
    <w:rsid w:val="00C92B02"/>
    <w:rsid w:val="00C94BB3"/>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342A"/>
    <w:rsid w:val="00CE3566"/>
    <w:rsid w:val="00CE4451"/>
    <w:rsid w:val="00CE6931"/>
    <w:rsid w:val="00CE723F"/>
    <w:rsid w:val="00CF08EC"/>
    <w:rsid w:val="00CF1BB6"/>
    <w:rsid w:val="00CF1CD6"/>
    <w:rsid w:val="00CF3524"/>
    <w:rsid w:val="00CF4783"/>
    <w:rsid w:val="00D00A8E"/>
    <w:rsid w:val="00D01EEE"/>
    <w:rsid w:val="00D023DB"/>
    <w:rsid w:val="00D03350"/>
    <w:rsid w:val="00D04ADD"/>
    <w:rsid w:val="00D056C3"/>
    <w:rsid w:val="00D1103B"/>
    <w:rsid w:val="00D132D9"/>
    <w:rsid w:val="00D14DDA"/>
    <w:rsid w:val="00D15F96"/>
    <w:rsid w:val="00D16A67"/>
    <w:rsid w:val="00D17FC3"/>
    <w:rsid w:val="00D213F4"/>
    <w:rsid w:val="00D21F6C"/>
    <w:rsid w:val="00D23677"/>
    <w:rsid w:val="00D23A72"/>
    <w:rsid w:val="00D24AB2"/>
    <w:rsid w:val="00D27113"/>
    <w:rsid w:val="00D275D1"/>
    <w:rsid w:val="00D322E3"/>
    <w:rsid w:val="00D32E82"/>
    <w:rsid w:val="00D3353C"/>
    <w:rsid w:val="00D33E65"/>
    <w:rsid w:val="00D37030"/>
    <w:rsid w:val="00D41324"/>
    <w:rsid w:val="00D42B34"/>
    <w:rsid w:val="00D43556"/>
    <w:rsid w:val="00D43831"/>
    <w:rsid w:val="00D45EDC"/>
    <w:rsid w:val="00D475F9"/>
    <w:rsid w:val="00D5246A"/>
    <w:rsid w:val="00D538EC"/>
    <w:rsid w:val="00D56623"/>
    <w:rsid w:val="00D62718"/>
    <w:rsid w:val="00D62D63"/>
    <w:rsid w:val="00D63E7F"/>
    <w:rsid w:val="00D64130"/>
    <w:rsid w:val="00D64DE0"/>
    <w:rsid w:val="00D670E3"/>
    <w:rsid w:val="00D71871"/>
    <w:rsid w:val="00D7493B"/>
    <w:rsid w:val="00D75580"/>
    <w:rsid w:val="00D7589F"/>
    <w:rsid w:val="00D76080"/>
    <w:rsid w:val="00D7692B"/>
    <w:rsid w:val="00D80562"/>
    <w:rsid w:val="00D809C5"/>
    <w:rsid w:val="00D80D06"/>
    <w:rsid w:val="00D849DE"/>
    <w:rsid w:val="00D849F7"/>
    <w:rsid w:val="00D84AF2"/>
    <w:rsid w:val="00D86453"/>
    <w:rsid w:val="00D8654B"/>
    <w:rsid w:val="00D87F03"/>
    <w:rsid w:val="00D920CC"/>
    <w:rsid w:val="00D94374"/>
    <w:rsid w:val="00D9609E"/>
    <w:rsid w:val="00DA3416"/>
    <w:rsid w:val="00DA4132"/>
    <w:rsid w:val="00DA5718"/>
    <w:rsid w:val="00DA5A0D"/>
    <w:rsid w:val="00DA63E0"/>
    <w:rsid w:val="00DB1BDF"/>
    <w:rsid w:val="00DB2332"/>
    <w:rsid w:val="00DB5734"/>
    <w:rsid w:val="00DB5784"/>
    <w:rsid w:val="00DB6C71"/>
    <w:rsid w:val="00DC1A42"/>
    <w:rsid w:val="00DC1DD1"/>
    <w:rsid w:val="00DC5DE0"/>
    <w:rsid w:val="00DC703C"/>
    <w:rsid w:val="00DD0B83"/>
    <w:rsid w:val="00DD10FC"/>
    <w:rsid w:val="00DD128F"/>
    <w:rsid w:val="00DD2782"/>
    <w:rsid w:val="00DD2EE3"/>
    <w:rsid w:val="00DD5278"/>
    <w:rsid w:val="00DD5897"/>
    <w:rsid w:val="00DD5F66"/>
    <w:rsid w:val="00DD628C"/>
    <w:rsid w:val="00DD6AA1"/>
    <w:rsid w:val="00DE178F"/>
    <w:rsid w:val="00DE240D"/>
    <w:rsid w:val="00DE32D9"/>
    <w:rsid w:val="00DE3AE0"/>
    <w:rsid w:val="00DE4068"/>
    <w:rsid w:val="00DE4B3F"/>
    <w:rsid w:val="00DE6132"/>
    <w:rsid w:val="00DE6C76"/>
    <w:rsid w:val="00DE7F3C"/>
    <w:rsid w:val="00DF04A6"/>
    <w:rsid w:val="00DF13D9"/>
    <w:rsid w:val="00DF4EAB"/>
    <w:rsid w:val="00DF7632"/>
    <w:rsid w:val="00DF7874"/>
    <w:rsid w:val="00DF7D52"/>
    <w:rsid w:val="00DF7F6D"/>
    <w:rsid w:val="00DF7FD6"/>
    <w:rsid w:val="00E00A34"/>
    <w:rsid w:val="00E01B42"/>
    <w:rsid w:val="00E02DC1"/>
    <w:rsid w:val="00E02DD8"/>
    <w:rsid w:val="00E03E92"/>
    <w:rsid w:val="00E03EA6"/>
    <w:rsid w:val="00E04535"/>
    <w:rsid w:val="00E054DB"/>
    <w:rsid w:val="00E07647"/>
    <w:rsid w:val="00E076A0"/>
    <w:rsid w:val="00E07A82"/>
    <w:rsid w:val="00E10E09"/>
    <w:rsid w:val="00E118C2"/>
    <w:rsid w:val="00E12369"/>
    <w:rsid w:val="00E129E8"/>
    <w:rsid w:val="00E12B6F"/>
    <w:rsid w:val="00E1566F"/>
    <w:rsid w:val="00E1661E"/>
    <w:rsid w:val="00E20C55"/>
    <w:rsid w:val="00E20E19"/>
    <w:rsid w:val="00E21ECD"/>
    <w:rsid w:val="00E21F47"/>
    <w:rsid w:val="00E2355E"/>
    <w:rsid w:val="00E24E11"/>
    <w:rsid w:val="00E25420"/>
    <w:rsid w:val="00E27587"/>
    <w:rsid w:val="00E31D79"/>
    <w:rsid w:val="00E324F0"/>
    <w:rsid w:val="00E32847"/>
    <w:rsid w:val="00E339D6"/>
    <w:rsid w:val="00E34B4C"/>
    <w:rsid w:val="00E360AA"/>
    <w:rsid w:val="00E37347"/>
    <w:rsid w:val="00E375B5"/>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4F9"/>
    <w:rsid w:val="00E5766A"/>
    <w:rsid w:val="00E651B0"/>
    <w:rsid w:val="00E676F1"/>
    <w:rsid w:val="00E67D39"/>
    <w:rsid w:val="00E71123"/>
    <w:rsid w:val="00E73328"/>
    <w:rsid w:val="00E73B03"/>
    <w:rsid w:val="00E74088"/>
    <w:rsid w:val="00E74A59"/>
    <w:rsid w:val="00E75C3B"/>
    <w:rsid w:val="00E75C56"/>
    <w:rsid w:val="00E80E8B"/>
    <w:rsid w:val="00E83699"/>
    <w:rsid w:val="00E84E50"/>
    <w:rsid w:val="00E854AE"/>
    <w:rsid w:val="00E863BC"/>
    <w:rsid w:val="00E87CED"/>
    <w:rsid w:val="00E904AF"/>
    <w:rsid w:val="00E904FF"/>
    <w:rsid w:val="00E90A77"/>
    <w:rsid w:val="00E93316"/>
    <w:rsid w:val="00E95306"/>
    <w:rsid w:val="00E95E3F"/>
    <w:rsid w:val="00E96F0D"/>
    <w:rsid w:val="00E97126"/>
    <w:rsid w:val="00E97F78"/>
    <w:rsid w:val="00EA00D9"/>
    <w:rsid w:val="00EA2F2B"/>
    <w:rsid w:val="00EA57BA"/>
    <w:rsid w:val="00EA6CD5"/>
    <w:rsid w:val="00EB263C"/>
    <w:rsid w:val="00EB7F39"/>
    <w:rsid w:val="00EC00D3"/>
    <w:rsid w:val="00EC1155"/>
    <w:rsid w:val="00EC242B"/>
    <w:rsid w:val="00EC2D1D"/>
    <w:rsid w:val="00EC561B"/>
    <w:rsid w:val="00EC71F9"/>
    <w:rsid w:val="00EC7E0F"/>
    <w:rsid w:val="00ED0383"/>
    <w:rsid w:val="00ED125C"/>
    <w:rsid w:val="00ED1561"/>
    <w:rsid w:val="00ED19CF"/>
    <w:rsid w:val="00ED2D07"/>
    <w:rsid w:val="00ED5EF1"/>
    <w:rsid w:val="00ED629A"/>
    <w:rsid w:val="00ED6FBA"/>
    <w:rsid w:val="00ED77D9"/>
    <w:rsid w:val="00EE0213"/>
    <w:rsid w:val="00EE0D8E"/>
    <w:rsid w:val="00EE14BA"/>
    <w:rsid w:val="00EE2D90"/>
    <w:rsid w:val="00EE3D31"/>
    <w:rsid w:val="00EE4898"/>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0504"/>
    <w:rsid w:val="00F2247A"/>
    <w:rsid w:val="00F24CDB"/>
    <w:rsid w:val="00F25C62"/>
    <w:rsid w:val="00F27C03"/>
    <w:rsid w:val="00F323CC"/>
    <w:rsid w:val="00F3305C"/>
    <w:rsid w:val="00F33689"/>
    <w:rsid w:val="00F337A0"/>
    <w:rsid w:val="00F35478"/>
    <w:rsid w:val="00F36607"/>
    <w:rsid w:val="00F36ED8"/>
    <w:rsid w:val="00F37C4C"/>
    <w:rsid w:val="00F43604"/>
    <w:rsid w:val="00F43B3B"/>
    <w:rsid w:val="00F43D93"/>
    <w:rsid w:val="00F44063"/>
    <w:rsid w:val="00F449F2"/>
    <w:rsid w:val="00F44A8C"/>
    <w:rsid w:val="00F46FFE"/>
    <w:rsid w:val="00F47533"/>
    <w:rsid w:val="00F51AED"/>
    <w:rsid w:val="00F53678"/>
    <w:rsid w:val="00F5401A"/>
    <w:rsid w:val="00F54A8F"/>
    <w:rsid w:val="00F551FC"/>
    <w:rsid w:val="00F56D39"/>
    <w:rsid w:val="00F57A9F"/>
    <w:rsid w:val="00F57CBD"/>
    <w:rsid w:val="00F610D6"/>
    <w:rsid w:val="00F62E87"/>
    <w:rsid w:val="00F6711C"/>
    <w:rsid w:val="00F70357"/>
    <w:rsid w:val="00F7078B"/>
    <w:rsid w:val="00F725AA"/>
    <w:rsid w:val="00F746CA"/>
    <w:rsid w:val="00F76BCB"/>
    <w:rsid w:val="00F81803"/>
    <w:rsid w:val="00F81DCC"/>
    <w:rsid w:val="00F8272A"/>
    <w:rsid w:val="00F82792"/>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D8F"/>
    <w:rsid w:val="00FB278D"/>
    <w:rsid w:val="00FB3234"/>
    <w:rsid w:val="00FB3438"/>
    <w:rsid w:val="00FB3BDF"/>
    <w:rsid w:val="00FB5379"/>
    <w:rsid w:val="00FB5CEC"/>
    <w:rsid w:val="00FB62FD"/>
    <w:rsid w:val="00FB68C6"/>
    <w:rsid w:val="00FB6B59"/>
    <w:rsid w:val="00FB7757"/>
    <w:rsid w:val="00FB79B3"/>
    <w:rsid w:val="00FC33F4"/>
    <w:rsid w:val="00FC650F"/>
    <w:rsid w:val="00FC7907"/>
    <w:rsid w:val="00FD2C34"/>
    <w:rsid w:val="00FD4716"/>
    <w:rsid w:val="00FD561F"/>
    <w:rsid w:val="00FD7D74"/>
    <w:rsid w:val="00FD7EFF"/>
    <w:rsid w:val="00FE0434"/>
    <w:rsid w:val="00FE0F8E"/>
    <w:rsid w:val="00FE32E1"/>
    <w:rsid w:val="00FE3657"/>
    <w:rsid w:val="00FE6899"/>
    <w:rsid w:val="00FE6A89"/>
    <w:rsid w:val="00FE6E7C"/>
    <w:rsid w:val="00FF067C"/>
    <w:rsid w:val="00FF06E6"/>
    <w:rsid w:val="00FF2306"/>
    <w:rsid w:val="00FF2469"/>
    <w:rsid w:val="00FF27DA"/>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3"/>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7"/>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4"/>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5"/>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6"/>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5"/>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CellMar>
        <w:left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bottom w:w="2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bottom w:w="2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link w:val="Bulletslevel1CharChar"/>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character" w:customStyle="1" w:styleId="apple-converted-space">
    <w:name w:val="apple-converted-space"/>
    <w:basedOn w:val="DefaultParagraphFont"/>
    <w:rsid w:val="00742595"/>
  </w:style>
  <w:style w:type="character" w:customStyle="1" w:styleId="Bulletslevel1CharChar">
    <w:name w:val="Bullets level 1 Char Char"/>
    <w:link w:val="Bulletslevel1"/>
    <w:rsid w:val="00C14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uiPriority="5"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3"/>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1"/>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7"/>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4"/>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5"/>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6"/>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5"/>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CellMar>
        <w:left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bottom w:w="57"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bottom w:w="2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bottom w:w="2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link w:val="Bulletslevel1CharChar"/>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33E65"/>
    <w:pPr>
      <w:spacing w:line="240" w:lineRule="auto"/>
    </w:pPr>
  </w:style>
  <w:style w:type="character" w:customStyle="1" w:styleId="apple-converted-space">
    <w:name w:val="apple-converted-space"/>
    <w:basedOn w:val="DefaultParagraphFont"/>
    <w:rsid w:val="00742595"/>
  </w:style>
  <w:style w:type="character" w:customStyle="1" w:styleId="Bulletslevel1CharChar">
    <w:name w:val="Bullets level 1 Char Char"/>
    <w:link w:val="Bulletslevel1"/>
    <w:rsid w:val="00C14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404836838">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science_yr9_plan.doc" TargetMode="External"/><Relationship Id="rId26" Type="http://schemas.openxmlformats.org/officeDocument/2006/relationships/hyperlink" Target="http://www.australiancurriculum.edu.au/Glossary?a=S&amp;t=Trend" TargetMode="External"/><Relationship Id="rId39" Type="http://schemas.openxmlformats.org/officeDocument/2006/relationships/hyperlink" Target="http://www.qcaa.qld.edu.au/downloads/p_10/ac_science_yr9_plan.doc" TargetMode="External"/><Relationship Id="rId21" Type="http://schemas.openxmlformats.org/officeDocument/2006/relationships/hyperlink" Target="http://www.australiancurriculum.edu.au/Curriculum/ContentDescription/ACSHE160" TargetMode="External"/><Relationship Id="rId34" Type="http://schemas.openxmlformats.org/officeDocument/2006/relationships/image" Target="media/image2.png"/><Relationship Id="rId42" Type="http://schemas.openxmlformats.org/officeDocument/2006/relationships/hyperlink" Target="http://www.curriculum.edu.au/verve/_resources/national_declaration_on_the_educational_goals_for_young_australians.pdf" TargetMode="External"/><Relationship Id="rId47" Type="http://schemas.openxmlformats.org/officeDocument/2006/relationships/hyperlink" Target="https://www.qcaa.qld.edu.au/downloads/p_10/ac_sci_yr9_se.docx" TargetMode="External"/><Relationship Id="rId50" Type="http://schemas.openxmlformats.org/officeDocument/2006/relationships/footer" Target="footer3.xml"/><Relationship Id="rId146"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qcaa.qld.edu.au/downloads/p_10/ac_sci_yr9_se..docx" TargetMode="External"/><Relationship Id="rId25" Type="http://schemas.openxmlformats.org/officeDocument/2006/relationships/hyperlink" Target="http://www.australiancurriculum.edu.au/Glossary?a=S&amp;t=Pattern" TargetMode="External"/><Relationship Id="rId33" Type="http://schemas.openxmlformats.org/officeDocument/2006/relationships/hyperlink" Target="http://www.qcaa.qld.edu.au/yr9-science-resources.html" TargetMode="External"/><Relationship Id="rId38" Type="http://schemas.openxmlformats.org/officeDocument/2006/relationships/hyperlink" Target="http://www.australiancurriculum.edu.au" TargetMode="External"/><Relationship Id="rId46" Type="http://schemas.openxmlformats.org/officeDocument/2006/relationships/hyperlink" Target="http://education.qld.gov.au/curriculum/carmg/index.html" TargetMode="Externa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0" Type="http://schemas.openxmlformats.org/officeDocument/2006/relationships/hyperlink" Target="http://www.australiancurriculum.edu.au/Curriculum/ContentDescription/ACSSU182" TargetMode="External"/><Relationship Id="rId29" Type="http://schemas.openxmlformats.org/officeDocument/2006/relationships/hyperlink" Target="http://www.australiancurriculum.edu.au/Glossary?a=S&amp;t=Evidence" TargetMode="External"/><Relationship Id="rId41" Type="http://schemas.openxmlformats.org/officeDocument/2006/relationships/hyperlink" Target="http://www.australiancurriculum.edu.au/StudentDiversity/Student-diversity-advice" TargetMode="External"/><Relationship Id="rId145"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Curriculum/ContentDescription/ACSIS166" TargetMode="External"/><Relationship Id="rId32" Type="http://schemas.openxmlformats.org/officeDocument/2006/relationships/hyperlink" Target="http://www.australiancurriculum.edu.au/Curriculum/ContentDescription/ACSIS174" TargetMode="External"/><Relationship Id="rId37" Type="http://schemas.openxmlformats.org/officeDocument/2006/relationships/image" Target="media/image5.png"/><Relationship Id="rId40" Type="http://schemas.openxmlformats.org/officeDocument/2006/relationships/hyperlink" Target="http://www.qcaa.qld.edu.au/10188.html" TargetMode="External"/><Relationship Id="rId45" Type="http://schemas.openxmlformats.org/officeDocument/2006/relationships/hyperlink" Target="http://www.australiancurriculum.edu.au/Glossary?a=&amp;t=Explain" TargetMode="Externa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Curriculum/ContentDescription/ACSIS165" TargetMode="External"/><Relationship Id="rId28" Type="http://schemas.openxmlformats.org/officeDocument/2006/relationships/hyperlink" Target="http://www.australiancurriculum.edu.au/Glossary?a=S&amp;t=Conclusion" TargetMode="External"/><Relationship Id="rId36" Type="http://schemas.openxmlformats.org/officeDocument/2006/relationships/image" Target="media/image4.png"/><Relationship Id="rId49" Type="http://schemas.openxmlformats.org/officeDocument/2006/relationships/hyperlink" Target="http://www.qcaa.qld.edu.au/downloads/p_10/as_feedback_provide.docx" TargetMode="External"/><Relationship Id="rId10" Type="http://schemas.openxmlformats.org/officeDocument/2006/relationships/settings" Target="settings.xml"/><Relationship Id="rId19" Type="http://schemas.openxmlformats.org/officeDocument/2006/relationships/hyperlink" Target="http://www.qsa.qld.edu.au/yr9-science-resources.html" TargetMode="External"/><Relationship Id="rId31" Type="http://schemas.openxmlformats.org/officeDocument/2006/relationships/hyperlink" Target="http://www.australiancurriculum.edu.au/Curriculum/ContentDescription/ACSIS171" TargetMode="External"/><Relationship Id="rId44" Type="http://schemas.openxmlformats.org/officeDocument/2006/relationships/hyperlink" Target="http://education.qld.gov.au/curriculum/carmg/index.html" TargetMode="External"/><Relationship Id="rId52" Type="http://schemas.openxmlformats.org/officeDocument/2006/relationships/glossaryDocument" Target="glossary/document.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Glossary?a=S&amp;t=Field%20work" TargetMode="External"/><Relationship Id="rId27" Type="http://schemas.openxmlformats.org/officeDocument/2006/relationships/hyperlink" Target="http://www.australiancurriculum.edu.au/Curriculum/ContentDescription/ACSIS169" TargetMode="External"/><Relationship Id="rId30" Type="http://schemas.openxmlformats.org/officeDocument/2006/relationships/hyperlink" Target="http://www.australiancurriculum.edu.au/Curriculum/ContentDescription/ACSIS170" TargetMode="External"/><Relationship Id="rId35" Type="http://schemas.openxmlformats.org/officeDocument/2006/relationships/image" Target="media/image3.png"/><Relationship Id="rId43" Type="http://schemas.openxmlformats.org/officeDocument/2006/relationships/hyperlink" Target="http://www.ag.gov.au" TargetMode="External"/><Relationship Id="rId48" Type="http://schemas.openxmlformats.org/officeDocument/2006/relationships/hyperlink" Target="http://www.qcaa.qld.edu.au/downloads/p_10/as_feedback_about.docx" TargetMode="External"/><Relationship Id="rId8" Type="http://schemas.openxmlformats.org/officeDocument/2006/relationships/styles" Target="styles.xml"/><Relationship Id="rId51" Type="http://schemas.openxmlformats.org/officeDocument/2006/relationships/fontTable" Target="fontTable.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1FD9"/>
    <w:rsid w:val="00037473"/>
    <w:rsid w:val="001347CD"/>
    <w:rsid w:val="0014593A"/>
    <w:rsid w:val="00186833"/>
    <w:rsid w:val="00191B4C"/>
    <w:rsid w:val="001B5E3A"/>
    <w:rsid w:val="001C494A"/>
    <w:rsid w:val="00212ED0"/>
    <w:rsid w:val="00346DE5"/>
    <w:rsid w:val="00421CB0"/>
    <w:rsid w:val="00496B62"/>
    <w:rsid w:val="004D437D"/>
    <w:rsid w:val="00535CD1"/>
    <w:rsid w:val="005D298D"/>
    <w:rsid w:val="00665624"/>
    <w:rsid w:val="006C09ED"/>
    <w:rsid w:val="006E739B"/>
    <w:rsid w:val="0075177B"/>
    <w:rsid w:val="007A1215"/>
    <w:rsid w:val="00837F17"/>
    <w:rsid w:val="008E5678"/>
    <w:rsid w:val="009554D9"/>
    <w:rsid w:val="00A231D6"/>
    <w:rsid w:val="00AD6E51"/>
    <w:rsid w:val="00B0595C"/>
    <w:rsid w:val="00B66AB0"/>
    <w:rsid w:val="00C316EC"/>
    <w:rsid w:val="00CD0C5E"/>
    <w:rsid w:val="00D41A0D"/>
    <w:rsid w:val="00DF145D"/>
    <w:rsid w:val="00EA34CA"/>
    <w:rsid w:val="00F75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 w:type="paragraph" w:customStyle="1" w:styleId="220A9FAC831C44208454B6B0082AF3A0">
    <w:name w:val="220A9FAC831C44208454B6B0082AF3A0"/>
    <w:rsid w:val="00DF14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Science</CompanyPhone>
  <CompanyFax>9</CompanyFax>
  <CompanyEmail>Exploring points of view</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4FD582C4-1BE5-4B5B-9E9A-A7F3691B1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3135</Words>
  <Characters>22448</Characters>
  <Application>Microsoft Office Word</Application>
  <DocSecurity>0</DocSecurity>
  <Lines>187</Lines>
  <Paragraphs>51</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Studies Authority</Company>
  <LinksUpToDate>false</LinksUpToDate>
  <CharactersWithSpaces>25532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9 Science Sample assessment: Electric kettles - Teacher guidelines</dc:title>
  <dc:subject>Science</dc:subject>
  <dc:creator>Queensland Curriculum and Assessment Authority</dc:creator>
  <cp:lastModifiedBy>FCED</cp:lastModifiedBy>
  <cp:revision>11</cp:revision>
  <cp:lastPrinted>2014-11-06T06:02:00Z</cp:lastPrinted>
  <dcterms:created xsi:type="dcterms:W3CDTF">2015-04-07T05:00:00Z</dcterms:created>
  <dcterms:modified xsi:type="dcterms:W3CDTF">2015-06-19T06:10:00Z</dcterms:modified>
  <cp:category>14980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