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w:t>
      </w:r>
      <w:r w:rsidR="008B1CE6">
        <w:t>Year 7 Mathematics</w:t>
      </w:r>
      <w:r>
        <w:t xml:space="preserve"> Sample assessment</w:t>
      </w:r>
      <w:r w:rsidRPr="008E110C">
        <w:t> </w:t>
      </w:r>
      <w:r w:rsidRPr="008E110C">
        <w:t>|</w:t>
      </w:r>
      <w:r w:rsidRPr="008E110C">
        <w:t> </w:t>
      </w:r>
      <w:r w:rsidRPr="008E110C">
        <w:t>Teacher guidelines</w:t>
      </w:r>
    </w:p>
    <w:p w:rsidR="0084277D" w:rsidRPr="0084277D" w:rsidRDefault="00EA111A" w:rsidP="0084277D">
      <w:pPr>
        <w:pStyle w:val="Subtitle"/>
        <w:rPr>
          <w:rStyle w:val="SubtitleChar"/>
        </w:rPr>
      </w:pPr>
      <w:r w:rsidRPr="0084277D">
        <w:fldChar w:fldCharType="begin"/>
      </w:r>
      <w:r w:rsidR="0084277D" w:rsidRPr="0084277D">
        <w:instrText xml:space="preserve"> MACROBUTTON  InsertAutoText </w:instrText>
      </w:r>
      <w:r w:rsidRPr="0084277D">
        <w:fldChar w:fldCharType="end"/>
      </w:r>
      <w:r w:rsidR="008B1CE6">
        <w:rPr>
          <w:rStyle w:val="SubtitleChar"/>
        </w:rPr>
        <w:t>Refreshing drinks</w:t>
      </w:r>
    </w:p>
    <w:p w:rsidR="0084277D" w:rsidRDefault="0084277D" w:rsidP="0084277D">
      <w:pPr>
        <w:pStyle w:val="Copyright"/>
      </w:pPr>
      <w:r w:rsidRPr="00CB2FD6">
        <w:t>© The State of Queensland (Queensland Studies Authority) and its licensors</w:t>
      </w:r>
      <w:r>
        <w:t xml:space="preserve"> </w:t>
      </w:r>
      <w:r w:rsidR="00C7219E">
        <w:t>2014</w:t>
      </w:r>
      <w:r>
        <w:t>.</w:t>
      </w:r>
      <w:r w:rsidRPr="00CB2FD6">
        <w:t xml:space="preserve"> All web links correct at time of publication.</w:t>
      </w:r>
    </w:p>
    <w:p w:rsidR="0084277D" w:rsidRPr="0084277D" w:rsidRDefault="0084277D" w:rsidP="0084277D"/>
    <w:tbl>
      <w:tblPr>
        <w:tblStyle w:val="3QSAtablestyle"/>
        <w:tblW w:w="4882" w:type="pct"/>
        <w:tblLayout w:type="fixed"/>
        <w:tblLook w:val="01E0" w:firstRow="1" w:lastRow="1" w:firstColumn="1" w:lastColumn="1" w:noHBand="0" w:noVBand="0"/>
      </w:tblPr>
      <w:tblGrid>
        <w:gridCol w:w="4550"/>
        <w:gridCol w:w="4518"/>
      </w:tblGrid>
      <w:tr w:rsidR="000D2B55" w:rsidRPr="004B07CA" w:rsidTr="00115C59">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9" w:type="pct"/>
            <w:shd w:val="clear" w:color="auto" w:fill="8CC8C9"/>
          </w:tcPr>
          <w:p w:rsidR="000D2B55" w:rsidRPr="00D10A7F" w:rsidRDefault="000D2B55" w:rsidP="00D10A7F">
            <w:pPr>
              <w:pStyle w:val="Tablehead"/>
              <w:rPr>
                <w:b/>
                <w:color w:val="auto"/>
              </w:rPr>
            </w:pPr>
            <w:r w:rsidRPr="00D10A7F">
              <w:rPr>
                <w:b/>
                <w:color w:val="auto"/>
              </w:rPr>
              <w:t>Assessment description</w:t>
            </w:r>
          </w:p>
        </w:tc>
        <w:tc>
          <w:tcPr>
            <w:cnfStyle w:val="000000001000" w:firstRow="0" w:lastRow="0" w:firstColumn="0" w:lastColumn="0" w:oddVBand="0" w:evenVBand="0" w:oddHBand="0" w:evenHBand="0" w:firstRowFirstColumn="0" w:firstRowLastColumn="1" w:lastRowFirstColumn="0" w:lastRowLastColumn="0"/>
            <w:tcW w:w="2491" w:type="pct"/>
            <w:shd w:val="clear" w:color="auto" w:fill="8CC8C9"/>
          </w:tcPr>
          <w:p w:rsidR="000D2B55" w:rsidRPr="00D10A7F" w:rsidRDefault="000D2B55" w:rsidP="00D10A7F">
            <w:pPr>
              <w:pStyle w:val="Tablehead"/>
              <w:rPr>
                <w:b/>
                <w:color w:val="auto"/>
              </w:rPr>
            </w:pPr>
            <w:r w:rsidRPr="00D10A7F">
              <w:rPr>
                <w:b/>
                <w:color w:val="auto"/>
              </w:rPr>
              <w:t>Category</w:t>
            </w:r>
          </w:p>
        </w:tc>
      </w:tr>
      <w:tr w:rsidR="000D2B55" w:rsidRPr="00BC1996" w:rsidTr="00115C59">
        <w:tc>
          <w:tcPr>
            <w:tcW w:w="2509" w:type="pct"/>
            <w:vMerge w:val="restart"/>
          </w:tcPr>
          <w:p w:rsidR="000D2B55" w:rsidRPr="00126BC8" w:rsidRDefault="000D2B55" w:rsidP="008B1CE6">
            <w:pPr>
              <w:pStyle w:val="Tabletext"/>
            </w:pPr>
            <w:r w:rsidRPr="00126BC8">
              <w:t>Students</w:t>
            </w:r>
            <w:r w:rsidR="00517FB8">
              <w:t xml:space="preserve"> </w:t>
            </w:r>
            <w:r w:rsidR="008B1CE6">
              <w:t>apply understanding of ratios, fractions and percentages to solve problems when mixing ingredients for fruity drinks.</w:t>
            </w:r>
          </w:p>
        </w:tc>
        <w:tc>
          <w:tcPr>
            <w:tcW w:w="2491" w:type="pct"/>
          </w:tcPr>
          <w:p w:rsidR="0084277D" w:rsidRPr="0084277D" w:rsidRDefault="008B1CE6" w:rsidP="0084277D">
            <w:pPr>
              <w:pStyle w:val="Tabletext"/>
              <w:rPr>
                <w:lang w:eastAsia="en-US"/>
              </w:rPr>
            </w:pPr>
            <w:r>
              <w:rPr>
                <w:lang w:eastAsia="en-US"/>
              </w:rPr>
              <w:t>Written</w:t>
            </w:r>
          </w:p>
        </w:tc>
      </w:tr>
      <w:tr w:rsidR="000D2B55" w:rsidRPr="00BC1996" w:rsidTr="00115C59">
        <w:trPr>
          <w:trHeight w:val="272"/>
        </w:trPr>
        <w:tc>
          <w:tcPr>
            <w:tcW w:w="2509" w:type="pct"/>
            <w:vMerge/>
            <w:shd w:val="clear" w:color="auto" w:fill="FFFFFF" w:themeFill="background1"/>
          </w:tcPr>
          <w:p w:rsidR="000D2B55" w:rsidRPr="009D4D57" w:rsidRDefault="000D2B55" w:rsidP="00394F17">
            <w:pPr>
              <w:pStyle w:val="Tablehead"/>
            </w:pPr>
          </w:p>
        </w:tc>
        <w:tc>
          <w:tcPr>
            <w:tcW w:w="2491" w:type="pct"/>
            <w:shd w:val="clear" w:color="auto" w:fill="CFE7E6"/>
          </w:tcPr>
          <w:p w:rsidR="000D2B55" w:rsidRPr="009D4D57" w:rsidRDefault="000D2B55" w:rsidP="00374361">
            <w:pPr>
              <w:pStyle w:val="Tablesubhead"/>
            </w:pPr>
            <w:r w:rsidRPr="009D4D57">
              <w:t>Technique</w:t>
            </w:r>
          </w:p>
        </w:tc>
      </w:tr>
      <w:tr w:rsidR="000D2B55" w:rsidRPr="00BC1996" w:rsidTr="00115C59">
        <w:tc>
          <w:tcPr>
            <w:tcW w:w="2509" w:type="pct"/>
            <w:vMerge/>
            <w:shd w:val="clear" w:color="auto" w:fill="FFFFFF" w:themeFill="background1"/>
          </w:tcPr>
          <w:p w:rsidR="000D2B55" w:rsidRPr="00B50EB0" w:rsidRDefault="000D2B55" w:rsidP="00374361">
            <w:pPr>
              <w:tabs>
                <w:tab w:val="num" w:pos="284"/>
              </w:tabs>
              <w:spacing w:line="220" w:lineRule="atLeast"/>
              <w:contextualSpacing/>
            </w:pPr>
          </w:p>
        </w:tc>
        <w:tc>
          <w:tcPr>
            <w:tcW w:w="2491" w:type="pct"/>
          </w:tcPr>
          <w:p w:rsidR="0084277D" w:rsidRPr="0084277D" w:rsidRDefault="008B1CE6" w:rsidP="0084277D">
            <w:pPr>
              <w:pStyle w:val="Tabletext"/>
              <w:rPr>
                <w:lang w:eastAsia="en-US"/>
              </w:rPr>
            </w:pPr>
            <w:r>
              <w:rPr>
                <w:lang w:eastAsia="en-US"/>
              </w:rPr>
              <w:t>Supervised assessment</w:t>
            </w:r>
          </w:p>
        </w:tc>
      </w:tr>
      <w:tr w:rsidR="000D2B55" w:rsidRPr="00BC1996" w:rsidTr="00115C59">
        <w:tc>
          <w:tcPr>
            <w:tcW w:w="2509" w:type="pct"/>
            <w:shd w:val="clear" w:color="auto" w:fill="CFE7E6"/>
          </w:tcPr>
          <w:p w:rsidR="000D2B55" w:rsidRPr="00B50EB0" w:rsidRDefault="000D2B55" w:rsidP="00374361">
            <w:pPr>
              <w:pStyle w:val="Tablesubhead"/>
            </w:pPr>
            <w:r w:rsidRPr="00B50EB0">
              <w:t>Context for assessment</w:t>
            </w:r>
          </w:p>
        </w:tc>
        <w:tc>
          <w:tcPr>
            <w:tcW w:w="2491" w:type="pct"/>
            <w:shd w:val="clear" w:color="auto" w:fill="CFE7E6"/>
          </w:tcPr>
          <w:p w:rsidR="000D2B55" w:rsidRPr="00B50EB0" w:rsidRDefault="000D2B55" w:rsidP="00374361">
            <w:pPr>
              <w:pStyle w:val="Tablesubhead"/>
            </w:pPr>
            <w:r>
              <w:t>Alignment</w:t>
            </w:r>
          </w:p>
        </w:tc>
      </w:tr>
      <w:tr w:rsidR="000D2B55" w:rsidRPr="00BC1996" w:rsidTr="00115C59">
        <w:trPr>
          <w:trHeight w:val="843"/>
        </w:trPr>
        <w:tc>
          <w:tcPr>
            <w:tcW w:w="2509" w:type="pct"/>
            <w:vMerge w:val="restart"/>
            <w:shd w:val="clear" w:color="auto" w:fill="auto"/>
          </w:tcPr>
          <w:p w:rsidR="008B1CE6" w:rsidRDefault="008B1CE6" w:rsidP="008B1CE6">
            <w:r>
              <w:t xml:space="preserve">The assessment </w:t>
            </w:r>
            <w:r w:rsidRPr="00E93CB0">
              <w:t>gathers evidence about how well students</w:t>
            </w:r>
            <w:r>
              <w:t xml:space="preserve"> demonstrate their U</w:t>
            </w:r>
            <w:r w:rsidRPr="00E93CB0">
              <w:t xml:space="preserve">nderstanding, </w:t>
            </w:r>
            <w:r>
              <w:t>F</w:t>
            </w:r>
            <w:r w:rsidRPr="00E93CB0">
              <w:t>luency</w:t>
            </w:r>
            <w:r w:rsidR="00E52F3C">
              <w:t xml:space="preserve"> and</w:t>
            </w:r>
            <w:r w:rsidRPr="00E93CB0">
              <w:t xml:space="preserve"> </w:t>
            </w:r>
            <w:r>
              <w:t>P</w:t>
            </w:r>
            <w:r w:rsidRPr="00E93CB0">
              <w:t xml:space="preserve">roblem </w:t>
            </w:r>
            <w:r w:rsidR="008D04CA">
              <w:t>s</w:t>
            </w:r>
            <w:r w:rsidR="008D04CA" w:rsidRPr="00E93CB0">
              <w:t>olving</w:t>
            </w:r>
            <w:r w:rsidR="008D04CA">
              <w:t xml:space="preserve"> </w:t>
            </w:r>
            <w:r>
              <w:t xml:space="preserve">when using the concept of ratio to </w:t>
            </w:r>
            <w:r w:rsidR="00E52F3C">
              <w:t xml:space="preserve">represent ratios in a variety of ways, to </w:t>
            </w:r>
            <w:r>
              <w:t>adapt a recipe for a larger or smaller quantity,</w:t>
            </w:r>
            <w:r w:rsidDel="002413C5">
              <w:t xml:space="preserve"> </w:t>
            </w:r>
            <w:r>
              <w:t xml:space="preserve">and </w:t>
            </w:r>
            <w:r w:rsidR="00E52F3C">
              <w:t xml:space="preserve">to </w:t>
            </w:r>
            <w:r>
              <w:t>communicat</w:t>
            </w:r>
            <w:r w:rsidR="00F04DBF">
              <w:t>e</w:t>
            </w:r>
            <w:r>
              <w:t xml:space="preserve"> </w:t>
            </w:r>
            <w:r w:rsidR="00E52F3C">
              <w:t>the mathematical steps involved.</w:t>
            </w:r>
          </w:p>
          <w:p w:rsidR="0084277D" w:rsidRPr="00101513" w:rsidRDefault="008B1CE6" w:rsidP="008B1CE6">
            <w:pPr>
              <w:pStyle w:val="Tabletext"/>
            </w:pPr>
            <w:r>
              <w:t xml:space="preserve">This assessment can be used with the QSA Australian Curriculum resource titled </w:t>
            </w:r>
            <w:r w:rsidRPr="004923FC">
              <w:rPr>
                <w:i/>
              </w:rPr>
              <w:t>Year</w:t>
            </w:r>
            <w:r w:rsidR="00F04DBF">
              <w:rPr>
                <w:i/>
              </w:rPr>
              <w:t xml:space="preserve"> </w:t>
            </w:r>
            <w:r w:rsidRPr="004923FC">
              <w:rPr>
                <w:i/>
              </w:rPr>
              <w:t xml:space="preserve">7 unit overview </w:t>
            </w:r>
            <w:r>
              <w:rPr>
                <w:i/>
              </w:rPr>
              <w:t>—</w:t>
            </w:r>
            <w:r w:rsidRPr="004923FC">
              <w:rPr>
                <w:i/>
              </w:rPr>
              <w:t xml:space="preserve"> Mathematics exemplar</w:t>
            </w:r>
            <w:r>
              <w:t xml:space="preserve"> (Recipe ratios), available at: </w:t>
            </w:r>
            <w:hyperlink r:id="rId15" w:history="1">
              <w:r w:rsidR="00DE5019">
                <w:rPr>
                  <w:rStyle w:val="Hyperlink"/>
                  <w:rFonts w:eastAsia="SimSun"/>
                </w:rPr>
                <w:t>www.qsa.qld.edu.au/yr7-maths-resources.html</w:t>
              </w:r>
            </w:hyperlink>
          </w:p>
        </w:tc>
        <w:tc>
          <w:tcPr>
            <w:tcW w:w="2491" w:type="pct"/>
            <w:shd w:val="clear" w:color="auto" w:fill="auto"/>
          </w:tcPr>
          <w:p w:rsidR="00831B60" w:rsidRDefault="000D2B55" w:rsidP="00374361">
            <w:pPr>
              <w:pStyle w:val="Tabletext"/>
              <w:rPr>
                <w:sz w:val="21"/>
              </w:rPr>
            </w:pPr>
            <w:r w:rsidRPr="004B2147">
              <w:rPr>
                <w:i/>
              </w:rPr>
              <w:t xml:space="preserve">Australian </w:t>
            </w:r>
            <w:r w:rsidR="004C38B9">
              <w:rPr>
                <w:i/>
              </w:rPr>
              <w:t xml:space="preserve">Curriculum </w:t>
            </w:r>
            <w:hyperlink r:id="rId16" w:history="1">
              <w:r w:rsidR="004C38B9" w:rsidRPr="0084277D">
                <w:rPr>
                  <w:rStyle w:val="Hyperlink"/>
                  <w:i/>
                </w:rPr>
                <w:t>v</w:t>
              </w:r>
              <w:r w:rsidR="00F04DBF">
                <w:rPr>
                  <w:rStyle w:val="Hyperlink"/>
                  <w:i/>
                </w:rPr>
                <w:t>5</w:t>
              </w:r>
              <w:r w:rsidR="00F94067" w:rsidRPr="0084277D">
                <w:rPr>
                  <w:rStyle w:val="Hyperlink"/>
                  <w:i/>
                </w:rPr>
                <w:t>.1</w:t>
              </w:r>
            </w:hyperlink>
            <w:r>
              <w:t>,</w:t>
            </w:r>
            <w:r w:rsidR="00EE3FF8" w:rsidRPr="00D968D0">
              <w:rPr>
                <w:highlight w:val="yellow"/>
              </w:rPr>
              <w:t xml:space="preserve"> </w:t>
            </w:r>
            <w:r w:rsidR="00EE3FF8">
              <w:rPr>
                <w:highlight w:val="yellow"/>
              </w:rPr>
              <w:br/>
            </w:r>
            <w:r w:rsidR="008B1CE6">
              <w:t>Year 7 Mathematics</w:t>
            </w:r>
            <w:r w:rsidR="00EE3FF8" w:rsidRPr="00027AF7">
              <w:t xml:space="preserve"> Australian Curriculum content and achievement standard </w:t>
            </w:r>
            <w:r>
              <w:t xml:space="preserve">ACARA — </w:t>
            </w:r>
            <w:r w:rsidRPr="007A7FF0">
              <w:t xml:space="preserve">Australian Curriculum, Assessment and </w:t>
            </w:r>
            <w:r w:rsidRPr="009F6910">
              <w:t>Reporting</w:t>
            </w:r>
            <w:r>
              <w:t xml:space="preserve"> Authority</w:t>
            </w:r>
            <w:r w:rsidR="007828A0">
              <w:t xml:space="preserve"> </w:t>
            </w:r>
            <w:r w:rsidR="00871287">
              <w:rPr>
                <w:sz w:val="21"/>
              </w:rPr>
              <w:br/>
            </w:r>
            <w:hyperlink r:id="rId17" w:history="1">
              <w:r w:rsidR="00871287" w:rsidRPr="00552D47">
                <w:rPr>
                  <w:rStyle w:val="Hyperlink"/>
                </w:rPr>
                <w:t>www.australiancurriculum.edu.au</w:t>
              </w:r>
            </w:hyperlink>
          </w:p>
          <w:p w:rsidR="000D2B55" w:rsidRDefault="008B1CE6" w:rsidP="00374361">
            <w:pPr>
              <w:pStyle w:val="Tabletext"/>
            </w:pPr>
            <w:r>
              <w:t>Year 7 Mathematics</w:t>
            </w:r>
            <w:r w:rsidR="00B96348" w:rsidRPr="00027AF7">
              <w:t xml:space="preserve"> standard elaborations</w:t>
            </w:r>
          </w:p>
          <w:p w:rsidR="00B0121E" w:rsidRPr="00B96348" w:rsidRDefault="00AB1898" w:rsidP="00B0121E">
            <w:pPr>
              <w:pStyle w:val="Tabletext"/>
            </w:pPr>
            <w:hyperlink r:id="rId18" w:history="1">
              <w:r w:rsidR="00130488">
                <w:rPr>
                  <w:rStyle w:val="Hyperlink"/>
                  <w:rFonts w:eastAsia="SimSun"/>
                </w:rPr>
                <w:t>www.qsa.qld.edu.au/yr7-maths-resources.html</w:t>
              </w:r>
            </w:hyperlink>
          </w:p>
        </w:tc>
      </w:tr>
      <w:tr w:rsidR="000D2B55" w:rsidRPr="00BC1996" w:rsidTr="00115C59">
        <w:trPr>
          <w:trHeight w:val="131"/>
        </w:trPr>
        <w:tc>
          <w:tcPr>
            <w:tcW w:w="2509" w:type="pct"/>
            <w:vMerge/>
            <w:shd w:val="clear" w:color="auto" w:fill="auto"/>
          </w:tcPr>
          <w:p w:rsidR="000D2B55" w:rsidRPr="008157BE" w:rsidRDefault="000D2B55" w:rsidP="00374361">
            <w:pPr>
              <w:pStyle w:val="Tabletext"/>
            </w:pPr>
          </w:p>
        </w:tc>
        <w:tc>
          <w:tcPr>
            <w:tcW w:w="2491" w:type="pct"/>
            <w:shd w:val="clear" w:color="auto" w:fill="CFE7E6"/>
          </w:tcPr>
          <w:p w:rsidR="000D2B55" w:rsidRPr="00B50EB0" w:rsidRDefault="000D2B55" w:rsidP="00374361">
            <w:pPr>
              <w:pStyle w:val="Tablesubhead"/>
            </w:pPr>
            <w:r w:rsidRPr="00B50EB0">
              <w:t>Connections</w:t>
            </w:r>
          </w:p>
        </w:tc>
      </w:tr>
      <w:tr w:rsidR="000D2B55" w:rsidRPr="00BC1996" w:rsidTr="00115C59">
        <w:trPr>
          <w:trHeight w:val="131"/>
        </w:trPr>
        <w:tc>
          <w:tcPr>
            <w:tcW w:w="2509" w:type="pct"/>
            <w:vMerge/>
            <w:shd w:val="clear" w:color="auto" w:fill="FFFFFF" w:themeFill="background1"/>
          </w:tcPr>
          <w:p w:rsidR="000D2B55" w:rsidRPr="008157BE" w:rsidRDefault="000D2B55" w:rsidP="00374361">
            <w:pPr>
              <w:pStyle w:val="Tabletext"/>
            </w:pPr>
          </w:p>
        </w:tc>
        <w:tc>
          <w:tcPr>
            <w:tcW w:w="2491" w:type="pct"/>
            <w:shd w:val="clear" w:color="auto" w:fill="FFFFFF" w:themeFill="background1"/>
          </w:tcPr>
          <w:p w:rsidR="000D2B55" w:rsidRPr="00863D9B" w:rsidRDefault="000D2B55" w:rsidP="00DE5019">
            <w:pPr>
              <w:pStyle w:val="Tabletext"/>
            </w:pPr>
            <w:r w:rsidRPr="008157BE">
              <w:t>This assessment can be used with the QSA Austral</w:t>
            </w:r>
            <w:r>
              <w:t>ian Curriculum resource titled</w:t>
            </w:r>
            <w:r>
              <w:br/>
            </w:r>
            <w:r w:rsidRPr="00907A41">
              <w:rPr>
                <w:i/>
              </w:rPr>
              <w:t>Year</w:t>
            </w:r>
            <w:r w:rsidR="00F04DBF">
              <w:t xml:space="preserve"> </w:t>
            </w:r>
            <w:r w:rsidR="008B1CE6" w:rsidRPr="008B1CE6">
              <w:t>7</w:t>
            </w:r>
            <w:r w:rsidRPr="00907A41">
              <w:rPr>
                <w:i/>
              </w:rPr>
              <w:t xml:space="preserve"> unit </w:t>
            </w:r>
            <w:r w:rsidRPr="00115C59">
              <w:rPr>
                <w:i/>
              </w:rPr>
              <w:t xml:space="preserve">overview </w:t>
            </w:r>
            <w:r w:rsidRPr="00115C59">
              <w:rPr>
                <w:rFonts w:cs="Arial"/>
                <w:i/>
              </w:rPr>
              <w:t>—</w:t>
            </w:r>
            <w:r w:rsidR="00907A41" w:rsidRPr="00115C59">
              <w:rPr>
                <w:i/>
              </w:rPr>
              <w:t xml:space="preserve"> </w:t>
            </w:r>
            <w:r w:rsidR="008B1CE6" w:rsidRPr="00115C59">
              <w:rPr>
                <w:i/>
              </w:rPr>
              <w:t>Mathematics</w:t>
            </w:r>
            <w:r w:rsidR="00907A41">
              <w:rPr>
                <w:i/>
              </w:rPr>
              <w:t xml:space="preserve"> exemplar </w:t>
            </w:r>
            <w:r w:rsidR="0093795E">
              <w:t>available at:</w:t>
            </w:r>
            <w:hyperlink r:id="rId19" w:history="1">
              <w:r w:rsidR="008B1CE6">
                <w:t xml:space="preserve"> </w:t>
              </w:r>
              <w:hyperlink r:id="rId20" w:history="1">
                <w:r w:rsidR="00DE5019">
                  <w:rPr>
                    <w:rStyle w:val="Hyperlink"/>
                    <w:rFonts w:eastAsia="SimSun"/>
                  </w:rPr>
                  <w:t>www.qsa.qld.edu.au/yr7-maths-resources.html</w:t>
                </w:r>
              </w:hyperlink>
              <w:r w:rsidR="005E6790" w:rsidRPr="005E6790">
                <w:rPr>
                  <w:rStyle w:val="Hyperlink"/>
                </w:rPr>
                <w:t xml:space="preserve"> </w:t>
              </w:r>
            </w:hyperlink>
            <w:r w:rsidR="001C546A">
              <w:t xml:space="preserve"> </w:t>
            </w:r>
          </w:p>
        </w:tc>
      </w:tr>
      <w:tr w:rsidR="000D2B55" w:rsidRPr="00BC1996" w:rsidTr="00115C59">
        <w:trPr>
          <w:trHeight w:val="131"/>
        </w:trPr>
        <w:tc>
          <w:tcPr>
            <w:tcW w:w="2509" w:type="pct"/>
            <w:vMerge/>
            <w:shd w:val="clear" w:color="auto" w:fill="auto"/>
          </w:tcPr>
          <w:p w:rsidR="000D2B55" w:rsidRPr="008157BE" w:rsidRDefault="000D2B55" w:rsidP="00374361">
            <w:pPr>
              <w:pStyle w:val="Tabletext"/>
            </w:pPr>
          </w:p>
        </w:tc>
        <w:tc>
          <w:tcPr>
            <w:tcW w:w="2491" w:type="pct"/>
            <w:shd w:val="clear" w:color="auto" w:fill="CFE7E6"/>
          </w:tcPr>
          <w:p w:rsidR="000D2B55" w:rsidRPr="008157BE" w:rsidRDefault="000D2B55" w:rsidP="00374361">
            <w:pPr>
              <w:pStyle w:val="Tablesubhead"/>
            </w:pPr>
            <w:r w:rsidRPr="00B50EB0">
              <w:t>Definitions</w:t>
            </w:r>
          </w:p>
        </w:tc>
      </w:tr>
      <w:tr w:rsidR="000D2B55" w:rsidRPr="00BC1996" w:rsidTr="00115C59">
        <w:trPr>
          <w:trHeight w:val="567"/>
        </w:trPr>
        <w:tc>
          <w:tcPr>
            <w:tcW w:w="2509" w:type="pct"/>
            <w:vMerge/>
            <w:shd w:val="clear" w:color="auto" w:fill="auto"/>
          </w:tcPr>
          <w:p w:rsidR="000D2B55" w:rsidRPr="008157BE" w:rsidRDefault="000D2B55" w:rsidP="00374361">
            <w:pPr>
              <w:pStyle w:val="Tabletext"/>
            </w:pPr>
          </w:p>
        </w:tc>
        <w:tc>
          <w:tcPr>
            <w:tcW w:w="2491" w:type="pct"/>
            <w:shd w:val="clear" w:color="auto" w:fill="auto"/>
          </w:tcPr>
          <w:p w:rsidR="00493356" w:rsidRPr="00863D9B" w:rsidRDefault="00033A02" w:rsidP="00115C59">
            <w:r w:rsidRPr="00863D9B">
              <w:t>Refer</w:t>
            </w:r>
            <w:r w:rsidR="00B315B6" w:rsidRPr="00863D9B">
              <w:t xml:space="preserve"> </w:t>
            </w:r>
            <w:r w:rsidRPr="00863D9B">
              <w:t>to</w:t>
            </w:r>
            <w:r w:rsidR="00B315B6" w:rsidRPr="00863D9B">
              <w:t xml:space="preserve"> </w:t>
            </w:r>
            <w:r w:rsidR="00652626" w:rsidRPr="00863D9B">
              <w:t>the</w:t>
            </w:r>
            <w:r w:rsidR="00115C59">
              <w:t xml:space="preserve"> Australian Curriculum definitions at </w:t>
            </w:r>
            <w:hyperlink r:id="rId21" w:history="1">
              <w:r w:rsidR="00115C59" w:rsidRPr="00552D47">
                <w:rPr>
                  <w:rStyle w:val="Hyperlink"/>
                </w:rPr>
                <w:t>www.australiancurriculum.edu.au</w:t>
              </w:r>
            </w:hyperlink>
            <w:r w:rsidR="00115C59">
              <w:br/>
              <w:t>and the Y</w:t>
            </w:r>
            <w:r w:rsidR="00D10A7F">
              <w:t>ea</w:t>
            </w:r>
            <w:r w:rsidR="00115C59">
              <w:t>r 7 Mathematics</w:t>
            </w:r>
            <w:r w:rsidR="00D10A7F">
              <w:t xml:space="preserve"> standards elaborations</w:t>
            </w:r>
            <w:r w:rsidR="00652626" w:rsidRPr="00863D9B">
              <w:t xml:space="preserve"> </w:t>
            </w:r>
            <w:r w:rsidR="00B315B6" w:rsidRPr="00863D9B">
              <w:t>glossary</w:t>
            </w:r>
            <w:r w:rsidR="00115C59">
              <w:t xml:space="preserve"> at </w:t>
            </w:r>
            <w:hyperlink r:id="rId22" w:history="1">
              <w:r w:rsidR="00DE5019">
                <w:rPr>
                  <w:rStyle w:val="Hyperlink"/>
                  <w:rFonts w:eastAsia="SimSun"/>
                </w:rPr>
                <w:t>www.qsa.qld.edu.au/yr7-maths-resources.html</w:t>
              </w:r>
            </w:hyperlink>
          </w:p>
        </w:tc>
      </w:tr>
      <w:tr w:rsidR="000D2B55" w:rsidRPr="00BC1996" w:rsidTr="00115C59">
        <w:trPr>
          <w:trHeight w:val="40"/>
        </w:trPr>
        <w:tc>
          <w:tcPr>
            <w:tcW w:w="5000" w:type="pct"/>
            <w:gridSpan w:val="2"/>
            <w:tcBorders>
              <w:bottom w:val="single" w:sz="4" w:space="0" w:color="00928F"/>
            </w:tcBorders>
            <w:shd w:val="clear" w:color="auto" w:fill="CFE7E6"/>
          </w:tcPr>
          <w:p w:rsidR="000D2B55" w:rsidRPr="008933A1" w:rsidRDefault="000D2B55" w:rsidP="00374361">
            <w:pPr>
              <w:pStyle w:val="Tablesubhead"/>
            </w:pPr>
            <w:r>
              <w:t>In this assessment</w:t>
            </w:r>
          </w:p>
        </w:tc>
      </w:tr>
      <w:tr w:rsidR="0093795E" w:rsidRPr="00BC1996" w:rsidTr="0093795E">
        <w:trPr>
          <w:trHeight w:val="1369"/>
        </w:trPr>
        <w:tc>
          <w:tcPr>
            <w:tcW w:w="5000" w:type="pct"/>
            <w:gridSpan w:val="2"/>
            <w:shd w:val="clear" w:color="auto" w:fill="FFFFFF" w:themeFill="background1"/>
          </w:tcPr>
          <w:p w:rsidR="0093795E" w:rsidRPr="00126BC8" w:rsidRDefault="0093795E" w:rsidP="0093795E">
            <w:pPr>
              <w:pStyle w:val="Tablebulletslevel1"/>
            </w:pPr>
            <w:r w:rsidRPr="00126BC8">
              <w:t>Teacher guidelines</w:t>
            </w:r>
          </w:p>
          <w:p w:rsidR="0093795E" w:rsidRPr="00126BC8" w:rsidRDefault="0093795E" w:rsidP="0093795E">
            <w:pPr>
              <w:pStyle w:val="Tablebulletslevel1"/>
            </w:pPr>
            <w:r>
              <w:t>Task-specific standards</w:t>
            </w:r>
            <w:r w:rsidRPr="00126BC8">
              <w:t xml:space="preserve"> — continua</w:t>
            </w:r>
          </w:p>
          <w:p w:rsidR="0093795E" w:rsidRPr="00126BC8" w:rsidRDefault="0093795E" w:rsidP="0093795E">
            <w:pPr>
              <w:pStyle w:val="Tablebulletslevel1"/>
            </w:pPr>
            <w:r>
              <w:t>Task-specific standards</w:t>
            </w:r>
            <w:r w:rsidRPr="00126BC8">
              <w:t xml:space="preserve"> — matrix</w:t>
            </w:r>
          </w:p>
          <w:p w:rsidR="00DE5019" w:rsidRDefault="0093795E" w:rsidP="00DE5019">
            <w:pPr>
              <w:pStyle w:val="Tablebulletslevel1"/>
            </w:pPr>
            <w:r>
              <w:t>Model response</w:t>
            </w:r>
            <w:r w:rsidR="00DE5019" w:rsidRPr="00126BC8">
              <w:t xml:space="preserve"> </w:t>
            </w:r>
          </w:p>
          <w:p w:rsidR="0093795E" w:rsidRPr="00126BC8" w:rsidRDefault="00DE5019" w:rsidP="00DE5019">
            <w:pPr>
              <w:pStyle w:val="Tablebulletslevel1"/>
            </w:pPr>
            <w:r>
              <w:t>Student booklet</w:t>
            </w:r>
          </w:p>
        </w:tc>
      </w:tr>
    </w:tbl>
    <w:p w:rsidR="000D2B55" w:rsidRDefault="000D2B55" w:rsidP="005B7A3F">
      <w:pPr>
        <w:pStyle w:val="Bulletslevel3"/>
        <w:numPr>
          <w:ilvl w:val="0"/>
          <w:numId w:val="0"/>
        </w:numPr>
        <w:rPr>
          <w:rFonts w:eastAsia="SimSun"/>
        </w:rPr>
      </w:pPr>
      <w:r>
        <w:br w:type="page"/>
      </w:r>
    </w:p>
    <w:p w:rsidR="00581229" w:rsidRPr="00581229" w:rsidRDefault="00581229" w:rsidP="00C575C3">
      <w:pPr>
        <w:pStyle w:val="Heading1"/>
      </w:pPr>
      <w:r w:rsidRPr="00581229">
        <w:lastRenderedPageBreak/>
        <w:t>Teacher guidelines</w:t>
      </w:r>
    </w:p>
    <w:p w:rsidR="00581229" w:rsidRPr="00581229" w:rsidRDefault="00581229" w:rsidP="00C575C3">
      <w:pPr>
        <w:pStyle w:val="Heading2"/>
      </w:pPr>
      <w:r w:rsidRPr="00581229">
        <w:t>Identify curriculum</w:t>
      </w:r>
    </w:p>
    <w:tbl>
      <w:tblPr>
        <w:tblW w:w="4882"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9068"/>
      </w:tblGrid>
      <w:tr w:rsidR="002077BC" w:rsidRPr="00581229" w:rsidTr="00E52F3C">
        <w:tc>
          <w:tcPr>
            <w:tcW w:w="5000" w:type="pct"/>
            <w:tcBorders>
              <w:top w:val="single" w:sz="4" w:space="0" w:color="00948D"/>
              <w:left w:val="single" w:sz="4" w:space="0" w:color="00948D"/>
              <w:bottom w:val="single" w:sz="4" w:space="0" w:color="00948D"/>
            </w:tcBorders>
            <w:shd w:val="clear" w:color="auto" w:fill="8CC8C9"/>
          </w:tcPr>
          <w:p w:rsidR="002077BC" w:rsidRPr="00581229" w:rsidRDefault="002077BC" w:rsidP="00394F17">
            <w:pPr>
              <w:pStyle w:val="Tablehead"/>
            </w:pPr>
            <w:r w:rsidRPr="00581229">
              <w:t>Content descriptions to be taught</w:t>
            </w:r>
            <w:r>
              <w:t xml:space="preserve"> </w:t>
            </w:r>
          </w:p>
        </w:tc>
      </w:tr>
      <w:tr w:rsidR="002077BC" w:rsidRPr="00581229" w:rsidTr="00E52F3C">
        <w:trPr>
          <w:trHeight w:val="185"/>
        </w:trPr>
        <w:tc>
          <w:tcPr>
            <w:tcW w:w="5000" w:type="pct"/>
            <w:tcBorders>
              <w:top w:val="single" w:sz="4" w:space="0" w:color="00948D"/>
            </w:tcBorders>
            <w:shd w:val="clear" w:color="auto" w:fill="CFE7E6"/>
          </w:tcPr>
          <w:p w:rsidR="002077BC" w:rsidRPr="00581229" w:rsidRDefault="002077BC" w:rsidP="00506708">
            <w:pPr>
              <w:pStyle w:val="Tablesubhead"/>
            </w:pPr>
            <w:r>
              <w:t>Number and algebra</w:t>
            </w:r>
          </w:p>
        </w:tc>
      </w:tr>
      <w:tr w:rsidR="002077BC" w:rsidRPr="004B2147" w:rsidTr="00E52F3C">
        <w:trPr>
          <w:trHeight w:val="1103"/>
        </w:trPr>
        <w:tc>
          <w:tcPr>
            <w:tcW w:w="5000" w:type="pct"/>
            <w:tcBorders>
              <w:bottom w:val="single" w:sz="4" w:space="0" w:color="00928F"/>
            </w:tcBorders>
            <w:shd w:val="clear" w:color="auto" w:fill="auto"/>
          </w:tcPr>
          <w:p w:rsidR="002077BC" w:rsidRPr="002C6890" w:rsidRDefault="002077BC" w:rsidP="00774078">
            <w:pPr>
              <w:pStyle w:val="Tablesubhead"/>
            </w:pPr>
            <w:r>
              <w:t>Real numbers</w:t>
            </w:r>
          </w:p>
          <w:p w:rsidR="002077BC" w:rsidRDefault="002077BC" w:rsidP="00AF07E3">
            <w:pPr>
              <w:pStyle w:val="Tablebulletslevel1"/>
            </w:pPr>
            <w:r>
              <w:t xml:space="preserve">Connect fractions, decimals and percentages and carry out simple conversions </w:t>
            </w:r>
            <w:hyperlink r:id="rId23" w:tooltip="View additional details of ACMNA157" w:history="1">
              <w:r>
                <w:rPr>
                  <w:rStyle w:val="Hyperlink"/>
                  <w:rFonts w:eastAsia="SimSun"/>
                </w:rPr>
                <w:t>ACMNA157</w:t>
              </w:r>
            </w:hyperlink>
          </w:p>
          <w:p w:rsidR="002077BC" w:rsidRDefault="002077BC" w:rsidP="00AF07E3">
            <w:pPr>
              <w:pStyle w:val="Tablebulletslevel1"/>
            </w:pPr>
            <w:r>
              <w:t xml:space="preserve">Recognise and solve problems involving simple ratios </w:t>
            </w:r>
            <w:hyperlink r:id="rId24" w:tooltip="View additional details of ACMNA173" w:history="1">
              <w:r>
                <w:rPr>
                  <w:rStyle w:val="Hyperlink"/>
                  <w:rFonts w:eastAsia="SimSun"/>
                </w:rPr>
                <w:t>ACMNA173</w:t>
              </w:r>
            </w:hyperlink>
          </w:p>
          <w:p w:rsidR="002077BC" w:rsidRPr="007E7998" w:rsidRDefault="002077BC" w:rsidP="00AF07E3">
            <w:pPr>
              <w:pStyle w:val="Tablebulletslevel1"/>
            </w:pPr>
            <w:r w:rsidRPr="007E7998">
              <w:t xml:space="preserve">Compare fractions using equivalence. Locate and represent positive and negative fractions and mixed numbers on a </w:t>
            </w:r>
            <w:hyperlink r:id="rId25" w:tooltip="Display the glossary entry for 'number line'" w:history="1">
              <w:r w:rsidRPr="007E7998">
                <w:rPr>
                  <w:rStyle w:val="Hyperlink"/>
                  <w:rFonts w:eastAsia="SimSun"/>
                </w:rPr>
                <w:t>number line</w:t>
              </w:r>
            </w:hyperlink>
            <w:r w:rsidRPr="007E7998">
              <w:t xml:space="preserve"> </w:t>
            </w:r>
            <w:hyperlink r:id="rId26" w:tooltip="View additional details of ACMNA152" w:history="1">
              <w:r w:rsidRPr="007E7998">
                <w:rPr>
                  <w:rStyle w:val="Hyperlink"/>
                  <w:rFonts w:eastAsia="SimSun"/>
                </w:rPr>
                <w:t>ACMNA152</w:t>
              </w:r>
            </w:hyperlink>
          </w:p>
          <w:p w:rsidR="002077BC" w:rsidRPr="007E7998" w:rsidRDefault="002077BC" w:rsidP="00AF07E3">
            <w:pPr>
              <w:pStyle w:val="Tablebulletslevel1"/>
            </w:pPr>
            <w:r w:rsidRPr="007E7998">
              <w:t xml:space="preserve">Solve problems involving addition and subtraction of fractions, including those with unrelated denominators </w:t>
            </w:r>
            <w:hyperlink r:id="rId27" w:tooltip="View additional details of ACMNA153" w:history="1">
              <w:r w:rsidRPr="007E7998">
                <w:rPr>
                  <w:rStyle w:val="Hyperlink"/>
                  <w:rFonts w:eastAsia="SimSun"/>
                </w:rPr>
                <w:t>ACMNA153</w:t>
              </w:r>
            </w:hyperlink>
          </w:p>
          <w:p w:rsidR="002077BC" w:rsidRPr="007E7998" w:rsidRDefault="002077BC" w:rsidP="00AF07E3">
            <w:pPr>
              <w:pStyle w:val="Tablebulletslevel1"/>
            </w:pPr>
            <w:r w:rsidRPr="007E7998">
              <w:t>Multiply and divide fractions and decimals using efficient written strategies and digital technologies</w:t>
            </w:r>
          </w:p>
          <w:p w:rsidR="002077BC" w:rsidRPr="00581229" w:rsidRDefault="002077BC" w:rsidP="00DE5019">
            <w:pPr>
              <w:pStyle w:val="Tablebulletslevel1"/>
            </w:pPr>
            <w:r w:rsidRPr="007E7998">
              <w:t xml:space="preserve">Find percentages of quantities and express one quantity as a </w:t>
            </w:r>
            <w:hyperlink r:id="rId28" w:tooltip="Display the glossary entry for 'percentage'" w:history="1">
              <w:r w:rsidRPr="007E7998">
                <w:rPr>
                  <w:rStyle w:val="Hyperlink"/>
                  <w:rFonts w:eastAsia="SimSun"/>
                </w:rPr>
                <w:t>percentage</w:t>
              </w:r>
            </w:hyperlink>
            <w:r w:rsidRPr="007E7998">
              <w:t xml:space="preserve"> of another, with and without</w:t>
            </w:r>
            <w:r w:rsidR="00DE5019">
              <w:t xml:space="preserve"> digital technologies</w:t>
            </w:r>
            <w:r w:rsidRPr="007E7998">
              <w:t xml:space="preserve"> </w:t>
            </w:r>
            <w:hyperlink r:id="rId29" w:tooltip="View additional details of ACMNA158" w:history="1">
              <w:r w:rsidRPr="007E7998">
                <w:rPr>
                  <w:rStyle w:val="Hyperlink"/>
                  <w:rFonts w:eastAsia="SimSun"/>
                </w:rPr>
                <w:t>ACMNA158</w:t>
              </w:r>
            </w:hyperlink>
          </w:p>
        </w:tc>
      </w:tr>
      <w:tr w:rsidR="002077BC" w:rsidRPr="00581229" w:rsidTr="0093795E">
        <w:trPr>
          <w:trHeight w:val="1103"/>
        </w:trPr>
        <w:tc>
          <w:tcPr>
            <w:tcW w:w="5000" w:type="pct"/>
            <w:tcBorders>
              <w:top w:val="single" w:sz="4" w:space="0" w:color="00928F"/>
              <w:left w:val="single" w:sz="4" w:space="0" w:color="00928F"/>
              <w:bottom w:val="single" w:sz="4" w:space="0" w:color="00928F"/>
              <w:right w:val="single" w:sz="4" w:space="0" w:color="00928F"/>
            </w:tcBorders>
            <w:shd w:val="clear" w:color="auto" w:fill="CFE7E6"/>
          </w:tcPr>
          <w:p w:rsidR="0093795E" w:rsidRDefault="002077BC" w:rsidP="0093795E">
            <w:pPr>
              <w:pStyle w:val="Tablesubhead"/>
            </w:pPr>
            <w:r w:rsidRPr="00581229">
              <w:t xml:space="preserve">General capabilities </w:t>
            </w:r>
            <w:r>
              <w:t xml:space="preserve">(GCs) </w:t>
            </w:r>
            <w:r w:rsidRPr="00581229">
              <w:t>and cross</w:t>
            </w:r>
            <w:r w:rsidRPr="00581229">
              <w:noBreakHyphen/>
              <w:t>curriculum priorities</w:t>
            </w:r>
            <w:r>
              <w:t xml:space="preserve"> (CCPs)</w:t>
            </w:r>
          </w:p>
          <w:p w:rsidR="002077BC" w:rsidRPr="00581229" w:rsidRDefault="002077BC" w:rsidP="0093795E">
            <w:pPr>
              <w:pStyle w:val="Tabletext"/>
            </w:pPr>
            <w:r w:rsidRPr="002077BC">
              <w:rPr>
                <w:rStyle w:val="TabletextChar"/>
              </w:rPr>
              <w:t xml:space="preserve">This assessment may provide opportunities to engage with the following GCs and CCPs. Refer also to the Resources tab on the </w:t>
            </w:r>
            <w:r w:rsidR="0093795E">
              <w:rPr>
                <w:rStyle w:val="InstructionsChar"/>
                <w:szCs w:val="21"/>
                <w:shd w:val="clear" w:color="auto" w:fill="auto"/>
                <w:lang w:eastAsia="en-AU"/>
              </w:rPr>
              <w:t>Mathematics</w:t>
            </w:r>
            <w:r w:rsidRPr="002077BC">
              <w:rPr>
                <w:rStyle w:val="TabletextChar"/>
              </w:rPr>
              <w:t xml:space="preserve"> curriculum hub: </w:t>
            </w:r>
            <w:hyperlink r:id="rId30" w:history="1">
              <w:r w:rsidR="00DE5019">
                <w:rPr>
                  <w:rStyle w:val="Hyperlink"/>
                  <w:rFonts w:eastAsia="SimSun"/>
                </w:rPr>
                <w:t>www.qsa.qld.edu.au/yr7-maths-resources.html</w:t>
              </w:r>
            </w:hyperlink>
          </w:p>
        </w:tc>
      </w:tr>
      <w:tr w:rsidR="0093795E" w:rsidRPr="00DC0B7F" w:rsidTr="0093795E">
        <w:trPr>
          <w:trHeight w:val="1427"/>
        </w:trPr>
        <w:tc>
          <w:tcPr>
            <w:tcW w:w="5000" w:type="pct"/>
          </w:tcPr>
          <w:p w:rsidR="0093795E" w:rsidRPr="00DC0B7F" w:rsidRDefault="0093795E" w:rsidP="00F41E00">
            <w:pPr>
              <w:tabs>
                <w:tab w:val="left" w:pos="510"/>
              </w:tabs>
              <w:spacing w:before="0" w:after="40" w:line="220" w:lineRule="atLeast"/>
              <w:ind w:left="510" w:hanging="510"/>
              <w:rPr>
                <w:sz w:val="20"/>
              </w:rPr>
            </w:pPr>
            <w:r w:rsidRPr="00581229">
              <w:rPr>
                <w:noProof/>
                <w:sz w:val="17"/>
                <w:szCs w:val="17"/>
              </w:rPr>
              <w:drawing>
                <wp:inline distT="0" distB="0" distL="0" distR="0" wp14:anchorId="67AFADA6" wp14:editId="59A5AA25">
                  <wp:extent cx="190500" cy="190500"/>
                  <wp:effectExtent l="0" t="0" r="12700" b="12700"/>
                  <wp:docPr id="43"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93795E" w:rsidRPr="00DC0B7F" w:rsidRDefault="0093795E" w:rsidP="00F41E00">
            <w:pPr>
              <w:tabs>
                <w:tab w:val="left" w:pos="510"/>
              </w:tabs>
              <w:spacing w:before="0" w:after="40" w:line="220" w:lineRule="atLeast"/>
              <w:ind w:left="510" w:hanging="510"/>
              <w:rPr>
                <w:sz w:val="20"/>
              </w:rPr>
            </w:pPr>
            <w:r w:rsidRPr="00581229">
              <w:rPr>
                <w:noProof/>
                <w:sz w:val="17"/>
                <w:szCs w:val="17"/>
              </w:rPr>
              <w:drawing>
                <wp:inline distT="0" distB="0" distL="0" distR="0" wp14:anchorId="437D3C69" wp14:editId="3683625C">
                  <wp:extent cx="190500" cy="190500"/>
                  <wp:effectExtent l="0" t="0" r="12700" b="12700"/>
                  <wp:docPr id="44"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Numeracy</w:t>
            </w:r>
          </w:p>
          <w:p w:rsidR="0093795E" w:rsidRPr="00DC0B7F" w:rsidRDefault="0093795E" w:rsidP="00F41E00">
            <w:pPr>
              <w:tabs>
                <w:tab w:val="left" w:pos="510"/>
              </w:tabs>
              <w:spacing w:before="40" w:after="40" w:line="220" w:lineRule="atLeast"/>
              <w:ind w:left="510" w:hanging="510"/>
              <w:rPr>
                <w:b/>
                <w:sz w:val="20"/>
              </w:rPr>
            </w:pPr>
            <w:r w:rsidRPr="00581229">
              <w:rPr>
                <w:noProof/>
                <w:sz w:val="17"/>
                <w:szCs w:val="17"/>
              </w:rPr>
              <w:drawing>
                <wp:inline distT="0" distB="0" distL="0" distR="0" wp14:anchorId="69613192" wp14:editId="50B79930">
                  <wp:extent cx="191135" cy="191135"/>
                  <wp:effectExtent l="0" t="0" r="0" b="0"/>
                  <wp:docPr id="45"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ICT capability</w:t>
            </w:r>
          </w:p>
          <w:p w:rsidR="0093795E" w:rsidRPr="00DC0B7F" w:rsidRDefault="0093795E" w:rsidP="00F41E00">
            <w:pPr>
              <w:tabs>
                <w:tab w:val="left" w:pos="510"/>
              </w:tabs>
              <w:spacing w:before="40" w:after="40" w:line="220" w:lineRule="atLeast"/>
              <w:ind w:left="510" w:hanging="510"/>
              <w:rPr>
                <w:sz w:val="20"/>
              </w:rPr>
            </w:pPr>
            <w:r w:rsidRPr="00581229">
              <w:rPr>
                <w:i/>
                <w:noProof/>
                <w:sz w:val="17"/>
                <w:szCs w:val="17"/>
              </w:rPr>
              <w:drawing>
                <wp:inline distT="0" distB="0" distL="0" distR="0" wp14:anchorId="2E7C968A" wp14:editId="7CA7E646">
                  <wp:extent cx="190500" cy="190500"/>
                  <wp:effectExtent l="0" t="0" r="12700" b="12700"/>
                  <wp:docPr id="46"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tc>
      </w:tr>
    </w:tbl>
    <w:p w:rsidR="00E52F3C" w:rsidRDefault="00E52F3C">
      <w:r>
        <w:rPr>
          <w:b/>
        </w:rPr>
        <w:br w:type="page"/>
      </w:r>
    </w:p>
    <w:tbl>
      <w:tblPr>
        <w:tblW w:w="4915"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9129"/>
      </w:tblGrid>
      <w:tr w:rsidR="002077BC" w:rsidRPr="00581229" w:rsidTr="002077BC">
        <w:tc>
          <w:tcPr>
            <w:tcW w:w="5000" w:type="pct"/>
            <w:shd w:val="clear" w:color="auto" w:fill="CFE7E6"/>
          </w:tcPr>
          <w:p w:rsidR="002077BC" w:rsidRPr="00581229" w:rsidRDefault="002077BC" w:rsidP="00F41E00">
            <w:pPr>
              <w:pStyle w:val="Tablesubhead"/>
            </w:pPr>
            <w:r w:rsidRPr="00581229">
              <w:lastRenderedPageBreak/>
              <w:t>Achievement standard</w:t>
            </w:r>
            <w:r>
              <w:br/>
            </w:r>
            <w:r w:rsidRPr="00774078">
              <w:rPr>
                <w:b w:val="0"/>
              </w:rPr>
              <w:t>This assessment provides opportunities for students to demonstrate the following highlighted aspects</w:t>
            </w:r>
            <w:r>
              <w:rPr>
                <w:b w:val="0"/>
              </w:rPr>
              <w:t>.</w:t>
            </w:r>
          </w:p>
        </w:tc>
      </w:tr>
      <w:tr w:rsidR="002077BC" w:rsidRPr="00AF07E3" w:rsidTr="002077BC">
        <w:tc>
          <w:tcPr>
            <w:tcW w:w="5000" w:type="pct"/>
          </w:tcPr>
          <w:p w:rsidR="002077BC" w:rsidRPr="002077BC" w:rsidRDefault="002077BC" w:rsidP="002077BC">
            <w:pPr>
              <w:rPr>
                <w:color w:val="595959" w:themeColor="text1" w:themeTint="A6"/>
              </w:rPr>
            </w:pPr>
            <w:r w:rsidRPr="002077BC">
              <w:rPr>
                <w:color w:val="595959" w:themeColor="text1" w:themeTint="A6"/>
              </w:rPr>
              <w:t xml:space="preserve">By the end of Year 7, students </w:t>
            </w:r>
            <w:hyperlink r:id="rId35" w:tooltip="Display the glossary entry for 'solve'" w:history="1">
              <w:r w:rsidRPr="0093795E">
                <w:rPr>
                  <w:rStyle w:val="QSAShading"/>
                </w:rPr>
                <w:t>solve</w:t>
              </w:r>
            </w:hyperlink>
            <w:r w:rsidRPr="0093795E">
              <w:rPr>
                <w:rStyle w:val="QSAShading"/>
              </w:rPr>
              <w:t xml:space="preserve"> problems involving the comparison, addition and subtraction of integers</w:t>
            </w:r>
            <w:r w:rsidRPr="002077BC">
              <w:rPr>
                <w:color w:val="595959" w:themeColor="text1" w:themeTint="A6"/>
              </w:rPr>
              <w:t xml:space="preserve">. They make the connections between whole numbers and index notation and the relationship between perfect squares and square roots. </w:t>
            </w:r>
            <w:r w:rsidRPr="0093795E">
              <w:rPr>
                <w:rStyle w:val="QSAShading"/>
              </w:rPr>
              <w:t xml:space="preserve">They </w:t>
            </w:r>
            <w:hyperlink r:id="rId36" w:tooltip="Display the glossary entry for 'solve'" w:history="1">
              <w:r w:rsidRPr="0093795E">
                <w:rPr>
                  <w:rStyle w:val="QSAShading"/>
                </w:rPr>
                <w:t>solve</w:t>
              </w:r>
            </w:hyperlink>
            <w:r w:rsidRPr="0093795E">
              <w:rPr>
                <w:rStyle w:val="QSAShading"/>
              </w:rPr>
              <w:t xml:space="preserve"> problems involving percentages</w:t>
            </w:r>
            <w:r w:rsidRPr="002077BC">
              <w:rPr>
                <w:color w:val="595959" w:themeColor="text1" w:themeTint="A6"/>
              </w:rPr>
              <w:t xml:space="preserve"> and all four operations with fractions and decimals. They </w:t>
            </w:r>
            <w:hyperlink r:id="rId37" w:tooltip="Display the glossary entry for 'compare'" w:history="1">
              <w:r w:rsidRPr="002077BC">
                <w:rPr>
                  <w:rStyle w:val="Hyperlink"/>
                  <w:color w:val="595959" w:themeColor="text1" w:themeTint="A6"/>
                </w:rPr>
                <w:t>compare</w:t>
              </w:r>
            </w:hyperlink>
            <w:r w:rsidRPr="002077BC">
              <w:rPr>
                <w:color w:val="595959" w:themeColor="text1" w:themeTint="A6"/>
              </w:rPr>
              <w:t xml:space="preserve"> the cost of items to make financial decisions. Students </w:t>
            </w:r>
            <w:hyperlink r:id="rId38" w:tooltip="Display the glossary entry for 'represent'" w:history="1">
              <w:r w:rsidRPr="002077BC">
                <w:rPr>
                  <w:rStyle w:val="Hyperlink"/>
                  <w:color w:val="595959" w:themeColor="text1" w:themeTint="A6"/>
                </w:rPr>
                <w:t>represent</w:t>
              </w:r>
            </w:hyperlink>
            <w:r w:rsidRPr="002077BC">
              <w:rPr>
                <w:color w:val="595959" w:themeColor="text1" w:themeTint="A6"/>
              </w:rPr>
              <w:t xml:space="preserve"> numbers using variables. They connect the laws and properties for numbers to algebra. They interpret simple linear representations and model authentic information. Students </w:t>
            </w:r>
            <w:hyperlink r:id="rId39" w:tooltip="Display the glossary entry for 'describe'" w:history="1">
              <w:r w:rsidRPr="002077BC">
                <w:rPr>
                  <w:rStyle w:val="Hyperlink"/>
                  <w:color w:val="595959" w:themeColor="text1" w:themeTint="A6"/>
                </w:rPr>
                <w:t>describe</w:t>
              </w:r>
            </w:hyperlink>
            <w:r w:rsidRPr="002077BC">
              <w:rPr>
                <w:color w:val="595959" w:themeColor="text1" w:themeTint="A6"/>
              </w:rPr>
              <w:t xml:space="preserve"> different views of three-dimensional objects. They </w:t>
            </w:r>
            <w:hyperlink r:id="rId40" w:tooltip="Display the glossary entry for 'represent'" w:history="1">
              <w:r w:rsidRPr="002077BC">
                <w:rPr>
                  <w:rStyle w:val="Hyperlink"/>
                  <w:color w:val="595959" w:themeColor="text1" w:themeTint="A6"/>
                </w:rPr>
                <w:t>represent</w:t>
              </w:r>
            </w:hyperlink>
            <w:r w:rsidRPr="002077BC">
              <w:rPr>
                <w:color w:val="595959" w:themeColor="text1" w:themeTint="A6"/>
              </w:rPr>
              <w:t xml:space="preserve"> transformations in the Cartesian plane. They </w:t>
            </w:r>
            <w:hyperlink r:id="rId41" w:tooltip="Display the glossary entry for 'solve'" w:history="1">
              <w:r w:rsidRPr="002077BC">
                <w:rPr>
                  <w:rStyle w:val="Hyperlink"/>
                  <w:color w:val="595959" w:themeColor="text1" w:themeTint="A6"/>
                </w:rPr>
                <w:t>solve</w:t>
              </w:r>
            </w:hyperlink>
            <w:r w:rsidRPr="002077BC">
              <w:rPr>
                <w:color w:val="595959" w:themeColor="text1" w:themeTint="A6"/>
              </w:rPr>
              <w:t xml:space="preserve"> simple numerical problems involving angles formed by a transversal crossing two parallel lines. Students </w:t>
            </w:r>
            <w:hyperlink r:id="rId42" w:tooltip="Display the glossary entry for 'identify'" w:history="1">
              <w:r w:rsidRPr="002077BC">
                <w:rPr>
                  <w:rStyle w:val="Hyperlink"/>
                  <w:color w:val="595959" w:themeColor="text1" w:themeTint="A6"/>
                </w:rPr>
                <w:t>identify</w:t>
              </w:r>
            </w:hyperlink>
            <w:r w:rsidRPr="002077BC">
              <w:rPr>
                <w:color w:val="595959" w:themeColor="text1" w:themeTint="A6"/>
              </w:rPr>
              <w:t xml:space="preserve"> issues involving the collection of continuous data. They </w:t>
            </w:r>
            <w:hyperlink r:id="rId43" w:tooltip="Display the glossary entry for 'describe'" w:history="1">
              <w:r w:rsidRPr="002077BC">
                <w:rPr>
                  <w:rStyle w:val="Hyperlink"/>
                  <w:color w:val="595959" w:themeColor="text1" w:themeTint="A6"/>
                </w:rPr>
                <w:t>describe</w:t>
              </w:r>
            </w:hyperlink>
            <w:r w:rsidRPr="002077BC">
              <w:rPr>
                <w:color w:val="595959" w:themeColor="text1" w:themeTint="A6"/>
              </w:rPr>
              <w:t xml:space="preserve"> the relationship between the median and mean in data displays.</w:t>
            </w:r>
          </w:p>
          <w:p w:rsidR="002077BC" w:rsidRPr="00AF07E3" w:rsidRDefault="002077BC" w:rsidP="00DE5019">
            <w:pPr>
              <w:rPr>
                <w:rFonts w:eastAsia="SimSun" w:cs="Arial"/>
                <w:b/>
                <w:color w:val="00928F"/>
                <w:kern w:val="28"/>
                <w:szCs w:val="40"/>
                <w:lang w:eastAsia="en-US"/>
              </w:rPr>
            </w:pPr>
            <w:r w:rsidRPr="002077BC">
              <w:rPr>
                <w:rStyle w:val="QSAShading"/>
              </w:rPr>
              <w:t>Students use fractions</w:t>
            </w:r>
            <w:r w:rsidRPr="0093795E">
              <w:rPr>
                <w:rStyle w:val="TabletextChar"/>
              </w:rPr>
              <w:t xml:space="preserve">, decimals </w:t>
            </w:r>
            <w:r w:rsidRPr="002077BC">
              <w:rPr>
                <w:rStyle w:val="QSAShading"/>
              </w:rPr>
              <w:t>and percentages, and their equivalences</w:t>
            </w:r>
            <w:r w:rsidRPr="002077BC">
              <w:rPr>
                <w:color w:val="595959" w:themeColor="text1" w:themeTint="A6"/>
              </w:rPr>
              <w:t xml:space="preserve">. </w:t>
            </w:r>
            <w:r w:rsidRPr="0093795E">
              <w:rPr>
                <w:rStyle w:val="QSAShading"/>
              </w:rPr>
              <w:t>They express one quantity as a fraction or percentage of another.</w:t>
            </w:r>
            <w:r w:rsidRPr="002077BC">
              <w:rPr>
                <w:color w:val="595959" w:themeColor="text1" w:themeTint="A6"/>
              </w:rPr>
              <w:t xml:space="preserve"> Students </w:t>
            </w:r>
            <w:hyperlink r:id="rId44" w:tooltip="Display the glossary entry for 'solve'" w:history="1">
              <w:r w:rsidRPr="002077BC">
                <w:rPr>
                  <w:rStyle w:val="Hyperlink"/>
                  <w:color w:val="595959" w:themeColor="text1" w:themeTint="A6"/>
                </w:rPr>
                <w:t>solve</w:t>
              </w:r>
            </w:hyperlink>
            <w:r w:rsidRPr="002077BC">
              <w:rPr>
                <w:color w:val="595959" w:themeColor="text1" w:themeTint="A6"/>
              </w:rPr>
              <w:t xml:space="preserve"> simple linear equations and </w:t>
            </w:r>
            <w:hyperlink r:id="rId45" w:tooltip="Display the glossary entry for 'evaluate'" w:history="1">
              <w:r w:rsidRPr="002077BC">
                <w:rPr>
                  <w:rStyle w:val="Hyperlink"/>
                  <w:color w:val="595959" w:themeColor="text1" w:themeTint="A6"/>
                </w:rPr>
                <w:t>evaluate</w:t>
              </w:r>
            </w:hyperlink>
            <w:r w:rsidRPr="002077BC">
              <w:rPr>
                <w:color w:val="595959" w:themeColor="text1" w:themeTint="A6"/>
              </w:rPr>
              <w:t xml:space="preserve"> algebraic expressions after numerical substitution. They assign ordered pairs to given points on the Cartesian plane. Students use formulas for the area and perimeter of rectangles and calculate volumes of rectangular prisms. Students classify triangles and quadrilaterals. They name the types of angles formed by a transversal crossing parallel line. Students determine the sample space for simple experiments with equally likely outcomes and assign probabilities to those outcomes. They calculate mean, mode, median and range for data sets. They construct stem-and-leaf plots and dot-plots.</w:t>
            </w:r>
          </w:p>
        </w:tc>
      </w:tr>
      <w:tr w:rsidR="002077BC" w:rsidRPr="00581229" w:rsidTr="002077BC">
        <w:trPr>
          <w:trHeight w:val="93"/>
        </w:trPr>
        <w:tc>
          <w:tcPr>
            <w:tcW w:w="5000" w:type="pct"/>
          </w:tcPr>
          <w:p w:rsidR="002077BC" w:rsidRPr="00581229" w:rsidRDefault="002077BC" w:rsidP="00F04DBF">
            <w:pPr>
              <w:pStyle w:val="ACversionline"/>
            </w:pPr>
            <w:r w:rsidRPr="00581229">
              <w:t>Source: ACAR</w:t>
            </w:r>
            <w:r>
              <w:t xml:space="preserve">A, The Australian Curriculum </w:t>
            </w:r>
            <w:r w:rsidR="00F04DBF">
              <w:t>v5</w:t>
            </w:r>
            <w:r>
              <w:t>.1</w:t>
            </w:r>
            <w:r w:rsidRPr="00581229">
              <w:t xml:space="preserve">, </w:t>
            </w:r>
            <w:hyperlink r:id="rId46" w:history="1">
              <w:r w:rsidRPr="00027AF7">
                <w:rPr>
                  <w:rStyle w:val="Hyperlink"/>
                </w:rPr>
                <w:t>www.australiancurriculum.edu.au</w:t>
              </w:r>
            </w:hyperlink>
          </w:p>
        </w:tc>
      </w:tr>
    </w:tbl>
    <w:p w:rsidR="00581229" w:rsidRPr="006431BA" w:rsidRDefault="00581229" w:rsidP="00F858B5">
      <w:pPr>
        <w:keepNext/>
        <w:keepLines/>
        <w:numPr>
          <w:ilvl w:val="1"/>
          <w:numId w:val="0"/>
        </w:numPr>
        <w:spacing w:before="360" w:line="360" w:lineRule="atLeast"/>
        <w:outlineLvl w:val="1"/>
        <w:rPr>
          <w:rFonts w:eastAsia="SimSun" w:cs="Arial"/>
          <w:b/>
          <w:color w:val="00948D"/>
          <w:kern w:val="28"/>
          <w:sz w:val="32"/>
          <w:szCs w:val="40"/>
        </w:rPr>
      </w:pPr>
      <w:r w:rsidRPr="006431BA">
        <w:rPr>
          <w:rFonts w:eastAsia="SimSun" w:cs="Arial"/>
          <w:b/>
          <w:color w:val="00928F"/>
          <w:kern w:val="28"/>
          <w:sz w:val="32"/>
          <w:szCs w:val="40"/>
        </w:rPr>
        <w:t>Sequence learning</w:t>
      </w:r>
    </w:p>
    <w:tbl>
      <w:tblPr>
        <w:tblStyle w:val="1QSAtablestyle"/>
        <w:tblW w:w="4900" w:type="pct"/>
        <w:tblLook w:val="01E0" w:firstRow="1" w:lastRow="1" w:firstColumn="1" w:lastColumn="1" w:noHBand="0" w:noVBand="0"/>
      </w:tblPr>
      <w:tblGrid>
        <w:gridCol w:w="9101"/>
      </w:tblGrid>
      <w:tr w:rsidR="00581229" w:rsidRPr="00581229" w:rsidTr="00126BC8">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581229" w:rsidRPr="00394F17" w:rsidRDefault="00581229" w:rsidP="00394F17">
            <w:pPr>
              <w:pStyle w:val="Tablehead"/>
              <w:rPr>
                <w:b/>
              </w:rPr>
            </w:pPr>
            <w:r w:rsidRPr="00394F17">
              <w:rPr>
                <w:b/>
              </w:rPr>
              <w:t>Suggested learning experiences</w:t>
            </w:r>
          </w:p>
        </w:tc>
      </w:tr>
      <w:tr w:rsidR="00581229" w:rsidRPr="00581229" w:rsidTr="004500FF">
        <w:tc>
          <w:tcPr>
            <w:tcW w:w="5000" w:type="pct"/>
            <w:tcBorders>
              <w:bottom w:val="single" w:sz="4" w:space="0" w:color="00928F"/>
            </w:tcBorders>
          </w:tcPr>
          <w:p w:rsidR="00581229" w:rsidRPr="00581229" w:rsidRDefault="00581229" w:rsidP="003A3B32">
            <w:pPr>
              <w:pStyle w:val="Tabletext"/>
              <w:keepNext/>
              <w:keepLines/>
              <w:rPr>
                <w:sz w:val="21"/>
              </w:rPr>
            </w:pPr>
            <w:r w:rsidRPr="00581229">
              <w:t xml:space="preserve">This assessment leads on from the learning experiences outlined in the QSA’s </w:t>
            </w:r>
            <w:r w:rsidR="00E52F3C">
              <w:t>Year 7 Mathematics</w:t>
            </w:r>
            <w:r w:rsidRPr="00581229">
              <w:t xml:space="preserve"> unit overview. The knowledge, understanding and skills developed in the exemplar unit will prepare students to engage in this assessment:  </w:t>
            </w:r>
          </w:p>
          <w:p w:rsidR="00322B93" w:rsidRPr="00581229" w:rsidRDefault="00F25591" w:rsidP="00394F17">
            <w:pPr>
              <w:pStyle w:val="Tablebulletslevel1"/>
              <w:keepNext/>
              <w:keepLines/>
            </w:pPr>
            <w:r>
              <w:rPr>
                <w:lang w:eastAsia="en-US"/>
              </w:rPr>
              <w:t xml:space="preserve">See unit overview </w:t>
            </w:r>
            <w:r w:rsidR="00394F17">
              <w:rPr>
                <w:lang w:eastAsia="en-US"/>
              </w:rPr>
              <w:t>—</w:t>
            </w:r>
            <w:r w:rsidR="00E52F3C">
              <w:rPr>
                <w:lang w:eastAsia="en-US"/>
              </w:rPr>
              <w:t xml:space="preserve"> Mathematics</w:t>
            </w:r>
            <w:r w:rsidR="000F76B4">
              <w:rPr>
                <w:lang w:eastAsia="en-US"/>
              </w:rPr>
              <w:t xml:space="preserve"> </w:t>
            </w:r>
            <w:r w:rsidR="00581229" w:rsidRPr="00581229">
              <w:rPr>
                <w:lang w:eastAsia="en-US"/>
              </w:rPr>
              <w:t xml:space="preserve">exemplar </w:t>
            </w:r>
            <w:r w:rsidR="00E52F3C">
              <w:rPr>
                <w:lang w:eastAsia="en-US"/>
              </w:rPr>
              <w:t xml:space="preserve"> </w:t>
            </w:r>
            <w:hyperlink r:id="rId47" w:history="1">
              <w:r w:rsidR="00077236">
                <w:rPr>
                  <w:rStyle w:val="Hyperlink"/>
                  <w:rFonts w:eastAsia="SimSun"/>
                </w:rPr>
                <w:t>www.qsa.qld.edu.au/yr7-maths-resources.html</w:t>
              </w:r>
            </w:hyperlink>
            <w:r w:rsidR="00581229" w:rsidRPr="00027AF7">
              <w:rPr>
                <w:lang w:eastAsia="en-US"/>
              </w:rPr>
              <w:t xml:space="preserve"> </w:t>
            </w:r>
          </w:p>
        </w:tc>
      </w:tr>
      <w:tr w:rsidR="00581229" w:rsidRPr="00581229" w:rsidTr="00126BC8">
        <w:trPr>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581229" w:rsidRPr="00581229" w:rsidTr="004500FF">
        <w:tc>
          <w:tcPr>
            <w:tcW w:w="5000" w:type="pct"/>
            <w:tcBorders>
              <w:bottom w:val="single" w:sz="4" w:space="0" w:color="00928F"/>
            </w:tcBorders>
          </w:tcPr>
          <w:p w:rsidR="00FB7AF4" w:rsidRPr="00145391" w:rsidRDefault="00FB7AF4" w:rsidP="00FB7AF4">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FB7AF4" w:rsidRDefault="00FB7AF4" w:rsidP="00FB7AF4">
            <w:pPr>
              <w:pStyle w:val="Tabletext"/>
            </w:pPr>
            <w:r w:rsidRPr="00145391">
              <w:t>For information to support students with diverse learning needs</w:t>
            </w:r>
            <w:r>
              <w:t>,</w:t>
            </w:r>
            <w:r w:rsidRPr="00145391">
              <w:t xml:space="preserve"> see:</w:t>
            </w:r>
          </w:p>
          <w:p w:rsidR="00FB7AF4" w:rsidRDefault="00FB7AF4" w:rsidP="00FB7AF4">
            <w:pPr>
              <w:pStyle w:val="Tablebulletslevel1"/>
              <w:numPr>
                <w:ilvl w:val="0"/>
                <w:numId w:val="4"/>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48" w:history="1">
              <w:r w:rsidRPr="00384F3B">
                <w:rPr>
                  <w:rStyle w:val="Hyperlink"/>
                </w:rPr>
                <w:t>www.qsa.qld.edu.au/10188.html</w:t>
              </w:r>
            </w:hyperlink>
          </w:p>
          <w:p w:rsidR="00FB7AF4" w:rsidRDefault="00FB7AF4" w:rsidP="00FB7AF4">
            <w:pPr>
              <w:pStyle w:val="Tablebulletslevel1"/>
              <w:numPr>
                <w:ilvl w:val="0"/>
                <w:numId w:val="4"/>
              </w:numPr>
            </w:pPr>
            <w:r w:rsidRPr="003A3B32">
              <w:t>Australian Curriculum Student Diversity</w:t>
            </w:r>
            <w:r w:rsidRPr="00322B93">
              <w:t xml:space="preserve"> </w:t>
            </w:r>
            <w:hyperlink r:id="rId49" w:history="1">
              <w:r w:rsidRPr="00240CA5">
                <w:rPr>
                  <w:rStyle w:val="Hyperlink"/>
                </w:rPr>
                <w:t>www.australiancurriculum.edu.au/StudentDiversity/Overview</w:t>
              </w:r>
            </w:hyperlink>
          </w:p>
          <w:p w:rsidR="00FB7AF4" w:rsidRDefault="00FB7AF4" w:rsidP="00D67FBE">
            <w:pPr>
              <w:pStyle w:val="Tablebulletslevel1"/>
              <w:rPr>
                <w:rStyle w:val="Hyperlink"/>
              </w:rPr>
            </w:pPr>
            <w:r>
              <w:t xml:space="preserve">The </w:t>
            </w:r>
            <w:r w:rsidRPr="00D7560B">
              <w:rPr>
                <w:i/>
              </w:rPr>
              <w:t>Melbourne Declaration</w:t>
            </w:r>
            <w:r>
              <w:t xml:space="preserve"> </w:t>
            </w:r>
            <w:r w:rsidR="00D67FBE" w:rsidRPr="00D67FBE">
              <w:rPr>
                <w:i/>
              </w:rPr>
              <w:t xml:space="preserve">on Educational Goals for Young Australians </w:t>
            </w:r>
            <w:hyperlink r:id="rId50" w:history="1">
              <w:r w:rsidRPr="00875983">
                <w:rPr>
                  <w:rStyle w:val="Hyperlink"/>
                </w:rPr>
                <w:t>www.mceecdya.edu.au/mceecdya/melbourne_declaration,25979.html</w:t>
              </w:r>
            </w:hyperlink>
          </w:p>
          <w:p w:rsidR="002E33DE" w:rsidRPr="002E33DE" w:rsidRDefault="00FB7AF4" w:rsidP="00FB7AF4">
            <w:pPr>
              <w:pStyle w:val="Tablebulletslevel1"/>
            </w:pPr>
            <w:r w:rsidRPr="00581229">
              <w:t xml:space="preserve">The </w:t>
            </w:r>
            <w:r w:rsidRPr="008E110C">
              <w:rPr>
                <w:i/>
              </w:rPr>
              <w:t>Disability Standards for Education</w:t>
            </w:r>
            <w:r w:rsidRPr="004B0F3C">
              <w:t xml:space="preserve"> </w:t>
            </w:r>
            <w:hyperlink r:id="rId51" w:history="1">
              <w:r w:rsidRPr="008E110C">
                <w:rPr>
                  <w:color w:val="0000FF"/>
                </w:rPr>
                <w:t>www.ag.gov.au</w:t>
              </w:r>
            </w:hyperlink>
            <w:r w:rsidRPr="00581229">
              <w:t>.</w:t>
            </w:r>
          </w:p>
        </w:tc>
      </w:tr>
    </w:tbl>
    <w:p w:rsidR="00581229" w:rsidRPr="00581229" w:rsidRDefault="00581229" w:rsidP="00C575C3">
      <w:pPr>
        <w:pStyle w:val="Heading2"/>
      </w:pPr>
      <w:r w:rsidRPr="00581229">
        <w:lastRenderedPageBreak/>
        <w:t>Develop assessment</w:t>
      </w:r>
    </w:p>
    <w:tbl>
      <w:tblPr>
        <w:tblStyle w:val="3QSAtablestyle"/>
        <w:tblW w:w="4900" w:type="pct"/>
        <w:tblLook w:val="01E0" w:firstRow="1" w:lastRow="1" w:firstColumn="1" w:lastColumn="1" w:noHBand="0" w:noVBand="0"/>
      </w:tblPr>
      <w:tblGrid>
        <w:gridCol w:w="9101"/>
      </w:tblGrid>
      <w:tr w:rsidR="004500FF" w:rsidRPr="004500FF" w:rsidTr="004500FF">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F16EBF" w:rsidRDefault="005D767A" w:rsidP="00394F17">
            <w:pPr>
              <w:pStyle w:val="Tablehead"/>
            </w:pPr>
            <w:r w:rsidRPr="00394F17">
              <w:rPr>
                <w:b/>
                <w:color w:val="auto"/>
              </w:rPr>
              <w:t>Preparing for the assessment</w:t>
            </w:r>
          </w:p>
        </w:tc>
      </w:tr>
      <w:tr w:rsidR="00581229" w:rsidRPr="00581229" w:rsidTr="004500FF">
        <w:trPr>
          <w:trHeight w:val="4168"/>
        </w:trPr>
        <w:tc>
          <w:tcPr>
            <w:tcW w:w="5000" w:type="pct"/>
          </w:tcPr>
          <w:p w:rsidR="00E52F3C" w:rsidRDefault="00E52F3C" w:rsidP="00E52F3C">
            <w:pPr>
              <w:pStyle w:val="Tablebullets"/>
              <w:widowControl w:val="0"/>
              <w:numPr>
                <w:ilvl w:val="0"/>
                <w:numId w:val="4"/>
              </w:numPr>
              <w:spacing w:line="240" w:lineRule="auto"/>
            </w:pPr>
            <w:r w:rsidRPr="00DC37FB">
              <w:t>Recognis</w:t>
            </w:r>
            <w:r>
              <w:t xml:space="preserve">e </w:t>
            </w:r>
            <w:r w:rsidRPr="00DC37FB">
              <w:t xml:space="preserve">commonalities </w:t>
            </w:r>
            <w:r>
              <w:t xml:space="preserve">and make </w:t>
            </w:r>
            <w:r w:rsidRPr="0097565D">
              <w:t>connection</w:t>
            </w:r>
            <w:r>
              <w:t>s</w:t>
            </w:r>
            <w:r w:rsidRPr="0097565D">
              <w:t xml:space="preserve"> </w:t>
            </w:r>
            <w:r w:rsidRPr="00DC37FB">
              <w:t>between fractions, decimals, percentages and ratios</w:t>
            </w:r>
            <w:r>
              <w:t>,</w:t>
            </w:r>
            <w:r w:rsidRPr="0097565D">
              <w:t xml:space="preserve"> </w:t>
            </w:r>
            <w:r w:rsidRPr="00174DBF">
              <w:t>with and without digital technologies</w:t>
            </w:r>
            <w:r>
              <w:t xml:space="preserve">, e.g. </w:t>
            </w:r>
            <w:r w:rsidRPr="00BE77A2">
              <w:t>interactive</w:t>
            </w:r>
            <w:r>
              <w:t xml:space="preserve"> programs, websites</w:t>
            </w:r>
            <w:r w:rsidR="00077236">
              <w:t>.</w:t>
            </w:r>
          </w:p>
          <w:p w:rsidR="00E52F3C" w:rsidRDefault="00E52F3C" w:rsidP="00E52F3C">
            <w:pPr>
              <w:pStyle w:val="Tablebullets"/>
              <w:widowControl w:val="0"/>
              <w:numPr>
                <w:ilvl w:val="0"/>
                <w:numId w:val="4"/>
              </w:numPr>
              <w:spacing w:line="240" w:lineRule="auto"/>
            </w:pPr>
            <w:r w:rsidRPr="00A4308C">
              <w:t>Describ</w:t>
            </w:r>
            <w:r>
              <w:t xml:space="preserve">e </w:t>
            </w:r>
            <w:r w:rsidRPr="00A4308C">
              <w:t xml:space="preserve">relationships between quantities </w:t>
            </w:r>
            <w:r>
              <w:t xml:space="preserve">using </w:t>
            </w:r>
            <w:r w:rsidRPr="00A4308C">
              <w:t>ratio</w:t>
            </w:r>
            <w:r>
              <w:t>s</w:t>
            </w:r>
            <w:r w:rsidR="00077236">
              <w:t>.</w:t>
            </w:r>
          </w:p>
          <w:p w:rsidR="00E52F3C" w:rsidRDefault="00E52F3C" w:rsidP="00E52F3C">
            <w:pPr>
              <w:pStyle w:val="Tablebullets"/>
              <w:widowControl w:val="0"/>
              <w:numPr>
                <w:ilvl w:val="0"/>
                <w:numId w:val="4"/>
              </w:numPr>
              <w:spacing w:line="240" w:lineRule="auto"/>
            </w:pPr>
            <w:r>
              <w:t xml:space="preserve">Represent ratios in various ways, including fractions, decimals and percentages </w:t>
            </w:r>
            <w:r>
              <w:br/>
              <w:t>(see Appendix A: Background information for teachers)</w:t>
            </w:r>
            <w:r w:rsidR="00077236">
              <w:t>.</w:t>
            </w:r>
          </w:p>
          <w:p w:rsidR="00E52F3C" w:rsidRDefault="00E52F3C" w:rsidP="00E52F3C">
            <w:pPr>
              <w:pStyle w:val="Tablebullets"/>
              <w:widowControl w:val="0"/>
              <w:numPr>
                <w:ilvl w:val="0"/>
                <w:numId w:val="4"/>
              </w:numPr>
              <w:spacing w:line="240" w:lineRule="auto"/>
            </w:pPr>
            <w:r>
              <w:t xml:space="preserve">Explore </w:t>
            </w:r>
            <w:r w:rsidRPr="00BE77A2">
              <w:t xml:space="preserve">the concept of </w:t>
            </w:r>
            <w:r>
              <w:t>e</w:t>
            </w:r>
            <w:r w:rsidRPr="00BE77A2">
              <w:t>quivalen</w:t>
            </w:r>
            <w:r>
              <w:t>ce,</w:t>
            </w:r>
            <w:r w:rsidRPr="0097565D">
              <w:t xml:space="preserve"> </w:t>
            </w:r>
            <w:r w:rsidRPr="00174DBF">
              <w:t>with and without digital technologies</w:t>
            </w:r>
            <w:r>
              <w:t>, e.g. hands-on resources</w:t>
            </w:r>
            <w:r w:rsidR="00077236">
              <w:t>.</w:t>
            </w:r>
          </w:p>
          <w:p w:rsidR="00581229" w:rsidRPr="00E52F3C" w:rsidRDefault="00E52F3C" w:rsidP="00E52F3C">
            <w:pPr>
              <w:pStyle w:val="Tablebulletslevel1"/>
              <w:rPr>
                <w:lang w:eastAsia="en-US"/>
              </w:rPr>
            </w:pPr>
            <w:r>
              <w:t>S</w:t>
            </w:r>
            <w:r w:rsidRPr="00A52512">
              <w:t>elect</w:t>
            </w:r>
            <w:r>
              <w:t xml:space="preserve"> and use mathematical</w:t>
            </w:r>
            <w:r w:rsidRPr="00A52512">
              <w:t xml:space="preserve"> language </w:t>
            </w:r>
            <w:r w:rsidRPr="00BE77A2">
              <w:t xml:space="preserve">associated </w:t>
            </w:r>
            <w:r>
              <w:t xml:space="preserve">with </w:t>
            </w:r>
            <w:r w:rsidRPr="00BE77A2">
              <w:t>ratios</w:t>
            </w:r>
            <w:r>
              <w:t>.</w:t>
            </w:r>
          </w:p>
          <w:p w:rsidR="00E52F3C" w:rsidRDefault="00E52F3C" w:rsidP="00E52F3C">
            <w:pPr>
              <w:pStyle w:val="Tablebullets"/>
              <w:widowControl w:val="0"/>
              <w:numPr>
                <w:ilvl w:val="0"/>
                <w:numId w:val="4"/>
              </w:numPr>
              <w:spacing w:line="240" w:lineRule="auto"/>
            </w:pPr>
            <w:r>
              <w:t>F</w:t>
            </w:r>
            <w:r w:rsidRPr="00A4308C">
              <w:t>ind</w:t>
            </w:r>
            <w:r>
              <w:t xml:space="preserve"> </w:t>
            </w:r>
            <w:r w:rsidRPr="00A4308C">
              <w:t>a simple fraction of a quantity where the result is a whole number</w:t>
            </w:r>
            <w:r>
              <w:t xml:space="preserve">, </w:t>
            </w:r>
            <w:r w:rsidRPr="00174DBF">
              <w:t>with and without digital technologies</w:t>
            </w:r>
            <w:r w:rsidR="00077236">
              <w:t>.</w:t>
            </w:r>
          </w:p>
          <w:p w:rsidR="00E52F3C" w:rsidRDefault="00E52F3C" w:rsidP="00E52F3C">
            <w:pPr>
              <w:pStyle w:val="Tablebullets"/>
              <w:widowControl w:val="0"/>
              <w:numPr>
                <w:ilvl w:val="0"/>
                <w:numId w:val="4"/>
              </w:numPr>
              <w:spacing w:line="240" w:lineRule="auto"/>
            </w:pPr>
            <w:r>
              <w:t>Convert between different representations of ratios, e.g. fractions, decimals, percentages</w:t>
            </w:r>
            <w:r w:rsidR="00077236">
              <w:t>.</w:t>
            </w:r>
          </w:p>
          <w:p w:rsidR="00E52F3C" w:rsidRPr="00755B81" w:rsidRDefault="00E52F3C" w:rsidP="00E52F3C">
            <w:pPr>
              <w:pStyle w:val="Tablebullets"/>
              <w:widowControl w:val="0"/>
              <w:numPr>
                <w:ilvl w:val="0"/>
                <w:numId w:val="4"/>
              </w:numPr>
              <w:spacing w:line="240" w:lineRule="auto"/>
            </w:pPr>
            <w:r>
              <w:t>Simplify fractions and ratios</w:t>
            </w:r>
            <w:r w:rsidR="00077236">
              <w:t>.</w:t>
            </w:r>
          </w:p>
          <w:p w:rsidR="00E52F3C" w:rsidRPr="00E52F3C" w:rsidRDefault="00E52F3C" w:rsidP="00E52F3C">
            <w:pPr>
              <w:pStyle w:val="Tablebulletslevel1"/>
              <w:rPr>
                <w:lang w:eastAsia="en-US"/>
              </w:rPr>
            </w:pPr>
            <w:r>
              <w:t xml:space="preserve">Choose and carry out appropriate procedures to </w:t>
            </w:r>
            <w:r w:rsidRPr="00BE77A2">
              <w:t>divide an amount into a given ratio</w:t>
            </w:r>
            <w:r>
              <w:t xml:space="preserve"> or to increase and decrease different quantities in ratio,</w:t>
            </w:r>
            <w:r w:rsidRPr="0097565D">
              <w:t xml:space="preserve"> </w:t>
            </w:r>
            <w:r w:rsidRPr="00174DBF">
              <w:t>with and without digital technologies</w:t>
            </w:r>
            <w:r>
              <w:t>.</w:t>
            </w:r>
          </w:p>
          <w:p w:rsidR="00E52F3C" w:rsidRDefault="00E52F3C" w:rsidP="00E52F3C">
            <w:pPr>
              <w:pStyle w:val="Tablebullets"/>
              <w:widowControl w:val="0"/>
              <w:numPr>
                <w:ilvl w:val="0"/>
                <w:numId w:val="4"/>
              </w:numPr>
              <w:spacing w:line="240" w:lineRule="auto"/>
            </w:pPr>
            <w:r>
              <w:t xml:space="preserve">Formulate, interpret and solve authentic ratio problems </w:t>
            </w:r>
            <w:r w:rsidRPr="00A4308C">
              <w:t>involving money, time and other measures</w:t>
            </w:r>
            <w:r>
              <w:t>, using</w:t>
            </w:r>
            <w:r w:rsidRPr="00593F19">
              <w:t xml:space="preserve"> fractions</w:t>
            </w:r>
            <w:r>
              <w:t xml:space="preserve">, decimals, or </w:t>
            </w:r>
            <w:r w:rsidRPr="00593F19">
              <w:t>percentages</w:t>
            </w:r>
            <w:r>
              <w:t xml:space="preserve">, e.g. </w:t>
            </w:r>
            <w:proofErr w:type="spellStart"/>
            <w:r>
              <w:t>playdough</w:t>
            </w:r>
            <w:proofErr w:type="spellEnd"/>
            <w:r>
              <w:t xml:space="preserve"> recipes, best buys in supermarkets, the nature of traffic passing the school, food preferences, ratio of boys to girls in the class</w:t>
            </w:r>
            <w:r w:rsidR="00077236">
              <w:t>.</w:t>
            </w:r>
          </w:p>
          <w:p w:rsidR="00E52F3C" w:rsidRDefault="00E52F3C" w:rsidP="00E52F3C">
            <w:pPr>
              <w:pStyle w:val="Tablebullets"/>
              <w:widowControl w:val="0"/>
              <w:numPr>
                <w:ilvl w:val="0"/>
                <w:numId w:val="4"/>
              </w:numPr>
              <w:spacing w:line="240" w:lineRule="auto"/>
            </w:pPr>
            <w:r>
              <w:t xml:space="preserve">Verify the reasonableness of solutions by checking that answers fit the questions </w:t>
            </w:r>
            <w:r w:rsidRPr="004923FC">
              <w:t>using a variety of techniques</w:t>
            </w:r>
            <w:r>
              <w:t xml:space="preserve">, including </w:t>
            </w:r>
            <w:r w:rsidRPr="004923FC">
              <w:t>applying existing strategies such as estimation</w:t>
            </w:r>
            <w:r>
              <w:t xml:space="preserve"> and </w:t>
            </w:r>
            <w:r w:rsidRPr="004923FC">
              <w:t>working backwards</w:t>
            </w:r>
            <w:r w:rsidR="00077236">
              <w:t>.</w:t>
            </w:r>
          </w:p>
          <w:p w:rsidR="00E52F3C" w:rsidRPr="00E52F3C" w:rsidRDefault="00E52F3C" w:rsidP="00E52F3C">
            <w:pPr>
              <w:pStyle w:val="Tablebulletslevel1"/>
              <w:rPr>
                <w:lang w:eastAsia="en-US"/>
              </w:rPr>
            </w:pPr>
            <w:r>
              <w:t>Interpret ratio word problems</w:t>
            </w:r>
            <w:r w:rsidR="00077236">
              <w:t>.</w:t>
            </w:r>
          </w:p>
          <w:p w:rsidR="00E52F3C" w:rsidRDefault="00E52F3C" w:rsidP="00E52F3C">
            <w:pPr>
              <w:pStyle w:val="Tablebullets"/>
              <w:widowControl w:val="0"/>
              <w:numPr>
                <w:ilvl w:val="0"/>
                <w:numId w:val="4"/>
              </w:numPr>
              <w:spacing w:line="240" w:lineRule="auto"/>
            </w:pPr>
            <w:r>
              <w:t>Apply an understanding of ratio</w:t>
            </w:r>
            <w:r w:rsidR="00077236">
              <w:t>.</w:t>
            </w:r>
          </w:p>
          <w:p w:rsidR="00E52F3C" w:rsidRDefault="00E52F3C" w:rsidP="00E52F3C">
            <w:pPr>
              <w:pStyle w:val="Tablebullets"/>
              <w:widowControl w:val="0"/>
              <w:numPr>
                <w:ilvl w:val="0"/>
                <w:numId w:val="4"/>
              </w:numPr>
              <w:spacing w:line="240" w:lineRule="auto"/>
            </w:pPr>
            <w:r>
              <w:t>Explain the connection between ratios and everyday life, e.g. finances, recipes</w:t>
            </w:r>
            <w:r w:rsidR="00077236">
              <w:t>.</w:t>
            </w:r>
          </w:p>
          <w:p w:rsidR="00E52F3C" w:rsidRDefault="00E52F3C" w:rsidP="00E52F3C">
            <w:pPr>
              <w:pStyle w:val="Tablebullets"/>
              <w:widowControl w:val="0"/>
              <w:numPr>
                <w:ilvl w:val="0"/>
                <w:numId w:val="4"/>
              </w:numPr>
              <w:spacing w:line="240" w:lineRule="auto"/>
            </w:pPr>
            <w:r>
              <w:t>Communicate solutions effectively using mathematical language and visual representations of ratios</w:t>
            </w:r>
            <w:r w:rsidR="00077236">
              <w:t>.</w:t>
            </w:r>
          </w:p>
          <w:p w:rsidR="00E52F3C" w:rsidRPr="00E14A79" w:rsidRDefault="00E52F3C" w:rsidP="00E52F3C">
            <w:pPr>
              <w:pStyle w:val="Tablebulletslevel1"/>
              <w:rPr>
                <w:lang w:eastAsia="en-US"/>
              </w:rPr>
            </w:pPr>
            <w:r>
              <w:t>Explain or justify strategies used to solve ratio problems.</w:t>
            </w:r>
          </w:p>
        </w:tc>
      </w:tr>
    </w:tbl>
    <w:p w:rsidR="00581229" w:rsidRPr="00A1151F" w:rsidRDefault="00581229" w:rsidP="00A1151F">
      <w:pPr>
        <w:rPr>
          <w:rFonts w:eastAsia="SimSun"/>
        </w:rPr>
      </w:pPr>
    </w:p>
    <w:tbl>
      <w:tblPr>
        <w:tblStyle w:val="3QSAtablestyle"/>
        <w:tblW w:w="4900" w:type="pct"/>
        <w:tblLook w:val="01E0" w:firstRow="1" w:lastRow="1" w:firstColumn="1" w:lastColumn="1" w:noHBand="0" w:noVBand="0"/>
      </w:tblPr>
      <w:tblGrid>
        <w:gridCol w:w="9101"/>
      </w:tblGrid>
      <w:tr w:rsidR="00F16EBF" w:rsidRPr="00F16EBF" w:rsidTr="00F16EBF">
        <w:trPr>
          <w:cnfStyle w:val="100000000000" w:firstRow="1" w:lastRow="0" w:firstColumn="0" w:lastColumn="0" w:oddVBand="0" w:evenVBand="0" w:oddHBand="0" w:evenHBand="0" w:firstRowFirstColumn="0" w:firstRowLastColumn="0" w:lastRowFirstColumn="0" w:lastRowLastColumn="0"/>
          <w:trHeight w:val="246"/>
          <w:tblHeader/>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52050E" w:rsidRDefault="00581229" w:rsidP="00394F17">
            <w:pPr>
              <w:pStyle w:val="Tablehead"/>
            </w:pPr>
            <w:r w:rsidRPr="00394F17">
              <w:rPr>
                <w:b/>
                <w:color w:val="auto"/>
              </w:rPr>
              <w:t>Implementing</w:t>
            </w:r>
          </w:p>
        </w:tc>
      </w:tr>
      <w:tr w:rsidR="00E52F3C" w:rsidRPr="00581229" w:rsidTr="00E52F3C">
        <w:trPr>
          <w:trHeight w:val="208"/>
        </w:trPr>
        <w:tc>
          <w:tcPr>
            <w:tcW w:w="5000" w:type="pct"/>
            <w:tcBorders>
              <w:bottom w:val="single" w:sz="4" w:space="0" w:color="00928F"/>
            </w:tcBorders>
          </w:tcPr>
          <w:p w:rsidR="00394F17" w:rsidRDefault="00E52F3C" w:rsidP="00394F17">
            <w:pPr>
              <w:pStyle w:val="Tablebullets"/>
              <w:widowControl w:val="0"/>
              <w:numPr>
                <w:ilvl w:val="0"/>
                <w:numId w:val="4"/>
              </w:numPr>
              <w:spacing w:line="240" w:lineRule="auto"/>
            </w:pPr>
            <w:r>
              <w:t xml:space="preserve">Read </w:t>
            </w:r>
            <w:r w:rsidRPr="00C82C79">
              <w:t>questions</w:t>
            </w:r>
            <w:r>
              <w:t xml:space="preserve"> aloud to the class to ensure literacy demands do not prevent students from providing evidence of their understanding and skills in mathematics.</w:t>
            </w:r>
          </w:p>
          <w:p w:rsidR="00E52F3C" w:rsidRDefault="00E52F3C" w:rsidP="00394F17">
            <w:pPr>
              <w:pStyle w:val="Tablebullets"/>
              <w:widowControl w:val="0"/>
              <w:numPr>
                <w:ilvl w:val="0"/>
                <w:numId w:val="4"/>
              </w:numPr>
              <w:spacing w:line="240" w:lineRule="auto"/>
            </w:pPr>
            <w:r w:rsidRPr="00207F81">
              <w:t xml:space="preserve">Clarify what is required in the assessment and the </w:t>
            </w:r>
            <w:r w:rsidR="00077236">
              <w:t>t</w:t>
            </w:r>
            <w:r w:rsidRPr="00394F17">
              <w:t>ask</w:t>
            </w:r>
            <w:r w:rsidR="00077236">
              <w:t>-</w:t>
            </w:r>
            <w:r w:rsidRPr="00394F17">
              <w:t>specific standards</w:t>
            </w:r>
            <w:r>
              <w:t xml:space="preserve"> </w:t>
            </w:r>
            <w:r w:rsidRPr="00170CFB">
              <w:t>as</w:t>
            </w:r>
            <w:r w:rsidRPr="00207F81">
              <w:t xml:space="preserve"> needed.</w:t>
            </w:r>
          </w:p>
          <w:p w:rsidR="00E52F3C" w:rsidRPr="00453BE3" w:rsidRDefault="00E52F3C" w:rsidP="00394F17">
            <w:pPr>
              <w:pStyle w:val="Tablebullets"/>
              <w:widowControl w:val="0"/>
              <w:numPr>
                <w:ilvl w:val="0"/>
                <w:numId w:val="4"/>
              </w:numPr>
              <w:spacing w:line="240" w:lineRule="auto"/>
            </w:pPr>
            <w:r w:rsidRPr="00207F81">
              <w:t>Supervise students and</w:t>
            </w:r>
            <w:r>
              <w:t xml:space="preserve"> </w:t>
            </w:r>
            <w:r w:rsidRPr="00207F81">
              <w:t>assist where appropriate.</w:t>
            </w:r>
          </w:p>
        </w:tc>
      </w:tr>
    </w:tbl>
    <w:p w:rsidR="00A77A42" w:rsidRPr="008E3B7D" w:rsidRDefault="00A77A42" w:rsidP="00A77A42">
      <w:pPr>
        <w:pStyle w:val="Heading2"/>
      </w:pPr>
      <w:r w:rsidRPr="008E3B7D">
        <w:t>Make judgments</w:t>
      </w:r>
    </w:p>
    <w:p w:rsidR="00A77A42" w:rsidRPr="00C31323" w:rsidRDefault="00A77A42" w:rsidP="00A77A42">
      <w:pPr>
        <w:rPr>
          <w:rStyle w:val="InstructionsChar"/>
        </w:rPr>
      </w:pPr>
      <w:r w:rsidRPr="008E3B7D">
        <w:t>When making judgments about the evidence in student responses to this assessment, teachers are advised to use the task-specific standards provided. The development of these task-specific standards has been informed by the Queensland Yea</w:t>
      </w:r>
      <w:r w:rsidRPr="00C31323">
        <w:t xml:space="preserve">r </w:t>
      </w:r>
      <w:r w:rsidR="00E52F3C" w:rsidRPr="00E52F3C">
        <w:t>7</w:t>
      </w:r>
      <w:r w:rsidR="00394F17">
        <w:t xml:space="preserve"> </w:t>
      </w:r>
      <w:r w:rsidRPr="00C31323">
        <w:t>st</w:t>
      </w:r>
      <w:r w:rsidRPr="008E3B7D">
        <w:t xml:space="preserve">andard elaborations. See </w:t>
      </w:r>
      <w:hyperlink r:id="rId52" w:history="1">
        <w:r w:rsidR="00077236" w:rsidRPr="00077236">
          <w:rPr>
            <w:rStyle w:val="Hyperlink"/>
          </w:rPr>
          <w:t>www.qsa.qld.edu.au/yr7-maths-resources.html</w:t>
        </w:r>
      </w:hyperlink>
      <w:r w:rsidR="00077236">
        <w:rPr>
          <w:rFonts w:eastAsia="SimSun"/>
        </w:rPr>
        <w:t>.</w:t>
      </w:r>
    </w:p>
    <w:p w:rsidR="00A77A42" w:rsidRPr="00C31323" w:rsidRDefault="00A77A42" w:rsidP="00A77A42">
      <w:pPr>
        <w:pStyle w:val="Heading3"/>
      </w:pPr>
      <w:r w:rsidRPr="008E3B7D">
        <w:t xml:space="preserve">The Queensland standard elaborations </w:t>
      </w:r>
      <w:r w:rsidRPr="00C31323">
        <w:t xml:space="preserve">for </w:t>
      </w:r>
      <w:r w:rsidR="00E52F3C" w:rsidRPr="00E52F3C">
        <w:t>Mathematics</w:t>
      </w:r>
    </w:p>
    <w:p w:rsidR="00A77A42" w:rsidRPr="008E3B7D" w:rsidRDefault="00A77A42" w:rsidP="00A77A42">
      <w:r w:rsidRPr="008E3B7D">
        <w:t xml:space="preserve">The Queensland </w:t>
      </w:r>
      <w:r w:rsidR="00E52F3C">
        <w:t>Year 7</w:t>
      </w:r>
      <w:r w:rsidR="00C31323">
        <w:t xml:space="preserve"> s</w:t>
      </w:r>
      <w:r w:rsidRPr="008E3B7D">
        <w:t>tandard elaborations</w:t>
      </w:r>
      <w:r>
        <w:t xml:space="preserve"> for</w:t>
      </w:r>
      <w:r w:rsidRPr="00E52F3C">
        <w:t xml:space="preserve"> </w:t>
      </w:r>
      <w:r w:rsidR="00E52F3C" w:rsidRPr="00E52F3C">
        <w:t>Mathematics</w:t>
      </w:r>
      <w:r w:rsidRPr="008E3B7D">
        <w:t xml:space="preserve"> is a resource to assist teachers to make consistent and comparable evidence-based A to E (or equivalent) judgments. It should be used in conjunction with the Australian Curriculum achievement standard and content descriptions for the relevant year level.  </w:t>
      </w:r>
    </w:p>
    <w:p w:rsidR="00A77A42" w:rsidRPr="008E3B7D" w:rsidRDefault="00A77A42" w:rsidP="00A77A42">
      <w:r w:rsidRPr="008E3B7D">
        <w:lastRenderedPageBreak/>
        <w:t>The</w:t>
      </w:r>
      <w:r>
        <w:t xml:space="preserve"> </w:t>
      </w:r>
      <w:r w:rsidRPr="008E3B7D">
        <w:t xml:space="preserve">Queensland </w:t>
      </w:r>
      <w:r w:rsidR="00E52F3C" w:rsidRPr="00E52F3C">
        <w:t>Mathematics</w:t>
      </w:r>
      <w:r w:rsidR="00E52F3C" w:rsidRPr="00F04DBF">
        <w:rPr>
          <w:rStyle w:val="InstructionsChar"/>
          <w:sz w:val="21"/>
          <w:szCs w:val="21"/>
          <w:shd w:val="clear" w:color="auto" w:fill="auto"/>
        </w:rPr>
        <w:t xml:space="preserve"> </w:t>
      </w:r>
      <w:r w:rsidRPr="00C31323">
        <w:t>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A77A42" w:rsidRPr="008E3B7D" w:rsidRDefault="00A77A42" w:rsidP="00E52F3C">
      <w:r w:rsidRPr="008E3B7D">
        <w:t>The Australian Curriculum achievement standards dimensions of Understanding and Skills are used to organise the Queensland</w:t>
      </w:r>
      <w:r w:rsidRPr="00E52F3C">
        <w:t xml:space="preserve"> </w:t>
      </w:r>
      <w:r w:rsidR="00E52F3C" w:rsidRPr="00E52F3C">
        <w:t>Mathematics</w:t>
      </w:r>
      <w:r w:rsidRPr="008E3B7D">
        <w:t xml:space="preserve"> standard elaborations. Understanding and </w:t>
      </w:r>
      <w:r w:rsidR="00A12F40">
        <w:t>S</w:t>
      </w:r>
      <w:r w:rsidR="00A12F40" w:rsidRPr="008E3B7D">
        <w:t xml:space="preserve">kills </w:t>
      </w:r>
      <w:r w:rsidRPr="008E3B7D">
        <w:t xml:space="preserve">in </w:t>
      </w:r>
      <w:r w:rsidR="00E52F3C" w:rsidRPr="00E52F3C">
        <w:t>Mathematics</w:t>
      </w:r>
      <w:r w:rsidRPr="008E3B7D">
        <w:t xml:space="preserve"> are organised as </w:t>
      </w:r>
      <w:r w:rsidR="00E52F3C" w:rsidRPr="00E52F3C">
        <w:t xml:space="preserve">Understanding, Fluency, </w:t>
      </w:r>
      <w:proofErr w:type="gramStart"/>
      <w:r w:rsidR="00E52F3C" w:rsidRPr="00E52F3C">
        <w:t>Problem</w:t>
      </w:r>
      <w:proofErr w:type="gramEnd"/>
      <w:r w:rsidR="00A12F40">
        <w:t xml:space="preserve"> </w:t>
      </w:r>
      <w:r w:rsidR="00E52F3C" w:rsidRPr="00E52F3C">
        <w:t>solving and Reasoning</w:t>
      </w:r>
      <w:r w:rsidR="00A12F40">
        <w:t>.</w:t>
      </w:r>
    </w:p>
    <w:p w:rsidR="00A77A42" w:rsidRPr="008E3B7D" w:rsidRDefault="00A77A42" w:rsidP="00E52F3C">
      <w:r w:rsidRPr="008E3B7D">
        <w:t xml:space="preserve">The valued features of </w:t>
      </w:r>
      <w:r w:rsidR="00E52F3C" w:rsidRPr="00E52F3C">
        <w:t>Mathematics</w:t>
      </w:r>
      <w:r w:rsidRPr="00E52F3C">
        <w:t xml:space="preserve"> </w:t>
      </w:r>
      <w:r w:rsidRPr="008E3B7D">
        <w:t xml:space="preserve">drawn from the achievement standard and the content descriptions for </w:t>
      </w:r>
      <w:r w:rsidR="00E52F3C" w:rsidRPr="00E52F3C">
        <w:t xml:space="preserve">Understanding, Fluency, </w:t>
      </w:r>
      <w:proofErr w:type="gramStart"/>
      <w:r w:rsidR="00E52F3C" w:rsidRPr="00E52F3C">
        <w:t>Problem</w:t>
      </w:r>
      <w:proofErr w:type="gramEnd"/>
      <w:r w:rsidR="008D04CA">
        <w:t xml:space="preserve"> </w:t>
      </w:r>
      <w:r w:rsidR="00E52F3C" w:rsidRPr="00E52F3C">
        <w:t>solving and Reasoning</w:t>
      </w:r>
      <w:r w:rsidR="00E52F3C" w:rsidRPr="008E3B7D">
        <w:t xml:space="preserve"> </w:t>
      </w:r>
      <w:r w:rsidRPr="008E3B7D">
        <w:t xml:space="preserve">are organised as: </w:t>
      </w:r>
    </w:p>
    <w:p w:rsidR="00E52F3C" w:rsidRPr="00816EA9" w:rsidRDefault="00E52F3C" w:rsidP="00E52F3C">
      <w:pPr>
        <w:pStyle w:val="Bulletslevel1"/>
      </w:pPr>
      <w:r w:rsidRPr="00816EA9">
        <w:t>Mathematical understandings</w:t>
      </w:r>
    </w:p>
    <w:p w:rsidR="00E52F3C" w:rsidRDefault="00E52F3C" w:rsidP="00E52F3C">
      <w:pPr>
        <w:pStyle w:val="Bulletslevel1"/>
      </w:pPr>
      <w:r w:rsidRPr="00CA267E">
        <w:t>Recall and use of facts, definitions, technologies and procedures</w:t>
      </w:r>
    </w:p>
    <w:p w:rsidR="00E52F3C" w:rsidRDefault="00E52F3C" w:rsidP="00E52F3C">
      <w:pPr>
        <w:pStyle w:val="Bulletslevel1"/>
      </w:pPr>
      <w:r w:rsidRPr="00CA267E">
        <w:t>Use of mathematical language, conventions and symbols</w:t>
      </w:r>
    </w:p>
    <w:p w:rsidR="00E52F3C" w:rsidRDefault="00772AF0" w:rsidP="00E52F3C">
      <w:pPr>
        <w:pStyle w:val="Bulletslevel1"/>
      </w:pPr>
      <w:r>
        <w:t>Use of problem</w:t>
      </w:r>
      <w:r w:rsidR="008D04CA">
        <w:t>-</w:t>
      </w:r>
      <w:r w:rsidR="00E52F3C" w:rsidRPr="00CA267E">
        <w:t xml:space="preserve">solving </w:t>
      </w:r>
      <w:r w:rsidR="00391C0E">
        <w:t>approaches</w:t>
      </w:r>
    </w:p>
    <w:p w:rsidR="00E52F3C" w:rsidRDefault="00E52F3C" w:rsidP="00E52F3C">
      <w:pPr>
        <w:pStyle w:val="Bulletslevel1"/>
      </w:pPr>
      <w:r w:rsidRPr="00CA267E">
        <w:t>Modelling and representation</w:t>
      </w:r>
    </w:p>
    <w:p w:rsidR="00E52F3C" w:rsidRDefault="00E52F3C" w:rsidP="00E52F3C">
      <w:pPr>
        <w:pStyle w:val="Bulletslevel1"/>
      </w:pPr>
      <w:r w:rsidRPr="00CA267E">
        <w:t xml:space="preserve">Results and conclusions of investigations and inquiries </w:t>
      </w:r>
    </w:p>
    <w:p w:rsidR="00E52F3C" w:rsidRDefault="00E52F3C" w:rsidP="00E52F3C">
      <w:pPr>
        <w:pStyle w:val="Bulletslevel1"/>
      </w:pPr>
      <w:r w:rsidRPr="00CA267E">
        <w:t>Communication of mathematical thinking, choices and strategies</w:t>
      </w:r>
      <w:r w:rsidR="005120D8">
        <w:t>.</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student response to the standards</w:t>
      </w:r>
    </w:p>
    <w:p w:rsidR="00A77A42" w:rsidRPr="008E3B7D" w:rsidRDefault="00A77A42" w:rsidP="00A77A42">
      <w:pPr>
        <w:pStyle w:val="Bulletslevel1"/>
      </w:pPr>
      <w:r w:rsidRPr="008E3B7D">
        <w:t>a focal point for discussing student responses</w:t>
      </w:r>
    </w:p>
    <w:p w:rsidR="00A77A42" w:rsidRPr="008E3B7D" w:rsidRDefault="00A77A42" w:rsidP="00A77A42">
      <w:pPr>
        <w:pStyle w:val="Bulletslevel1"/>
      </w:pPr>
      <w:proofErr w:type="gramStart"/>
      <w:r w:rsidRPr="008E3B7D">
        <w:t>a</w:t>
      </w:r>
      <w:proofErr w:type="gramEnd"/>
      <w:r w:rsidRPr="008E3B7D">
        <w:t xml:space="preserve"> tool to help provide feedback to students.</w:t>
      </w:r>
    </w:p>
    <w:p w:rsidR="00A77A42" w:rsidRPr="00A77A42" w:rsidRDefault="00A77A42" w:rsidP="00A77A42">
      <w:r w:rsidRPr="00A77A42">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rsidR="00A77A42" w:rsidRPr="008E3B7D" w:rsidRDefault="00A77A42" w:rsidP="00A77A42">
      <w:pPr>
        <w:pStyle w:val="Bulletslevel1"/>
      </w:pPr>
      <w:r w:rsidRPr="008E3B7D">
        <w:t xml:space="preserve">clarifies the curriculum expectations for learning at each of the five grades (A–E or the early years equivalent) </w:t>
      </w:r>
    </w:p>
    <w:p w:rsidR="00A77A42" w:rsidRPr="008E3B7D" w:rsidRDefault="00A77A42" w:rsidP="00A77A42">
      <w:pPr>
        <w:pStyle w:val="Bulletslevel1"/>
      </w:pPr>
      <w:r w:rsidRPr="008E3B7D">
        <w:t xml:space="preserve">shows the connections between what students are expected to know and do, and how their responses will be judged and the qualities that will inform the overall judgment </w:t>
      </w:r>
    </w:p>
    <w:p w:rsidR="00A77A42" w:rsidRPr="008E3B7D" w:rsidRDefault="00A77A42" w:rsidP="00A77A42">
      <w:pPr>
        <w:pStyle w:val="Bulletslevel1"/>
      </w:pPr>
      <w:r w:rsidRPr="008E3B7D">
        <w:t xml:space="preserve">supports evidence-based discussions to help students gain a better understanding of how they can critique their own responses and achievements, and identify the qualities needed to improve </w:t>
      </w:r>
    </w:p>
    <w:p w:rsidR="00A77A42" w:rsidRPr="008E3B7D" w:rsidRDefault="00A77A42" w:rsidP="00A77A42">
      <w:pPr>
        <w:pStyle w:val="Bulletslevel1"/>
      </w:pPr>
      <w:proofErr w:type="gramStart"/>
      <w:r w:rsidRPr="008E3B7D">
        <w:t>encourages</w:t>
      </w:r>
      <w:proofErr w:type="gramEnd"/>
      <w:r w:rsidRPr="008E3B7D">
        <w:t xml:space="preserve"> and provides the basis for conversations among teachers, students and parents/carers about the quality of student work and curriculum expectations and related standards.</w:t>
      </w:r>
    </w:p>
    <w:p w:rsidR="00A77A42" w:rsidRPr="008E3B7D" w:rsidRDefault="00A77A42" w:rsidP="00A77A42">
      <w:pPr>
        <w:pStyle w:val="Heading4"/>
      </w:pPr>
      <w:r w:rsidRPr="008E3B7D">
        <w:t>Task-specific valued features</w:t>
      </w:r>
    </w:p>
    <w:p w:rsidR="00A77A42" w:rsidRPr="00A77A42" w:rsidRDefault="00A77A42" w:rsidP="00A77A42">
      <w:r w:rsidRPr="00A77A42">
        <w:t xml:space="preserve">Task-specific valued features are the discrete aspects of the valued features </w:t>
      </w:r>
      <w:r w:rsidRPr="00E52F3C">
        <w:t xml:space="preserve">of </w:t>
      </w:r>
      <w:r w:rsidR="00E52F3C" w:rsidRPr="00E52F3C">
        <w:t>Mathematics</w:t>
      </w:r>
      <w:r w:rsidRPr="00A77A42">
        <w:t xml:space="preserve"> targeted in a particular assessment and incorporated into the task-specific standards for that assessment. They are selected from the Queensland </w:t>
      </w:r>
      <w:r w:rsidR="00E52F3C" w:rsidRPr="00E52F3C">
        <w:t>Mathematics</w:t>
      </w:r>
      <w:r w:rsidRPr="00E52F3C" w:rsidDel="008767E7">
        <w:t xml:space="preserve"> </w:t>
      </w:r>
      <w:r w:rsidRPr="00E52F3C">
        <w:t>standard</w:t>
      </w:r>
      <w:r w:rsidRPr="00A77A42">
        <w:t xml:space="preserve"> elaborations valued features drawn from the Australian Curriculum achievement standard and content descriptions. </w:t>
      </w:r>
    </w:p>
    <w:tbl>
      <w:tblPr>
        <w:tblStyle w:val="TableGrid1"/>
        <w:tblW w:w="4976" w:type="pct"/>
        <w:tblInd w:w="113" w:type="dxa"/>
        <w:tblLayout w:type="fixed"/>
        <w:tblLook w:val="04A0" w:firstRow="1" w:lastRow="0" w:firstColumn="1" w:lastColumn="0" w:noHBand="0" w:noVBand="1"/>
      </w:tblPr>
      <w:tblGrid>
        <w:gridCol w:w="1600"/>
        <w:gridCol w:w="3039"/>
        <w:gridCol w:w="4536"/>
      </w:tblGrid>
      <w:tr w:rsidR="00E52F3C" w:rsidRPr="00E35CD6" w:rsidTr="00130488">
        <w:trPr>
          <w:trHeight w:val="42"/>
        </w:trPr>
        <w:tc>
          <w:tcPr>
            <w:tcW w:w="9175" w:type="dxa"/>
            <w:gridSpan w:val="3"/>
            <w:tcBorders>
              <w:bottom w:val="single" w:sz="4" w:space="0" w:color="00948D"/>
            </w:tcBorders>
            <w:shd w:val="clear" w:color="auto" w:fill="8CC8C9"/>
            <w:tcMar>
              <w:top w:w="28" w:type="dxa"/>
              <w:bottom w:w="28" w:type="dxa"/>
            </w:tcMar>
          </w:tcPr>
          <w:p w:rsidR="00E52F3C" w:rsidRPr="0020556D" w:rsidRDefault="00E52F3C" w:rsidP="00130488">
            <w:pPr>
              <w:pStyle w:val="Tablesubhead"/>
              <w:keepNext/>
              <w:keepLines/>
            </w:pPr>
            <w:r w:rsidRPr="002E3AAE">
              <w:lastRenderedPageBreak/>
              <w:t>Task-specific valued features for this assessment</w:t>
            </w:r>
          </w:p>
        </w:tc>
      </w:tr>
      <w:tr w:rsidR="00E52F3C" w:rsidRPr="00E35CD6" w:rsidTr="00130488">
        <w:trPr>
          <w:trHeight w:val="42"/>
        </w:trPr>
        <w:tc>
          <w:tcPr>
            <w:tcW w:w="9175" w:type="dxa"/>
            <w:gridSpan w:val="3"/>
            <w:tcBorders>
              <w:bottom w:val="single" w:sz="4" w:space="0" w:color="00948D"/>
            </w:tcBorders>
            <w:shd w:val="clear" w:color="auto" w:fill="CFE7E6"/>
            <w:tcMar>
              <w:top w:w="28" w:type="dxa"/>
              <w:bottom w:w="28" w:type="dxa"/>
            </w:tcMar>
          </w:tcPr>
          <w:p w:rsidR="00E52F3C" w:rsidRPr="0020556D" w:rsidRDefault="00E52F3C" w:rsidP="00130488">
            <w:r w:rsidRPr="003C1D0E">
              <w:rPr>
                <w:sz w:val="20"/>
                <w:szCs w:val="20"/>
              </w:rPr>
              <w:t>The following table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E52F3C" w:rsidRPr="00E35CD6" w:rsidTr="00130488">
        <w:trPr>
          <w:trHeight w:val="42"/>
        </w:trPr>
        <w:tc>
          <w:tcPr>
            <w:tcW w:w="1600" w:type="dxa"/>
            <w:tcBorders>
              <w:bottom w:val="single" w:sz="4" w:space="0" w:color="00948D"/>
            </w:tcBorders>
            <w:shd w:val="clear" w:color="auto" w:fill="8CC8C9"/>
            <w:tcMar>
              <w:top w:w="28" w:type="dxa"/>
              <w:bottom w:w="28" w:type="dxa"/>
            </w:tcMar>
          </w:tcPr>
          <w:p w:rsidR="00E52F3C" w:rsidRPr="00027AF7" w:rsidRDefault="00E52F3C" w:rsidP="00130488">
            <w:pPr>
              <w:pStyle w:val="Tablesubhead"/>
              <w:keepNext/>
              <w:keepLines/>
            </w:pPr>
            <w:r w:rsidRPr="00027AF7">
              <w:t xml:space="preserve">Australian </w:t>
            </w:r>
            <w:r>
              <w:t>Curriculum achievement standard</w:t>
            </w:r>
            <w:r w:rsidRPr="00027AF7">
              <w:t xml:space="preserve"> </w:t>
            </w:r>
            <w:r>
              <w:t>d</w:t>
            </w:r>
            <w:r w:rsidRPr="00027AF7">
              <w:t>imensions</w:t>
            </w:r>
          </w:p>
        </w:tc>
        <w:tc>
          <w:tcPr>
            <w:tcW w:w="3039" w:type="dxa"/>
            <w:tcBorders>
              <w:bottom w:val="single" w:sz="4" w:space="0" w:color="00948D"/>
            </w:tcBorders>
            <w:shd w:val="clear" w:color="auto" w:fill="8CC8C9"/>
          </w:tcPr>
          <w:p w:rsidR="00E52F3C" w:rsidRPr="0020556D" w:rsidRDefault="00E52F3C" w:rsidP="00130488">
            <w:pPr>
              <w:pStyle w:val="Tablesubhead"/>
              <w:keepNext/>
              <w:keepLines/>
            </w:pPr>
            <w:r>
              <w:t>Queensland standard elaborations v</w:t>
            </w:r>
            <w:r w:rsidRPr="0020556D">
              <w:t>alued features</w:t>
            </w:r>
          </w:p>
        </w:tc>
        <w:tc>
          <w:tcPr>
            <w:tcW w:w="4536" w:type="dxa"/>
            <w:tcBorders>
              <w:bottom w:val="single" w:sz="4" w:space="0" w:color="00948D"/>
            </w:tcBorders>
            <w:shd w:val="clear" w:color="auto" w:fill="8CC8C9"/>
            <w:tcMar>
              <w:top w:w="28" w:type="dxa"/>
              <w:bottom w:w="28" w:type="dxa"/>
            </w:tcMar>
          </w:tcPr>
          <w:p w:rsidR="00E52F3C" w:rsidRPr="0020556D" w:rsidRDefault="00E52F3C" w:rsidP="00130488">
            <w:pPr>
              <w:pStyle w:val="Tablesubhead"/>
              <w:keepNext/>
              <w:keepLines/>
            </w:pPr>
            <w:r w:rsidRPr="0020556D">
              <w:t>Task-specific valued features</w:t>
            </w:r>
          </w:p>
        </w:tc>
      </w:tr>
      <w:tr w:rsidR="00E52F3C" w:rsidRPr="00E35CD6" w:rsidTr="00130488">
        <w:trPr>
          <w:trHeight w:val="1730"/>
        </w:trPr>
        <w:tc>
          <w:tcPr>
            <w:tcW w:w="1600" w:type="dxa"/>
            <w:vMerge w:val="restart"/>
            <w:shd w:val="clear" w:color="auto" w:fill="CFE7E6"/>
            <w:tcMar>
              <w:top w:w="28" w:type="dxa"/>
              <w:bottom w:w="28" w:type="dxa"/>
            </w:tcMar>
            <w:textDirection w:val="btLr"/>
            <w:vAlign w:val="center"/>
          </w:tcPr>
          <w:p w:rsidR="00E52F3C" w:rsidRPr="00027AF7" w:rsidRDefault="00E52F3C" w:rsidP="00E52F3C">
            <w:pPr>
              <w:pStyle w:val="Tablesubhead"/>
              <w:keepNext/>
              <w:keepLines/>
              <w:jc w:val="center"/>
            </w:pPr>
            <w:r w:rsidRPr="00027AF7">
              <w:t>Understanding</w:t>
            </w:r>
            <w:r>
              <w:t xml:space="preserve"> &amp; </w:t>
            </w:r>
            <w:r w:rsidRPr="00027AF7">
              <w:t>Skills</w:t>
            </w:r>
          </w:p>
        </w:tc>
        <w:tc>
          <w:tcPr>
            <w:tcW w:w="3039" w:type="dxa"/>
            <w:shd w:val="clear" w:color="auto" w:fill="FFFFFF" w:themeFill="background1"/>
          </w:tcPr>
          <w:p w:rsidR="00E52F3C" w:rsidRPr="0020556D" w:rsidRDefault="00E52F3C" w:rsidP="00130488">
            <w:pPr>
              <w:keepNext/>
              <w:keepLines/>
              <w:spacing w:before="40" w:after="40"/>
              <w:rPr>
                <w:b/>
                <w:sz w:val="20"/>
              </w:rPr>
            </w:pPr>
            <w:r>
              <w:rPr>
                <w:b/>
                <w:sz w:val="20"/>
              </w:rPr>
              <w:t xml:space="preserve">Understanding and </w:t>
            </w:r>
            <w:r w:rsidR="007C5794">
              <w:rPr>
                <w:b/>
                <w:sz w:val="20"/>
              </w:rPr>
              <w:t>F</w:t>
            </w:r>
            <w:r>
              <w:rPr>
                <w:b/>
                <w:sz w:val="20"/>
              </w:rPr>
              <w:t>luency</w:t>
            </w:r>
            <w:r w:rsidRPr="0020556D">
              <w:rPr>
                <w:sz w:val="20"/>
              </w:rPr>
              <w:t xml:space="preserve"> </w:t>
            </w:r>
          </w:p>
        </w:tc>
        <w:tc>
          <w:tcPr>
            <w:tcW w:w="4536" w:type="dxa"/>
            <w:shd w:val="clear" w:color="auto" w:fill="FFFFFF" w:themeFill="background1"/>
            <w:tcMar>
              <w:top w:w="28" w:type="dxa"/>
              <w:bottom w:w="28" w:type="dxa"/>
            </w:tcMar>
          </w:tcPr>
          <w:p w:rsidR="00E52F3C" w:rsidRPr="00E52F3C" w:rsidRDefault="00E52F3C" w:rsidP="00E52F3C">
            <w:pPr>
              <w:pStyle w:val="GCCbullets"/>
              <w:ind w:left="210" w:hanging="210"/>
            </w:pPr>
            <w:r>
              <w:rPr>
                <w:rFonts w:eastAsia="Arial Unicode MS"/>
              </w:rPr>
              <w:t>Expressing quantities as ratios, fractions, and percentages.</w:t>
            </w:r>
          </w:p>
          <w:p w:rsidR="00E52F3C" w:rsidRPr="00E52F3C" w:rsidRDefault="00E52F3C" w:rsidP="00E52F3C">
            <w:pPr>
              <w:pStyle w:val="GCCbullets"/>
              <w:ind w:left="210" w:hanging="210"/>
            </w:pPr>
            <w:r>
              <w:rPr>
                <w:rFonts w:eastAsia="Arial Unicode MS"/>
              </w:rPr>
              <w:t>Operating with fractions and percentages to solve ratio problems.</w:t>
            </w:r>
          </w:p>
          <w:p w:rsidR="00E52F3C" w:rsidRPr="00237FC2" w:rsidRDefault="00E52F3C" w:rsidP="00E52F3C">
            <w:pPr>
              <w:pStyle w:val="GCCbullets"/>
              <w:ind w:left="210" w:hanging="210"/>
            </w:pPr>
            <w:r>
              <w:rPr>
                <w:rFonts w:eastAsia="Arial Unicode MS"/>
              </w:rPr>
              <w:t>Using conventions to express quantities as ratios, fractions and percentages. Showing working and making use of units.</w:t>
            </w:r>
          </w:p>
        </w:tc>
      </w:tr>
      <w:tr w:rsidR="00E52F3C" w:rsidRPr="00E35CD6" w:rsidTr="00E52F3C">
        <w:trPr>
          <w:cantSplit/>
          <w:trHeight w:val="541"/>
        </w:trPr>
        <w:tc>
          <w:tcPr>
            <w:tcW w:w="1600" w:type="dxa"/>
            <w:vMerge/>
            <w:shd w:val="clear" w:color="auto" w:fill="CFE7E6"/>
            <w:tcMar>
              <w:top w:w="28" w:type="dxa"/>
              <w:bottom w:w="28" w:type="dxa"/>
            </w:tcMar>
            <w:textDirection w:val="btLr"/>
          </w:tcPr>
          <w:p w:rsidR="00E52F3C" w:rsidRPr="00E35CD6" w:rsidRDefault="00E52F3C" w:rsidP="00130488">
            <w:pPr>
              <w:keepNext/>
              <w:keepLines/>
              <w:spacing w:before="40" w:after="40" w:line="220" w:lineRule="atLeast"/>
              <w:ind w:left="113" w:right="113"/>
              <w:jc w:val="center"/>
            </w:pPr>
          </w:p>
        </w:tc>
        <w:tc>
          <w:tcPr>
            <w:tcW w:w="3039" w:type="dxa"/>
          </w:tcPr>
          <w:p w:rsidR="00E52F3C" w:rsidRPr="00E35CD6" w:rsidRDefault="00E52F3C" w:rsidP="00BB6CF5">
            <w:pPr>
              <w:keepNext/>
              <w:keepLines/>
              <w:spacing w:before="40" w:after="40"/>
            </w:pPr>
            <w:r>
              <w:rPr>
                <w:b/>
                <w:sz w:val="20"/>
              </w:rPr>
              <w:t xml:space="preserve">Problem solving and </w:t>
            </w:r>
            <w:r w:rsidR="00BB6CF5">
              <w:rPr>
                <w:b/>
                <w:sz w:val="20"/>
              </w:rPr>
              <w:t>Reasoning</w:t>
            </w:r>
          </w:p>
        </w:tc>
        <w:tc>
          <w:tcPr>
            <w:tcW w:w="4536" w:type="dxa"/>
            <w:tcMar>
              <w:top w:w="28" w:type="dxa"/>
              <w:bottom w:w="28" w:type="dxa"/>
            </w:tcMar>
          </w:tcPr>
          <w:p w:rsidR="00E52F3C" w:rsidRPr="00237FC2" w:rsidRDefault="00394F17" w:rsidP="00391C0E">
            <w:pPr>
              <w:pStyle w:val="Tabletext"/>
              <w:numPr>
                <w:ilvl w:val="0"/>
                <w:numId w:val="26"/>
              </w:numPr>
              <w:ind w:left="210" w:hanging="210"/>
              <w:rPr>
                <w:szCs w:val="20"/>
                <w:lang w:eastAsia="en-US"/>
              </w:rPr>
            </w:pPr>
            <w:r>
              <w:rPr>
                <w:szCs w:val="20"/>
                <w:lang w:eastAsia="en-US"/>
              </w:rPr>
              <w:t xml:space="preserve">Applying problem-solving </w:t>
            </w:r>
            <w:r w:rsidR="00391C0E">
              <w:rPr>
                <w:szCs w:val="20"/>
                <w:lang w:eastAsia="en-US"/>
              </w:rPr>
              <w:t xml:space="preserve">approaches </w:t>
            </w:r>
            <w:r>
              <w:rPr>
                <w:szCs w:val="20"/>
                <w:lang w:eastAsia="en-US"/>
              </w:rPr>
              <w:t xml:space="preserve">to complex and unfamiliar situations </w:t>
            </w:r>
            <w:r w:rsidR="00E52F3C" w:rsidRPr="00E52F3C">
              <w:rPr>
                <w:szCs w:val="20"/>
                <w:lang w:eastAsia="en-US"/>
              </w:rPr>
              <w:t>involving ratios.</w:t>
            </w:r>
          </w:p>
        </w:tc>
      </w:tr>
    </w:tbl>
    <w:p w:rsidR="00A77A42" w:rsidRPr="008E3B7D" w:rsidRDefault="00A77A42" w:rsidP="00A1151F">
      <w:r w:rsidRPr="008E3B7D">
        <w:t>The task-specific standards for this assessment are provided in two models using the same task</w:t>
      </w:r>
      <w:r w:rsidR="008D04CA">
        <w:noBreakHyphen/>
      </w:r>
      <w:r w:rsidRPr="008E3B7D">
        <w:t>specific valued features:</w:t>
      </w:r>
    </w:p>
    <w:p w:rsidR="00A77A42" w:rsidRPr="008E3B7D" w:rsidRDefault="00A77A42" w:rsidP="00A1151F">
      <w:pPr>
        <w:pStyle w:val="Bulletslevel1"/>
      </w:pPr>
      <w:r w:rsidRPr="008E3B7D">
        <w:t xml:space="preserve">a matrix </w:t>
      </w:r>
    </w:p>
    <w:p w:rsidR="00A77A42" w:rsidRPr="008E3B7D" w:rsidRDefault="00A77A42" w:rsidP="00A1151F">
      <w:pPr>
        <w:pStyle w:val="Bulletslevel1"/>
      </w:pPr>
      <w:proofErr w:type="gramStart"/>
      <w:r w:rsidRPr="008E3B7D">
        <w:t>a</w:t>
      </w:r>
      <w:proofErr w:type="gramEnd"/>
      <w:r w:rsidRPr="008E3B7D">
        <w:t xml:space="preserve"> continua</w:t>
      </w:r>
      <w:r w:rsidR="007C5794">
        <w:t>.</w:t>
      </w:r>
    </w:p>
    <w:p w:rsidR="00A77A42" w:rsidRPr="008E3B7D" w:rsidRDefault="00A77A42" w:rsidP="00A77A42">
      <w:pPr>
        <w:pStyle w:val="Heading4"/>
      </w:pPr>
      <w:r w:rsidRPr="008E3B7D">
        <w:t xml:space="preserve">Matrix and </w:t>
      </w:r>
      <w:r w:rsidR="007C5794">
        <w:t>c</w:t>
      </w:r>
      <w:r w:rsidR="007C5794" w:rsidRPr="008E3B7D">
        <w:t xml:space="preserve">ontinua </w:t>
      </w:r>
    </w:p>
    <w:p w:rsidR="00A77A42" w:rsidRPr="008E3B7D" w:rsidRDefault="00A77A42" w:rsidP="00A1151F">
      <w:r w:rsidRPr="008E3B7D">
        <w:t>Task-specific standards can be prepared as a matrix or continua. Both the continua and the matrix:</w:t>
      </w:r>
    </w:p>
    <w:p w:rsidR="00A77A42" w:rsidRPr="008E3B7D" w:rsidRDefault="00A77A42" w:rsidP="00A1151F">
      <w:pPr>
        <w:pStyle w:val="Bulletslevel1"/>
      </w:pPr>
      <w:r w:rsidRPr="008E3B7D">
        <w:t xml:space="preserve">use the Queensland standard elaborations to develop task-specific descriptors to convey expected qualities in student work </w:t>
      </w:r>
      <w:r w:rsidR="00A12F40">
        <w:t>—</w:t>
      </w:r>
      <w:r w:rsidR="00A12F40" w:rsidRPr="008E3B7D">
        <w:t xml:space="preserve"> </w:t>
      </w:r>
      <w:r w:rsidRPr="008E3B7D">
        <w:t>A to E or equivalent</w:t>
      </w:r>
    </w:p>
    <w:p w:rsidR="00A77A42" w:rsidRPr="008E3B7D" w:rsidRDefault="00A77A42" w:rsidP="00A1151F">
      <w:pPr>
        <w:pStyle w:val="Bulletslevel1"/>
      </w:pPr>
      <w:r w:rsidRPr="008E3B7D">
        <w:t>highlight the same valued features from the Queensland standard elaborations that are being targeted in the assessment and the qualities that will inform the overall judgment</w:t>
      </w:r>
    </w:p>
    <w:p w:rsidR="00A77A42" w:rsidRPr="008E3B7D" w:rsidRDefault="00A77A42" w:rsidP="00A1151F">
      <w:pPr>
        <w:pStyle w:val="Bulletslevel1"/>
      </w:pPr>
      <w:r w:rsidRPr="008E3B7D">
        <w:t>incorporate the same task-specific valued features</w:t>
      </w:r>
      <w:r w:rsidR="008D04CA">
        <w:t>,</w:t>
      </w:r>
      <w:r w:rsidRPr="008E3B7D">
        <w:t xml:space="preserve"> i.e. make explicit the particular </w:t>
      </w:r>
      <w:r w:rsidR="008D04CA">
        <w:t>understanding or</w:t>
      </w:r>
      <w:r w:rsidR="008D04CA" w:rsidRPr="008E3B7D">
        <w:t xml:space="preserve"> </w:t>
      </w:r>
      <w:r w:rsidRPr="008E3B7D">
        <w:t xml:space="preserve">skills students have the opportunity to demonstrate for each selected valued feature </w:t>
      </w:r>
    </w:p>
    <w:p w:rsidR="00A77A42" w:rsidRPr="008E3B7D" w:rsidRDefault="00A77A42" w:rsidP="00A1151F">
      <w:pPr>
        <w:pStyle w:val="Bulletslevel1"/>
      </w:pPr>
      <w:r w:rsidRPr="008E3B7D">
        <w:t>provide a tool for directly matching the evidence of learning in the student response to the standards to make an on-balance judgment about student achievement</w:t>
      </w:r>
    </w:p>
    <w:p w:rsidR="00A77A42" w:rsidRPr="008E3B7D" w:rsidRDefault="00A77A42" w:rsidP="00A1151F">
      <w:pPr>
        <w:pStyle w:val="Bulletslevel1"/>
      </w:pPr>
      <w:proofErr w:type="gramStart"/>
      <w:r w:rsidRPr="008E3B7D">
        <w:t>assist</w:t>
      </w:r>
      <w:proofErr w:type="gramEnd"/>
      <w:r w:rsidRPr="008E3B7D">
        <w:t xml:space="preserve"> teachers to make consistent and comparable evidence-based A to E or equivalent judgments.</w:t>
      </w:r>
    </w:p>
    <w:p w:rsidR="00A77A42" w:rsidRPr="008E3B7D" w:rsidRDefault="00A77A42" w:rsidP="00A77A42">
      <w:pPr>
        <w:pStyle w:val="Heading5"/>
      </w:pPr>
      <w:r w:rsidRPr="008E3B7D">
        <w:lastRenderedPageBreak/>
        <w:t>Continua</w:t>
      </w:r>
    </w:p>
    <w:p w:rsidR="00A77A42" w:rsidRPr="008E3B7D" w:rsidRDefault="00A77A42" w:rsidP="00A77A42">
      <w:pPr>
        <w:keepNext/>
        <w:rPr>
          <w:sz w:val="20"/>
        </w:rPr>
      </w:pPr>
      <w:r w:rsidRPr="008E3B7D">
        <w:rPr>
          <w:sz w:val="20"/>
        </w:rPr>
        <w:t>The continua model of task-specific standards uses the dimensions of the Australian Curriculum achievement standard to organise task-specific valued features and standards as a number of reference points represented progressively along an A</w:t>
      </w:r>
      <w:r w:rsidR="007C5794">
        <w:rPr>
          <w:sz w:val="20"/>
        </w:rPr>
        <w:t>–</w:t>
      </w:r>
      <w:r w:rsidRPr="008E3B7D">
        <w:rPr>
          <w:sz w:val="20"/>
        </w:rPr>
        <w:t xml:space="preserve">E continuum. The task-specific valued features at each point are described holistically. The task-specific descriptors of the standard use the relevant degrees of quality described in the Queensland standard elaborations. </w:t>
      </w:r>
    </w:p>
    <w:p w:rsidR="00A77A42" w:rsidRPr="005C7699" w:rsidRDefault="00A77A42" w:rsidP="00A77A42">
      <w:pPr>
        <w:keepNext/>
        <w:rPr>
          <w:sz w:val="20"/>
        </w:rPr>
      </w:pPr>
      <w:r w:rsidRPr="005C7699">
        <w:rPr>
          <w:sz w:val="20"/>
        </w:rPr>
        <w:t xml:space="preserve">Teachers determine a position along each continuum that best matches the evidence in the students’ responses to make an on-balance judgment about student achievement on the task. </w:t>
      </w:r>
    </w:p>
    <w:p w:rsidR="00A77A42" w:rsidRPr="008E3B7D" w:rsidRDefault="00A77A42" w:rsidP="00A77A42">
      <w:pPr>
        <w:keepNext/>
        <w:rPr>
          <w:sz w:val="20"/>
        </w:rPr>
      </w:pPr>
      <w:r w:rsidRPr="005C7699">
        <w:rPr>
          <w:sz w:val="20"/>
        </w:rPr>
        <w:t>The continua model is a tool for making an overall on-balance judgment about the asse</w:t>
      </w:r>
      <w:r w:rsidRPr="008E3B7D">
        <w:rPr>
          <w:sz w:val="20"/>
        </w:rPr>
        <w:t>ssment and for providing feedback on task specific valued features.</w:t>
      </w:r>
    </w:p>
    <w:p w:rsidR="00A77A42" w:rsidRPr="008E3B7D" w:rsidRDefault="00A77A42" w:rsidP="00A77A42">
      <w:pPr>
        <w:pStyle w:val="Heading5"/>
      </w:pPr>
      <w:r w:rsidRPr="008E3B7D">
        <w:t>Matrix</w:t>
      </w:r>
    </w:p>
    <w:p w:rsidR="00A77A42" w:rsidRPr="008E3B7D" w:rsidRDefault="00A77A42" w:rsidP="00A77A42">
      <w:pPr>
        <w:rPr>
          <w:sz w:val="20"/>
        </w:rPr>
      </w:pPr>
      <w:r w:rsidRPr="008E3B7D">
        <w:rPr>
          <w:sz w:val="20"/>
        </w:rPr>
        <w:t xml:space="preserve">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  </w:t>
      </w:r>
    </w:p>
    <w:p w:rsidR="00A77A42" w:rsidRPr="005C7699" w:rsidRDefault="00A77A42" w:rsidP="00A77A42">
      <w:pPr>
        <w:rPr>
          <w:sz w:val="20"/>
        </w:rPr>
      </w:pPr>
      <w:r w:rsidRPr="005C7699">
        <w:rPr>
          <w:sz w:val="20"/>
        </w:rPr>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A77A42" w:rsidRPr="008E3B7D" w:rsidRDefault="00A77A42" w:rsidP="00A77A42">
      <w:pPr>
        <w:rPr>
          <w:sz w:val="20"/>
        </w:rPr>
      </w:pPr>
      <w:r w:rsidRPr="005C7699">
        <w:rPr>
          <w:sz w:val="20"/>
        </w:rPr>
        <w:t>The matrix is a tool for making both overall on-balance judgments and</w:t>
      </w:r>
      <w:r w:rsidRPr="008E3B7D">
        <w:rPr>
          <w:sz w:val="20"/>
        </w:rPr>
        <w:t xml:space="preserve">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t>Use feedback</w:t>
      </w:r>
    </w:p>
    <w:tbl>
      <w:tblPr>
        <w:tblStyle w:val="TableGrid"/>
        <w:tblW w:w="4900" w:type="pct"/>
        <w:tblInd w:w="113" w:type="dxa"/>
        <w:tblLook w:val="04A0" w:firstRow="1" w:lastRow="0" w:firstColumn="1" w:lastColumn="0" w:noHBand="0" w:noVBand="1"/>
      </w:tblPr>
      <w:tblGrid>
        <w:gridCol w:w="1613"/>
        <w:gridCol w:w="7422"/>
      </w:tblGrid>
      <w:tr w:rsidR="002D5324" w:rsidTr="002D5324">
        <w:tc>
          <w:tcPr>
            <w:tcW w:w="1613" w:type="dxa"/>
            <w:shd w:val="clear" w:color="auto" w:fill="CFE7E6"/>
          </w:tcPr>
          <w:p w:rsidR="002D5324" w:rsidRDefault="002D5324" w:rsidP="00C6672A">
            <w:pPr>
              <w:pStyle w:val="Tablesubhead"/>
              <w:keepNext/>
            </w:pPr>
            <w:r w:rsidRPr="00581229">
              <w:t>Feedback to students</w:t>
            </w:r>
          </w:p>
        </w:tc>
        <w:tc>
          <w:tcPr>
            <w:tcW w:w="7422" w:type="dxa"/>
          </w:tcPr>
          <w:p w:rsidR="00E52F3C" w:rsidRPr="00027AF7" w:rsidRDefault="00E52F3C" w:rsidP="00E52F3C">
            <w:pPr>
              <w:pStyle w:val="Tablebulletslevel1"/>
              <w:keepNext/>
              <w:numPr>
                <w:ilvl w:val="0"/>
                <w:numId w:val="0"/>
              </w:numPr>
            </w:pPr>
            <w:r>
              <w:rPr>
                <w:szCs w:val="20"/>
              </w:rPr>
              <w:t>This assessment provides opportunities to give feedback to students on how well they:</w:t>
            </w:r>
          </w:p>
          <w:p w:rsidR="00CC73EE" w:rsidRDefault="00E52F3C" w:rsidP="00C6672A">
            <w:pPr>
              <w:pStyle w:val="Tablebulletslevel1"/>
              <w:keepNext/>
            </w:pPr>
            <w:r>
              <w:t>demonstrate understanding of the concept of ratio</w:t>
            </w:r>
          </w:p>
          <w:p w:rsidR="00E52F3C" w:rsidRDefault="00E52F3C" w:rsidP="00E52F3C">
            <w:pPr>
              <w:pStyle w:val="Tablebulletslevel1"/>
              <w:keepNext/>
            </w:pPr>
            <w:r>
              <w:t>demonstrate understanding of equivalent fractions and ratios</w:t>
            </w:r>
          </w:p>
          <w:p w:rsidR="00E52F3C" w:rsidRDefault="00E52F3C" w:rsidP="00E52F3C">
            <w:pPr>
              <w:pStyle w:val="Tablebulletslevel1"/>
              <w:keepNext/>
            </w:pPr>
            <w:r>
              <w:t>convert ratios to fractions and percentages</w:t>
            </w:r>
          </w:p>
          <w:p w:rsidR="00E52F3C" w:rsidRDefault="00E52F3C" w:rsidP="00E52F3C">
            <w:pPr>
              <w:pStyle w:val="Tablebulletslevel1"/>
              <w:keepNext/>
            </w:pPr>
            <w:r>
              <w:t>use fractions and/or percentages to solve ratio problems</w:t>
            </w:r>
          </w:p>
          <w:p w:rsidR="00E52F3C" w:rsidRDefault="00E52F3C" w:rsidP="00E52F3C">
            <w:pPr>
              <w:pStyle w:val="Tablebulletslevel1"/>
              <w:keepNext/>
            </w:pPr>
            <w:r>
              <w:t xml:space="preserve">apply problem-solving </w:t>
            </w:r>
            <w:r w:rsidR="00530886">
              <w:t xml:space="preserve">approaches </w:t>
            </w:r>
            <w:r>
              <w:t>to ratio problems</w:t>
            </w:r>
          </w:p>
          <w:p w:rsidR="00E52F3C" w:rsidRDefault="00E52F3C" w:rsidP="00E52F3C">
            <w:pPr>
              <w:pStyle w:val="Tablebulletslevel1"/>
              <w:keepNext/>
            </w:pPr>
            <w:r>
              <w:t>use mathematical conventions when expressing ratios and fractions</w:t>
            </w:r>
          </w:p>
          <w:p w:rsidR="002D5324" w:rsidRDefault="00E52F3C" w:rsidP="00E52F3C">
            <w:pPr>
              <w:pStyle w:val="Tablebulletslevel1"/>
              <w:keepNext/>
            </w:pPr>
            <w:proofErr w:type="gramStart"/>
            <w:r>
              <w:t>show</w:t>
            </w:r>
            <w:proofErr w:type="gramEnd"/>
            <w:r>
              <w:t xml:space="preserve"> systematic working and units</w:t>
            </w:r>
            <w:r w:rsidR="00D97DD9">
              <w:t>.</w:t>
            </w:r>
          </w:p>
        </w:tc>
      </w:tr>
      <w:tr w:rsidR="002D5324" w:rsidTr="002D5324">
        <w:tc>
          <w:tcPr>
            <w:tcW w:w="1613" w:type="dxa"/>
            <w:shd w:val="clear" w:color="auto" w:fill="CFE7E6"/>
          </w:tcPr>
          <w:p w:rsidR="002D5324" w:rsidRDefault="002D5324" w:rsidP="00C6672A">
            <w:pPr>
              <w:pStyle w:val="Tablesubhead"/>
              <w:keepNext/>
            </w:pPr>
            <w:r w:rsidRPr="00581229">
              <w:t>Resources</w:t>
            </w:r>
          </w:p>
        </w:tc>
        <w:tc>
          <w:tcPr>
            <w:tcW w:w="7422"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53" w:history="1">
              <w:r w:rsidRPr="00047830">
                <w:rPr>
                  <w:rStyle w:val="Hyperlink"/>
                  <w:szCs w:val="21"/>
                </w:rPr>
                <w:t>www.qsa.qld.edu.au/downloads/p_10/as_feedback_about.doc</w:t>
              </w:r>
            </w:hyperlink>
          </w:p>
          <w:p w:rsidR="002D5324" w:rsidRPr="00CC73EE" w:rsidRDefault="008B4E49" w:rsidP="00C6672A">
            <w:pPr>
              <w:pStyle w:val="Tablebulletslevel1"/>
              <w:keepNext/>
            </w:pPr>
            <w:r w:rsidRPr="00581229">
              <w:rPr>
                <w:i/>
              </w:rPr>
              <w:t>Seeking and providing feedback</w:t>
            </w:r>
            <w:r w:rsidRPr="00581229">
              <w:t xml:space="preserve"> </w:t>
            </w:r>
            <w:r>
              <w:t xml:space="preserve"> </w:t>
            </w:r>
            <w:hyperlink r:id="rId54" w:tgtFrame="_blank" w:history="1">
              <w:r>
                <w:rPr>
                  <w:rStyle w:val="Hyperlink"/>
                </w:rPr>
                <w:t>www.qsa.qld.edu.au/downloads/p_10/as_feedback_provide.doc</w:t>
              </w:r>
            </w:hyperlink>
          </w:p>
        </w:tc>
      </w:tr>
    </w:tbl>
    <w:p w:rsidR="00394F17" w:rsidRDefault="00394F17" w:rsidP="00C6672A">
      <w:pPr>
        <w:keepNext/>
        <w:rPr>
          <w:rFonts w:eastAsia="SimSun"/>
        </w:rPr>
      </w:pPr>
    </w:p>
    <w:p w:rsidR="00AA2D71" w:rsidRDefault="00AA2D71">
      <w:pPr>
        <w:spacing w:after="0"/>
        <w:rPr>
          <w:rFonts w:eastAsia="SimSun"/>
        </w:rPr>
        <w:sectPr w:rsidR="00AA2D71" w:rsidSect="00AA2D71">
          <w:headerReference w:type="even" r:id="rId55"/>
          <w:headerReference w:type="default" r:id="rId56"/>
          <w:footerReference w:type="even" r:id="rId57"/>
          <w:footerReference w:type="default" r:id="rId58"/>
          <w:headerReference w:type="first" r:id="rId59"/>
          <w:footerReference w:type="first" r:id="rId60"/>
          <w:type w:val="continuous"/>
          <w:pgSz w:w="11907" w:h="16840" w:code="9"/>
          <w:pgMar w:top="1134" w:right="1418" w:bottom="1418" w:left="1418" w:header="510" w:footer="283" w:gutter="0"/>
          <w:pgNumType w:start="1"/>
          <w:cols w:space="720"/>
          <w:formProt w:val="0"/>
          <w:noEndnote/>
          <w:docGrid w:linePitch="299"/>
        </w:sectPr>
      </w:pPr>
    </w:p>
    <w:p w:rsidR="00394F17" w:rsidRDefault="00394F17" w:rsidP="00394F17">
      <w:pPr>
        <w:pStyle w:val="Heading2"/>
      </w:pPr>
      <w:r>
        <w:lastRenderedPageBreak/>
        <w:t>Background information for teachers</w:t>
      </w:r>
    </w:p>
    <w:tbl>
      <w:tblPr>
        <w:tblW w:w="0" w:type="auto"/>
        <w:tblInd w:w="74"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Look w:val="04A0" w:firstRow="1" w:lastRow="0" w:firstColumn="1" w:lastColumn="0" w:noHBand="0" w:noVBand="1"/>
      </w:tblPr>
      <w:tblGrid>
        <w:gridCol w:w="9145"/>
      </w:tblGrid>
      <w:tr w:rsidR="00394F17" w:rsidRPr="00C01B55" w:rsidTr="00130488">
        <w:tc>
          <w:tcPr>
            <w:tcW w:w="9639" w:type="dxa"/>
            <w:shd w:val="clear" w:color="auto" w:fill="00948D"/>
          </w:tcPr>
          <w:p w:rsidR="00394F17" w:rsidRPr="00C01B55" w:rsidRDefault="00394F17" w:rsidP="00130488">
            <w:pPr>
              <w:pStyle w:val="Heading1Table"/>
              <w:widowControl w:val="0"/>
              <w:jc w:val="center"/>
              <w:rPr>
                <w:i w:val="0"/>
                <w:color w:val="FFFFFF"/>
                <w:sz w:val="28"/>
              </w:rPr>
            </w:pPr>
            <w:r w:rsidRPr="00C01B55">
              <w:rPr>
                <w:i w:val="0"/>
                <w:color w:val="FFFFFF"/>
                <w:sz w:val="28"/>
              </w:rPr>
              <w:t>Ratios</w:t>
            </w:r>
          </w:p>
        </w:tc>
      </w:tr>
      <w:tr w:rsidR="00394F17" w:rsidTr="00130488">
        <w:trPr>
          <w:trHeight w:val="454"/>
        </w:trPr>
        <w:tc>
          <w:tcPr>
            <w:tcW w:w="9639" w:type="dxa"/>
            <w:shd w:val="clear" w:color="auto" w:fill="auto"/>
          </w:tcPr>
          <w:p w:rsidR="00394F17" w:rsidRDefault="00394F17" w:rsidP="00130488">
            <w:pPr>
              <w:widowControl w:val="0"/>
              <w:spacing w:after="80"/>
              <w:ind w:left="57"/>
            </w:pPr>
            <w:r w:rsidRPr="00510E1C">
              <w:t xml:space="preserve">A ratio is a set of numbers </w:t>
            </w:r>
            <w:r>
              <w:t>that</w:t>
            </w:r>
            <w:r w:rsidRPr="00510E1C">
              <w:t xml:space="preserve"> show the relationship between two or more like quantities</w:t>
            </w:r>
            <w:r>
              <w:t xml:space="preserve"> </w:t>
            </w:r>
            <w:r w:rsidRPr="00510E1C">
              <w:t>or</w:t>
            </w:r>
            <w:r w:rsidR="00F04DBF">
              <w:t xml:space="preserve"> </w:t>
            </w:r>
            <w:r w:rsidRPr="00510E1C">
              <w:t>measures.</w:t>
            </w:r>
          </w:p>
        </w:tc>
      </w:tr>
      <w:tr w:rsidR="00394F17" w:rsidTr="00130488">
        <w:trPr>
          <w:trHeight w:val="1625"/>
        </w:trPr>
        <w:tc>
          <w:tcPr>
            <w:tcW w:w="9639" w:type="dxa"/>
            <w:shd w:val="clear" w:color="auto" w:fill="auto"/>
          </w:tcPr>
          <w:p w:rsidR="00394F17" w:rsidRDefault="00394F17" w:rsidP="00130488">
            <w:pPr>
              <w:pStyle w:val="Bulletslevel1"/>
              <w:widowControl w:val="0"/>
              <w:numPr>
                <w:ilvl w:val="0"/>
                <w:numId w:val="0"/>
              </w:numPr>
              <w:spacing w:after="80"/>
              <w:ind w:left="57"/>
            </w:pPr>
            <w:r>
              <w:t>A</w:t>
            </w:r>
            <w:r w:rsidRPr="00DB1AE9">
              <w:t xml:space="preserve"> ratio is </w:t>
            </w:r>
            <w:r w:rsidRPr="00C01B55">
              <w:rPr>
                <w:i/>
              </w:rPr>
              <w:t>not</w:t>
            </w:r>
            <w:r w:rsidRPr="00DB1AE9">
              <w:t xml:space="preserve"> a fraction</w:t>
            </w:r>
            <w:r>
              <w:t xml:space="preserve">, but can be represented as a fraction. </w:t>
            </w:r>
            <w:r>
              <w:br/>
              <w:t xml:space="preserve">For example, a ratio of </w:t>
            </w:r>
            <w:r w:rsidRPr="00DB1AE9">
              <w:t xml:space="preserve">1 part lemonade to 2 parts ginger ale can be written as 1:2 </w:t>
            </w:r>
            <w:proofErr w:type="gramStart"/>
            <w:r w:rsidRPr="00DB1AE9">
              <w:t xml:space="preserve">or </w:t>
            </w:r>
            <w:proofErr w:type="gramEnd"/>
            <w:r w:rsidRPr="00C51333">
              <w:rPr>
                <w:position w:val="-22"/>
              </w:rPr>
              <w:object w:dxaOrig="2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28.55pt" o:ole="">
                  <v:imagedata r:id="rId61" o:title=""/>
                </v:shape>
                <o:OLEObject Type="Embed" ProgID="Equation.3" ShapeID="_x0000_i1025" DrawAspect="Content" ObjectID="_1454840979" r:id="rId62"/>
              </w:object>
            </w:r>
            <w:r w:rsidRPr="00DB1AE9">
              <w:t xml:space="preserve">. </w:t>
            </w:r>
            <w:r>
              <w:br/>
            </w:r>
            <w:r w:rsidRPr="00DB1AE9">
              <w:t xml:space="preserve">In this case, the fraction is </w:t>
            </w:r>
            <w:r w:rsidRPr="00C01B55">
              <w:rPr>
                <w:i/>
              </w:rPr>
              <w:t>not</w:t>
            </w:r>
            <w:r w:rsidRPr="00DB1AE9">
              <w:t xml:space="preserve"> referring to the fraction of lemonade to the whole, which </w:t>
            </w:r>
            <w:proofErr w:type="gramStart"/>
            <w:r w:rsidRPr="00DB1AE9">
              <w:t xml:space="preserve">is </w:t>
            </w:r>
            <w:proofErr w:type="gramEnd"/>
            <w:r w:rsidRPr="00C51333">
              <w:rPr>
                <w:position w:val="-22"/>
              </w:rPr>
              <w:object w:dxaOrig="240" w:dyaOrig="580">
                <v:shape id="_x0000_i1026" type="#_x0000_t75" style="width:12.25pt;height:28.55pt" o:ole="">
                  <v:imagedata r:id="rId63" o:title=""/>
                </v:shape>
                <o:OLEObject Type="Embed" ProgID="Equation.3" ShapeID="_x0000_i1026" DrawAspect="Content" ObjectID="_1454840980" r:id="rId64"/>
              </w:object>
            </w:r>
            <w:r>
              <w:t>.</w:t>
            </w:r>
          </w:p>
        </w:tc>
      </w:tr>
      <w:tr w:rsidR="00394F17" w:rsidTr="00130488">
        <w:tc>
          <w:tcPr>
            <w:tcW w:w="9639" w:type="dxa"/>
            <w:shd w:val="clear" w:color="auto" w:fill="auto"/>
          </w:tcPr>
          <w:p w:rsidR="00394F17" w:rsidRPr="00510E1C" w:rsidRDefault="00394F17" w:rsidP="00130488">
            <w:pPr>
              <w:widowControl w:val="0"/>
              <w:spacing w:after="80"/>
              <w:ind w:left="57"/>
            </w:pPr>
            <w:r w:rsidRPr="00510E1C">
              <w:t>Ratios can be represented as a percentage.</w:t>
            </w:r>
          </w:p>
          <w:p w:rsidR="00394F17" w:rsidRDefault="00394F17" w:rsidP="00130488">
            <w:pPr>
              <w:widowControl w:val="0"/>
              <w:spacing w:after="80"/>
              <w:ind w:left="57"/>
            </w:pPr>
            <w:r w:rsidRPr="00510E1C">
              <w:t>For example, a ratio of 1:3 could be represented as 25% and 75%.</w:t>
            </w:r>
          </w:p>
        </w:tc>
      </w:tr>
      <w:tr w:rsidR="00394F17" w:rsidTr="00130488">
        <w:tc>
          <w:tcPr>
            <w:tcW w:w="9639" w:type="dxa"/>
            <w:shd w:val="clear" w:color="auto" w:fill="auto"/>
          </w:tcPr>
          <w:p w:rsidR="00394F17" w:rsidRDefault="00394F17" w:rsidP="00130488">
            <w:pPr>
              <w:widowControl w:val="0"/>
              <w:spacing w:after="80"/>
              <w:ind w:left="57"/>
            </w:pPr>
            <w:r w:rsidRPr="00510E1C">
              <w:t xml:space="preserve">Ratios can be represented using a colon </w:t>
            </w:r>
            <w:r w:rsidR="00D97DD9">
              <w:t>‘</w:t>
            </w:r>
            <w:r w:rsidR="00D97DD9" w:rsidRPr="00510E1C">
              <w:t>:</w:t>
            </w:r>
            <w:r w:rsidR="00D97DD9">
              <w:t>’</w:t>
            </w:r>
            <w:r w:rsidR="00D97DD9" w:rsidRPr="00510E1C">
              <w:t xml:space="preserve"> </w:t>
            </w:r>
            <w:r w:rsidRPr="00510E1C">
              <w:t>to show the relationship between the values,</w:t>
            </w:r>
            <w:r>
              <w:t xml:space="preserve"> where the colon means </w:t>
            </w:r>
            <w:r w:rsidR="00D97DD9">
              <w:t>‘</w:t>
            </w:r>
            <w:r>
              <w:t>is to</w:t>
            </w:r>
            <w:r w:rsidR="00D97DD9">
              <w:t>’.</w:t>
            </w:r>
          </w:p>
          <w:p w:rsidR="00394F17" w:rsidRDefault="00394F17" w:rsidP="00210893">
            <w:pPr>
              <w:widowControl w:val="0"/>
              <w:spacing w:after="80"/>
              <w:ind w:left="57"/>
            </w:pPr>
            <w:r>
              <w:t xml:space="preserve">For example, </w:t>
            </w:r>
            <w:r w:rsidRPr="00510E1C">
              <w:t xml:space="preserve">5:1 means </w:t>
            </w:r>
            <w:r w:rsidR="00D97DD9">
              <w:t>‘</w:t>
            </w:r>
            <w:r w:rsidRPr="00510E1C">
              <w:t>five is to one</w:t>
            </w:r>
            <w:r w:rsidR="00D97DD9">
              <w:t>’</w:t>
            </w:r>
            <w:r w:rsidR="00D97DD9" w:rsidRPr="00510E1C">
              <w:t>.</w:t>
            </w:r>
          </w:p>
        </w:tc>
      </w:tr>
      <w:tr w:rsidR="00394F17" w:rsidTr="00130488">
        <w:tc>
          <w:tcPr>
            <w:tcW w:w="9639" w:type="dxa"/>
            <w:shd w:val="clear" w:color="auto" w:fill="auto"/>
          </w:tcPr>
          <w:p w:rsidR="00394F17" w:rsidRDefault="00394F17" w:rsidP="00130488">
            <w:pPr>
              <w:widowControl w:val="0"/>
              <w:spacing w:after="80"/>
              <w:ind w:left="57"/>
            </w:pPr>
            <w:r>
              <w:t>The order of values is very important when representing ratios.</w:t>
            </w:r>
          </w:p>
          <w:p w:rsidR="00394F17" w:rsidRDefault="00394F17" w:rsidP="00130488">
            <w:pPr>
              <w:widowControl w:val="0"/>
              <w:spacing w:after="80"/>
              <w:ind w:left="57"/>
            </w:pPr>
            <w:r>
              <w:t xml:space="preserve">That is, </w:t>
            </w:r>
            <w:r w:rsidRPr="00DB1AE9">
              <w:t>5:1 is different from 1:5</w:t>
            </w:r>
            <w:r>
              <w:t>.</w:t>
            </w:r>
          </w:p>
        </w:tc>
      </w:tr>
      <w:tr w:rsidR="00394F17" w:rsidTr="00130488">
        <w:tc>
          <w:tcPr>
            <w:tcW w:w="9639" w:type="dxa"/>
            <w:shd w:val="clear" w:color="auto" w:fill="auto"/>
          </w:tcPr>
          <w:p w:rsidR="00394F17" w:rsidRDefault="00394F17" w:rsidP="00130488">
            <w:pPr>
              <w:widowControl w:val="0"/>
              <w:spacing w:after="80"/>
              <w:ind w:left="57"/>
            </w:pPr>
            <w:r w:rsidRPr="00DF1123">
              <w:t>Ratios represented in ratio or fraction form can be simplifie</w:t>
            </w:r>
            <w:r>
              <w:t>d down to their simplest terms.</w:t>
            </w:r>
            <w:r>
              <w:br/>
              <w:t xml:space="preserve">For example, </w:t>
            </w:r>
            <w:r w:rsidRPr="00755B81">
              <w:t>2:10 = 1:5</w:t>
            </w:r>
            <w:r>
              <w:t xml:space="preserve">; </w:t>
            </w:r>
            <w:r w:rsidRPr="00C51333">
              <w:rPr>
                <w:position w:val="-22"/>
              </w:rPr>
              <w:object w:dxaOrig="240" w:dyaOrig="580">
                <v:shape id="_x0000_i1027" type="#_x0000_t75" style="width:12.25pt;height:28.55pt" o:ole="">
                  <v:imagedata r:id="rId65" o:title=""/>
                </v:shape>
                <o:OLEObject Type="Embed" ProgID="Equation.3" ShapeID="_x0000_i1027" DrawAspect="Content" ObjectID="_1454840981" r:id="rId66"/>
              </w:object>
            </w:r>
            <w:r>
              <w:t xml:space="preserve"> </w:t>
            </w:r>
            <w:proofErr w:type="gramStart"/>
            <w:r>
              <w:t xml:space="preserve">= </w:t>
            </w:r>
            <w:proofErr w:type="gramEnd"/>
            <w:r w:rsidRPr="00C51333">
              <w:rPr>
                <w:position w:val="-22"/>
              </w:rPr>
              <w:object w:dxaOrig="240" w:dyaOrig="580">
                <v:shape id="_x0000_i1028" type="#_x0000_t75" style="width:12.25pt;height:28.55pt" o:ole="">
                  <v:imagedata r:id="rId67" o:title=""/>
                </v:shape>
                <o:OLEObject Type="Embed" ProgID="Equation.3" ShapeID="_x0000_i1028" DrawAspect="Content" ObjectID="_1454840982" r:id="rId68"/>
              </w:object>
            </w:r>
            <w:r>
              <w:t>.</w:t>
            </w:r>
          </w:p>
        </w:tc>
      </w:tr>
    </w:tbl>
    <w:p w:rsidR="00394F17" w:rsidRDefault="00394F17" w:rsidP="00394F17">
      <w:pPr>
        <w:pStyle w:val="mediumspace"/>
      </w:pPr>
    </w:p>
    <w:p w:rsidR="00581229" w:rsidRDefault="00581229" w:rsidP="00C6672A">
      <w:pPr>
        <w:keepNext/>
        <w:rPr>
          <w:rFonts w:eastAsia="SimSun"/>
        </w:rPr>
      </w:pPr>
    </w:p>
    <w:sectPr w:rsidR="00581229" w:rsidSect="00AA2D71">
      <w:headerReference w:type="default" r:id="rId69"/>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898" w:rsidRDefault="00AB1898">
      <w:r>
        <w:separator/>
      </w:r>
    </w:p>
    <w:p w:rsidR="00AB1898" w:rsidRDefault="00AB1898"/>
    <w:p w:rsidR="00AB1898" w:rsidRDefault="00AB1898"/>
  </w:endnote>
  <w:endnote w:type="continuationSeparator" w:id="0">
    <w:p w:rsidR="00AB1898" w:rsidRDefault="00AB1898">
      <w:r>
        <w:continuationSeparator/>
      </w:r>
    </w:p>
    <w:p w:rsidR="00AB1898" w:rsidRDefault="00AB1898"/>
    <w:p w:rsidR="00AB1898" w:rsidRDefault="00AB1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20B070402020202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C749D6">
          <w:rPr>
            <w:rStyle w:val="Footerbold"/>
            <w:rFonts w:eastAsia="SimSun"/>
          </w:rPr>
          <w:t>Year 7 Mathematics Sample assessment Teacher guidelines | Refreshing drinks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C749D6">
      <w:rPr>
        <w:rFonts w:eastAsia="SimSun"/>
        <w:noProof/>
      </w:rPr>
      <w:t>February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855483">
    <w:pPr>
      <w:pStyle w:val="Footereven"/>
      <w:ind w:left="0"/>
    </w:pPr>
    <w:r>
      <w:rPr>
        <w:noProof/>
        <w:lang w:eastAsia="en-AU"/>
      </w:rPr>
      <w:drawing>
        <wp:anchor distT="0" distB="0" distL="114300" distR="114300" simplePos="0" relativeHeight="251662336" behindDoc="0" locked="0" layoutInCell="1" allowOverlap="1">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anchor>
      </w:drawing>
    </w:r>
    <w:r>
      <w:rPr>
        <w:noProof/>
        <w:lang w:eastAsia="en-AU"/>
      </w:rPr>
      <w:drawing>
        <wp:anchor distT="0" distB="0" distL="114300" distR="114300" simplePos="0" relativeHeight="251663360" behindDoc="0" locked="0" layoutInCell="1" allowOverlap="1">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p>
  <w:p w:rsidR="00BB6CF5" w:rsidRPr="002B765B" w:rsidRDefault="00BB6CF5"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9"/>
      <w:gridCol w:w="4478"/>
      <w:gridCol w:w="2342"/>
    </w:tblGrid>
    <w:tr w:rsidR="00BB6CF5" w:rsidRPr="00AA051F" w:rsidTr="002E739C">
      <w:tc>
        <w:tcPr>
          <w:tcW w:w="2528" w:type="dxa"/>
          <w:vAlign w:val="center"/>
        </w:tcPr>
        <w:p w:rsidR="00BB6CF5" w:rsidRPr="00AA051F" w:rsidRDefault="00AB1898" w:rsidP="00E52F3C">
          <w:pPr>
            <w:pStyle w:val="Footerbox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12.4pt;height:247.4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B6CF5" w:rsidRPr="00AA051F">
            <w:t>Australian Curriculum</w:t>
          </w:r>
          <w:r w:rsidR="00BB6CF5" w:rsidRPr="00AA051F">
            <w:br/>
          </w:r>
          <w:r w:rsidR="00BB6CF5">
            <w:t>Year 7 Mathematics</w:t>
          </w:r>
        </w:p>
      </w:tc>
      <w:tc>
        <w:tcPr>
          <w:tcW w:w="4840" w:type="dxa"/>
          <w:vAlign w:val="center"/>
        </w:tcPr>
        <w:p w:rsidR="00BB6CF5" w:rsidRPr="00AA051F" w:rsidRDefault="00BB6CF5" w:rsidP="00AA051F">
          <w:pPr>
            <w:pStyle w:val="Footerboxed"/>
          </w:pPr>
          <w:r>
            <w:t>Refreshing drinks- DRAFT</w:t>
          </w:r>
        </w:p>
      </w:tc>
      <w:tc>
        <w:tcPr>
          <w:tcW w:w="2487" w:type="dxa"/>
          <w:vAlign w:val="center"/>
        </w:tcPr>
        <w:p w:rsidR="00BB6CF5" w:rsidRPr="00AA051F" w:rsidRDefault="00BB6CF5" w:rsidP="00552D47">
          <w:pPr>
            <w:pStyle w:val="Footerboxed"/>
          </w:pPr>
          <w:r w:rsidRPr="00AA051F">
            <w:t>Teacher guidelines</w:t>
          </w:r>
        </w:p>
      </w:tc>
    </w:tr>
  </w:tbl>
  <w:p w:rsidR="00BB6CF5" w:rsidRPr="00581229" w:rsidRDefault="00BB6CF5"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9"/>
      <w:gridCol w:w="4478"/>
      <w:gridCol w:w="2342"/>
    </w:tblGrid>
    <w:tr w:rsidR="00BB6CF5" w:rsidRPr="00AA051F" w:rsidTr="00E25D8A">
      <w:tc>
        <w:tcPr>
          <w:tcW w:w="2528" w:type="dxa"/>
          <w:vAlign w:val="center"/>
        </w:tcPr>
        <w:p w:rsidR="00BB6CF5" w:rsidRPr="00AA051F" w:rsidRDefault="00BB6CF5" w:rsidP="00E52F3C">
          <w:pPr>
            <w:spacing w:before="20" w:after="40"/>
            <w:jc w:val="center"/>
            <w:rPr>
              <w:color w:val="00948D"/>
              <w:sz w:val="18"/>
              <w:szCs w:val="18"/>
            </w:rPr>
          </w:pPr>
          <w:r w:rsidRPr="00AA051F">
            <w:rPr>
              <w:color w:val="00948D"/>
              <w:sz w:val="18"/>
              <w:szCs w:val="18"/>
            </w:rPr>
            <w:t>Australian Curriculum</w:t>
          </w:r>
          <w:r w:rsidRPr="00AA051F">
            <w:rPr>
              <w:color w:val="00948D"/>
              <w:sz w:val="18"/>
              <w:szCs w:val="18"/>
            </w:rPr>
            <w:br/>
          </w:r>
          <w:r>
            <w:rPr>
              <w:color w:val="00948D"/>
              <w:sz w:val="18"/>
              <w:szCs w:val="18"/>
            </w:rPr>
            <w:t>Year 7 Mathematics</w:t>
          </w:r>
        </w:p>
      </w:tc>
      <w:tc>
        <w:tcPr>
          <w:tcW w:w="4840" w:type="dxa"/>
          <w:vAlign w:val="center"/>
        </w:tcPr>
        <w:p w:rsidR="00BB6CF5" w:rsidRPr="00AA051F" w:rsidRDefault="00BB6CF5" w:rsidP="00130488">
          <w:pPr>
            <w:pStyle w:val="Footer"/>
            <w:spacing w:before="20" w:after="40"/>
            <w:jc w:val="center"/>
            <w:rPr>
              <w:sz w:val="18"/>
              <w:szCs w:val="18"/>
            </w:rPr>
          </w:pPr>
          <w:r>
            <w:rPr>
              <w:sz w:val="18"/>
              <w:szCs w:val="18"/>
            </w:rPr>
            <w:t>Refreshing drinks</w:t>
          </w:r>
        </w:p>
      </w:tc>
      <w:tc>
        <w:tcPr>
          <w:tcW w:w="2487" w:type="dxa"/>
          <w:vAlign w:val="center"/>
        </w:tcPr>
        <w:p w:rsidR="00BB6CF5" w:rsidRPr="00AA051F" w:rsidRDefault="00BB6CF5" w:rsidP="00E25D8A">
          <w:pPr>
            <w:pStyle w:val="Footer"/>
            <w:spacing w:before="20" w:after="40"/>
            <w:jc w:val="center"/>
            <w:rPr>
              <w:sz w:val="18"/>
              <w:szCs w:val="18"/>
            </w:rPr>
          </w:pPr>
          <w:r w:rsidRPr="00AA051F">
            <w:rPr>
              <w:sz w:val="18"/>
              <w:szCs w:val="18"/>
            </w:rPr>
            <w:t>Teacher guidelines</w:t>
          </w:r>
        </w:p>
      </w:tc>
    </w:tr>
  </w:tbl>
  <w:p w:rsidR="00BB6CF5" w:rsidRDefault="00BB6CF5"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855483">
    <w:pPr>
      <w:pStyle w:val="Footereven"/>
      <w:ind w:left="0"/>
    </w:pPr>
    <w:r>
      <w:rPr>
        <w:noProof/>
        <w:lang w:eastAsia="en-AU"/>
      </w:rPr>
      <w:drawing>
        <wp:anchor distT="0" distB="0" distL="114300" distR="114300" simplePos="0" relativeHeight="251660288" behindDoc="0" locked="0" layoutInCell="1" allowOverlap="1" wp14:anchorId="7C1342BA" wp14:editId="09F3E70A">
          <wp:simplePos x="180975" y="9267825"/>
          <wp:positionH relativeFrom="page">
            <wp:align>right</wp:align>
          </wp:positionH>
          <wp:positionV relativeFrom="page">
            <wp:align>bottom</wp:align>
          </wp:positionV>
          <wp:extent cx="3304800" cy="954000"/>
          <wp:effectExtent l="0" t="0" r="0" b="0"/>
          <wp:wrapSquare wrapText="bothSides"/>
          <wp:docPr id="2" name="Picture 2"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r>
      <w:rPr>
        <w:noProof/>
        <w:lang w:eastAsia="en-AU"/>
      </w:rPr>
      <w:drawing>
        <wp:anchor distT="0" distB="0" distL="114300" distR="114300" simplePos="0" relativeHeight="251659264" behindDoc="0" locked="0" layoutInCell="1" allowOverlap="1" wp14:anchorId="6CF31BB5" wp14:editId="457AEDFB">
          <wp:simplePos x="180975" y="9267825"/>
          <wp:positionH relativeFrom="page">
            <wp:align>left</wp:align>
          </wp:positionH>
          <wp:positionV relativeFrom="page">
            <wp:align>bottom</wp:align>
          </wp:positionV>
          <wp:extent cx="2343600" cy="954000"/>
          <wp:effectExtent l="0" t="0" r="0" b="0"/>
          <wp:wrapSquare wrapText="bothSides"/>
          <wp:docPr id="3" name="Picture 3"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anchor>
      </w:drawing>
    </w:r>
  </w:p>
  <w:p w:rsidR="00BB6CF5" w:rsidRPr="002B765B" w:rsidRDefault="00BB6CF5"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898" w:rsidRDefault="00AB1898">
      <w:r>
        <w:separator/>
      </w:r>
    </w:p>
    <w:p w:rsidR="00AB1898" w:rsidRDefault="00AB1898"/>
    <w:p w:rsidR="00AB1898" w:rsidRDefault="00AB1898"/>
  </w:footnote>
  <w:footnote w:type="continuationSeparator" w:id="0">
    <w:p w:rsidR="00AB1898" w:rsidRDefault="00AB1898">
      <w:r>
        <w:continuationSeparator/>
      </w:r>
    </w:p>
    <w:p w:rsidR="00AB1898" w:rsidRDefault="00AB1898"/>
    <w:p w:rsidR="00AB1898" w:rsidRDefault="00AB18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AB1898" w:rsidP="006A3EE5">
    <w:pPr>
      <w:pStyle w:val="Header"/>
      <w:tabs>
        <w:tab w:val="clear" w:pos="482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32.55pt;margin-top:264.55pt;width:412.4pt;height:247.45pt;rotation:315;z-index:-251649024;mso-position-horizontal-relative:margin;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Pr="0084277D" w:rsidRDefault="00BB6CF5" w:rsidP="0084277D">
    <w:pPr>
      <w:pStyle w:val="smallspace0"/>
    </w:pPr>
    <w:r>
      <w:rPr>
        <w:noProof/>
      </w:rPr>
      <w:drawing>
        <wp:anchor distT="0" distB="0" distL="114300" distR="114300" simplePos="0" relativeHeight="251664384" behindDoc="1" locked="0" layoutInCell="1" allowOverlap="1">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pPr>
      <w:pStyle w:val="Header"/>
    </w:pPr>
    <w:r>
      <w:t>Appendix 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6A3EE5">
    <w:pPr>
      <w:pStyle w:val="Header"/>
      <w:tabs>
        <w:tab w:val="clear" w:pos="482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BB6CF5" w:rsidTr="00855483">
      <w:trPr>
        <w:trHeight w:hRule="exact" w:val="1418"/>
      </w:trPr>
      <w:tc>
        <w:tcPr>
          <w:tcW w:w="7169" w:type="dxa"/>
          <w:shd w:val="clear" w:color="auto" w:fill="00948D"/>
          <w:vAlign w:val="center"/>
        </w:tcPr>
        <w:sdt>
          <w:sdtPr>
            <w:alias w:val="Title"/>
            <w:tag w:val="Title"/>
            <w:id w:val="-1527705495"/>
            <w:showingPlcHdr/>
            <w:dataBinding w:xpath="/root[1]/Title[1]" w:storeItemID="{9F91A637-B11B-436E-A39E-8401CC97DF6C}"/>
            <w:text/>
          </w:sdtPr>
          <w:sdtEndPr/>
          <w:sdtContent>
            <w:p w:rsidR="00BB6CF5" w:rsidRPr="00A6572F" w:rsidRDefault="00BB6CF5" w:rsidP="00855483">
              <w:pPr>
                <w:pStyle w:val="Title"/>
              </w:pPr>
              <w:r>
                <w:t xml:space="preserve">     </w:t>
              </w:r>
            </w:p>
          </w:sdtContent>
        </w:sdt>
        <w:p w:rsidR="00BB6CF5" w:rsidRPr="00A6572F" w:rsidRDefault="00BB6CF5" w:rsidP="00855483">
          <w:pPr>
            <w:pStyle w:val="Subtitle"/>
          </w:pPr>
          <w:r>
            <w:fldChar w:fldCharType="begin"/>
          </w:r>
          <w:r>
            <w:instrText xml:space="preserve"> MACROBUTTON  InsertAutoText </w:instrText>
          </w:r>
          <w:r>
            <w:fldChar w:fldCharType="end"/>
          </w:r>
          <w:sdt>
            <w:sdtPr>
              <w:rPr>
                <w:rStyle w:val="SubtitleChar"/>
              </w:rPr>
              <w:alias w:val="Subtitle"/>
              <w:tag w:val="Subtitle"/>
              <w:id w:val="-819644108"/>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BB6CF5" w:rsidRPr="003360F9" w:rsidRDefault="00BB6CF5" w:rsidP="002B765B">
          <w:pPr>
            <w:spacing w:before="0"/>
            <w:jc w:val="right"/>
          </w:pPr>
          <w:r>
            <w:rPr>
              <w:noProof/>
            </w:rPr>
            <w:drawing>
              <wp:inline distT="0" distB="0" distL="0" distR="0" wp14:anchorId="39A34DD9" wp14:editId="48EE6130">
                <wp:extent cx="1050925" cy="896747"/>
                <wp:effectExtent l="0" t="0" r="0" b="0"/>
                <wp:docPr id="1" name="Picture 1"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B6CF5" w:rsidRPr="002B765B" w:rsidRDefault="00BB6CF5" w:rsidP="002B765B">
    <w:pPr>
      <w:pStyle w:val="smallspac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5" w:rsidRDefault="00BB6CF5" w:rsidP="006A3EE5">
    <w:pPr>
      <w:pStyle w:val="Header"/>
      <w:tabs>
        <w:tab w:val="clear" w:pos="4820"/>
      </w:tabs>
    </w:pPr>
    <w:r>
      <w:t>Appendix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65E6CCF"/>
    <w:multiLevelType w:val="multilevel"/>
    <w:tmpl w:val="3808DDDE"/>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3">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4A66776"/>
    <w:multiLevelType w:val="multilevel"/>
    <w:tmpl w:val="D03C0D98"/>
    <w:numStyleLink w:val="BulletsList"/>
  </w:abstractNum>
  <w:abstractNum w:abstractNumId="5">
    <w:nsid w:val="1522746D"/>
    <w:multiLevelType w:val="hybridMultilevel"/>
    <w:tmpl w:val="DA7EA7F0"/>
    <w:lvl w:ilvl="0" w:tplc="7AE4156A">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CE36357"/>
    <w:multiLevelType w:val="hybridMultilevel"/>
    <w:tmpl w:val="B07AA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C83230"/>
    <w:multiLevelType w:val="hybridMultilevel"/>
    <w:tmpl w:val="1E82C62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9">
    <w:nsid w:val="29C0612E"/>
    <w:multiLevelType w:val="hybridMultilevel"/>
    <w:tmpl w:val="C520D89A"/>
    <w:lvl w:ilvl="0" w:tplc="12AA70E0">
      <w:start w:val="1"/>
      <w:numFmt w:val="bullet"/>
      <w:lvlText w:val=""/>
      <w:lvlJc w:val="left"/>
      <w:pPr>
        <w:ind w:left="720" w:hanging="360"/>
      </w:pPr>
      <w:rPr>
        <w:rFonts w:ascii="Symbol" w:hAnsi="Symbol" w:hint="default"/>
        <w:color w:val="00948D"/>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06B3286"/>
    <w:multiLevelType w:val="hybridMultilevel"/>
    <w:tmpl w:val="07522648"/>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1">
    <w:nsid w:val="42365A71"/>
    <w:multiLevelType w:val="hybridMultilevel"/>
    <w:tmpl w:val="E2CC52FE"/>
    <w:lvl w:ilvl="0" w:tplc="2F54267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44407F6"/>
    <w:multiLevelType w:val="hybridMultilevel"/>
    <w:tmpl w:val="554CD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29828B0"/>
    <w:multiLevelType w:val="hybridMultilevel"/>
    <w:tmpl w:val="58BC8FBC"/>
    <w:lvl w:ilvl="0" w:tplc="97B0ADBA">
      <w:start w:val="1"/>
      <w:numFmt w:val="bullet"/>
      <w:lvlText w:val=""/>
      <w:lvlJc w:val="left"/>
      <w:pPr>
        <w:tabs>
          <w:tab w:val="num" w:pos="397"/>
        </w:tabs>
        <w:ind w:left="397" w:hanging="397"/>
      </w:pPr>
      <w:rPr>
        <w:rFonts w:ascii="Symbol" w:hAnsi="Symbol" w:hint="default"/>
        <w:color w:val="00948D"/>
      </w:rPr>
    </w:lvl>
    <w:lvl w:ilvl="1" w:tplc="0C090003" w:tentative="1">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18">
    <w:nsid w:val="65594CFB"/>
    <w:multiLevelType w:val="hybridMultilevel"/>
    <w:tmpl w:val="EDB60E24"/>
    <w:lvl w:ilvl="0" w:tplc="0C090001">
      <w:start w:val="1"/>
      <w:numFmt w:val="bullet"/>
      <w:lvlText w:val=""/>
      <w:lvlJc w:val="left"/>
      <w:pPr>
        <w:ind w:left="720" w:hanging="360"/>
      </w:pPr>
      <w:rPr>
        <w:rFonts w:ascii="Symbol" w:hAnsi="Symbol" w:hint="default"/>
      </w:rPr>
    </w:lvl>
    <w:lvl w:ilvl="1" w:tplc="4A88D7B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0">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2">
    <w:nsid w:val="7F3430B4"/>
    <w:multiLevelType w:val="multilevel"/>
    <w:tmpl w:val="D03C0D98"/>
    <w:numStyleLink w:val="BulletsList"/>
  </w:abstractNum>
  <w:num w:numId="1">
    <w:abstractNumId w:val="15"/>
  </w:num>
  <w:num w:numId="2">
    <w:abstractNumId w:val="12"/>
  </w:num>
  <w:num w:numId="3">
    <w:abstractNumId w:val="0"/>
  </w:num>
  <w:num w:numId="4">
    <w:abstractNumId w:val="10"/>
  </w:num>
  <w:num w:numId="5">
    <w:abstractNumId w:val="5"/>
  </w:num>
  <w:num w:numId="6">
    <w:abstractNumId w:val="16"/>
  </w:num>
  <w:num w:numId="7">
    <w:abstractNumId w:val="1"/>
  </w:num>
  <w:num w:numId="8">
    <w:abstractNumId w:val="20"/>
  </w:num>
  <w:num w:numId="9">
    <w:abstractNumId w:val="6"/>
  </w:num>
  <w:num w:numId="10">
    <w:abstractNumId w:val="10"/>
  </w:num>
  <w:num w:numId="11">
    <w:abstractNumId w:val="19"/>
  </w:num>
  <w:num w:numId="12">
    <w:abstractNumId w:val="3"/>
  </w:num>
  <w:num w:numId="13">
    <w:abstractNumId w:val="21"/>
  </w:num>
  <w:num w:numId="14">
    <w:abstractNumId w:val="22"/>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2"/>
  </w:num>
  <w:num w:numId="16">
    <w:abstractNumId w:val="21"/>
  </w:num>
  <w:num w:numId="17">
    <w:abstractNumId w:val="4"/>
  </w:num>
  <w:num w:numId="18">
    <w:abstractNumId w:val="13"/>
  </w:num>
  <w:num w:numId="19">
    <w:abstractNumId w:val="14"/>
  </w:num>
  <w:num w:numId="20">
    <w:abstractNumId w:val="8"/>
  </w:num>
  <w:num w:numId="21">
    <w:abstractNumId w:val="7"/>
  </w:num>
  <w:num w:numId="22">
    <w:abstractNumId w:val="18"/>
  </w:num>
  <w:num w:numId="23">
    <w:abstractNumId w:val="10"/>
  </w:num>
  <w:num w:numId="24">
    <w:abstractNumId w:val="11"/>
  </w:num>
  <w:num w:numId="25">
    <w:abstractNumId w:val="2"/>
  </w:num>
  <w:num w:numId="26">
    <w:abstractNumId w:val="9"/>
  </w:num>
  <w:num w:numId="27">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drawingGridHorizontalSpacing w:val="110"/>
  <w:drawingGridVerticalSpacing w:val="299"/>
  <w:displayHorizont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59"/>
    <w:rsid w:val="00001DE7"/>
    <w:rsid w:val="000031A4"/>
    <w:rsid w:val="0000651C"/>
    <w:rsid w:val="00010FBE"/>
    <w:rsid w:val="00014040"/>
    <w:rsid w:val="0001588C"/>
    <w:rsid w:val="00025D91"/>
    <w:rsid w:val="00026388"/>
    <w:rsid w:val="00027AF7"/>
    <w:rsid w:val="00030DAB"/>
    <w:rsid w:val="00032344"/>
    <w:rsid w:val="00032413"/>
    <w:rsid w:val="0003252B"/>
    <w:rsid w:val="00032A99"/>
    <w:rsid w:val="00033A02"/>
    <w:rsid w:val="00033DBD"/>
    <w:rsid w:val="00035203"/>
    <w:rsid w:val="00042417"/>
    <w:rsid w:val="00042CCA"/>
    <w:rsid w:val="00043015"/>
    <w:rsid w:val="0004461A"/>
    <w:rsid w:val="00045580"/>
    <w:rsid w:val="00046924"/>
    <w:rsid w:val="000543DE"/>
    <w:rsid w:val="00061F57"/>
    <w:rsid w:val="0006205A"/>
    <w:rsid w:val="000658BE"/>
    <w:rsid w:val="000670CC"/>
    <w:rsid w:val="00067264"/>
    <w:rsid w:val="00073A64"/>
    <w:rsid w:val="0007560B"/>
    <w:rsid w:val="00076922"/>
    <w:rsid w:val="00077236"/>
    <w:rsid w:val="00083F6D"/>
    <w:rsid w:val="000869F0"/>
    <w:rsid w:val="00095CC0"/>
    <w:rsid w:val="000964DF"/>
    <w:rsid w:val="000A041A"/>
    <w:rsid w:val="000A0941"/>
    <w:rsid w:val="000A1078"/>
    <w:rsid w:val="000A1E86"/>
    <w:rsid w:val="000A5738"/>
    <w:rsid w:val="000A6B3B"/>
    <w:rsid w:val="000A704A"/>
    <w:rsid w:val="000B2A1B"/>
    <w:rsid w:val="000B2F97"/>
    <w:rsid w:val="000C7031"/>
    <w:rsid w:val="000C76A5"/>
    <w:rsid w:val="000C7E57"/>
    <w:rsid w:val="000D2B55"/>
    <w:rsid w:val="000D2D55"/>
    <w:rsid w:val="000D4545"/>
    <w:rsid w:val="000D4D91"/>
    <w:rsid w:val="000D7398"/>
    <w:rsid w:val="000E1FFE"/>
    <w:rsid w:val="000E30B3"/>
    <w:rsid w:val="000E3F33"/>
    <w:rsid w:val="000E49E2"/>
    <w:rsid w:val="000F1EC4"/>
    <w:rsid w:val="000F76B4"/>
    <w:rsid w:val="000F76EF"/>
    <w:rsid w:val="001029DB"/>
    <w:rsid w:val="00103B53"/>
    <w:rsid w:val="00103E73"/>
    <w:rsid w:val="0010639F"/>
    <w:rsid w:val="001065FB"/>
    <w:rsid w:val="00107966"/>
    <w:rsid w:val="001148F8"/>
    <w:rsid w:val="00115C59"/>
    <w:rsid w:val="001171E5"/>
    <w:rsid w:val="00122937"/>
    <w:rsid w:val="00124A32"/>
    <w:rsid w:val="00125EF7"/>
    <w:rsid w:val="00126BC8"/>
    <w:rsid w:val="00130488"/>
    <w:rsid w:val="00130772"/>
    <w:rsid w:val="00135475"/>
    <w:rsid w:val="00135C0D"/>
    <w:rsid w:val="00140672"/>
    <w:rsid w:val="00141C43"/>
    <w:rsid w:val="00145904"/>
    <w:rsid w:val="001461C5"/>
    <w:rsid w:val="00147170"/>
    <w:rsid w:val="0015354A"/>
    <w:rsid w:val="001548ED"/>
    <w:rsid w:val="001551A7"/>
    <w:rsid w:val="001703E9"/>
    <w:rsid w:val="001739A8"/>
    <w:rsid w:val="00174891"/>
    <w:rsid w:val="00177597"/>
    <w:rsid w:val="00177A03"/>
    <w:rsid w:val="001826BD"/>
    <w:rsid w:val="0018407F"/>
    <w:rsid w:val="00190A27"/>
    <w:rsid w:val="00193ED0"/>
    <w:rsid w:val="001947AE"/>
    <w:rsid w:val="00196445"/>
    <w:rsid w:val="001A3E7D"/>
    <w:rsid w:val="001A51A3"/>
    <w:rsid w:val="001A7D7B"/>
    <w:rsid w:val="001C4039"/>
    <w:rsid w:val="001C546A"/>
    <w:rsid w:val="001C6D32"/>
    <w:rsid w:val="001C6DF4"/>
    <w:rsid w:val="001C7FCA"/>
    <w:rsid w:val="001D24DA"/>
    <w:rsid w:val="001D6C85"/>
    <w:rsid w:val="001E1961"/>
    <w:rsid w:val="001E2984"/>
    <w:rsid w:val="001F0042"/>
    <w:rsid w:val="001F12B6"/>
    <w:rsid w:val="001F1CE1"/>
    <w:rsid w:val="001F2178"/>
    <w:rsid w:val="001F601E"/>
    <w:rsid w:val="00200478"/>
    <w:rsid w:val="002008B6"/>
    <w:rsid w:val="0020301A"/>
    <w:rsid w:val="00205D97"/>
    <w:rsid w:val="002075A4"/>
    <w:rsid w:val="002077BC"/>
    <w:rsid w:val="00207832"/>
    <w:rsid w:val="00210577"/>
    <w:rsid w:val="00210893"/>
    <w:rsid w:val="0021356D"/>
    <w:rsid w:val="002153B1"/>
    <w:rsid w:val="00221C9C"/>
    <w:rsid w:val="00227B1B"/>
    <w:rsid w:val="00233BB5"/>
    <w:rsid w:val="00240CA5"/>
    <w:rsid w:val="00246563"/>
    <w:rsid w:val="002544FC"/>
    <w:rsid w:val="002603CE"/>
    <w:rsid w:val="00261676"/>
    <w:rsid w:val="00263E4C"/>
    <w:rsid w:val="002656FF"/>
    <w:rsid w:val="00272E7C"/>
    <w:rsid w:val="00274EBE"/>
    <w:rsid w:val="00286A7F"/>
    <w:rsid w:val="00292FF4"/>
    <w:rsid w:val="002956F6"/>
    <w:rsid w:val="0029649B"/>
    <w:rsid w:val="002A67D6"/>
    <w:rsid w:val="002B259B"/>
    <w:rsid w:val="002B61E8"/>
    <w:rsid w:val="002B66CD"/>
    <w:rsid w:val="002B765B"/>
    <w:rsid w:val="002B7D96"/>
    <w:rsid w:val="002C1F67"/>
    <w:rsid w:val="002C3949"/>
    <w:rsid w:val="002C6890"/>
    <w:rsid w:val="002D132A"/>
    <w:rsid w:val="002D173C"/>
    <w:rsid w:val="002D290F"/>
    <w:rsid w:val="002D2EB1"/>
    <w:rsid w:val="002D3E26"/>
    <w:rsid w:val="002D52C4"/>
    <w:rsid w:val="002D5324"/>
    <w:rsid w:val="002D7673"/>
    <w:rsid w:val="002D7859"/>
    <w:rsid w:val="002E33DE"/>
    <w:rsid w:val="002E4C72"/>
    <w:rsid w:val="002E739C"/>
    <w:rsid w:val="002F25CE"/>
    <w:rsid w:val="002F33A4"/>
    <w:rsid w:val="002F3B4B"/>
    <w:rsid w:val="0030281B"/>
    <w:rsid w:val="003044FC"/>
    <w:rsid w:val="00304C72"/>
    <w:rsid w:val="00322B93"/>
    <w:rsid w:val="003266CD"/>
    <w:rsid w:val="00330CF7"/>
    <w:rsid w:val="00331DD9"/>
    <w:rsid w:val="00335ADE"/>
    <w:rsid w:val="003406AC"/>
    <w:rsid w:val="003425AB"/>
    <w:rsid w:val="00345A5C"/>
    <w:rsid w:val="003465AA"/>
    <w:rsid w:val="00346E9C"/>
    <w:rsid w:val="003547DB"/>
    <w:rsid w:val="0035700C"/>
    <w:rsid w:val="00362472"/>
    <w:rsid w:val="0036333C"/>
    <w:rsid w:val="003636A6"/>
    <w:rsid w:val="0036522C"/>
    <w:rsid w:val="003664A3"/>
    <w:rsid w:val="003701E0"/>
    <w:rsid w:val="00372E92"/>
    <w:rsid w:val="00374361"/>
    <w:rsid w:val="00374483"/>
    <w:rsid w:val="00384F3B"/>
    <w:rsid w:val="00386638"/>
    <w:rsid w:val="00386F21"/>
    <w:rsid w:val="00391C0E"/>
    <w:rsid w:val="00393E8B"/>
    <w:rsid w:val="00394F17"/>
    <w:rsid w:val="00396C14"/>
    <w:rsid w:val="003A1A44"/>
    <w:rsid w:val="003A3484"/>
    <w:rsid w:val="003A3B32"/>
    <w:rsid w:val="003B07B0"/>
    <w:rsid w:val="003B7762"/>
    <w:rsid w:val="003D4F91"/>
    <w:rsid w:val="003D73D8"/>
    <w:rsid w:val="003D7CEA"/>
    <w:rsid w:val="003E0A5E"/>
    <w:rsid w:val="003E0E83"/>
    <w:rsid w:val="003E62B0"/>
    <w:rsid w:val="003F1A88"/>
    <w:rsid w:val="003F1B1C"/>
    <w:rsid w:val="004005C2"/>
    <w:rsid w:val="00402392"/>
    <w:rsid w:val="00407B37"/>
    <w:rsid w:val="00411FD8"/>
    <w:rsid w:val="0041250C"/>
    <w:rsid w:val="00412D11"/>
    <w:rsid w:val="004145C3"/>
    <w:rsid w:val="00415B31"/>
    <w:rsid w:val="004167A6"/>
    <w:rsid w:val="00417E9D"/>
    <w:rsid w:val="00421B16"/>
    <w:rsid w:val="00423A60"/>
    <w:rsid w:val="00423B46"/>
    <w:rsid w:val="004262FC"/>
    <w:rsid w:val="004419DA"/>
    <w:rsid w:val="00443FB3"/>
    <w:rsid w:val="00444725"/>
    <w:rsid w:val="004456BE"/>
    <w:rsid w:val="004500FF"/>
    <w:rsid w:val="00450711"/>
    <w:rsid w:val="004535A9"/>
    <w:rsid w:val="00453BE3"/>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7D9C"/>
    <w:rsid w:val="0048197A"/>
    <w:rsid w:val="00482F79"/>
    <w:rsid w:val="00483F3B"/>
    <w:rsid w:val="00486ECC"/>
    <w:rsid w:val="00487176"/>
    <w:rsid w:val="00493356"/>
    <w:rsid w:val="004A10E1"/>
    <w:rsid w:val="004A2506"/>
    <w:rsid w:val="004A3149"/>
    <w:rsid w:val="004A36BB"/>
    <w:rsid w:val="004A60BB"/>
    <w:rsid w:val="004A63FF"/>
    <w:rsid w:val="004A68F4"/>
    <w:rsid w:val="004A6B37"/>
    <w:rsid w:val="004B2147"/>
    <w:rsid w:val="004B706F"/>
    <w:rsid w:val="004C146C"/>
    <w:rsid w:val="004C3081"/>
    <w:rsid w:val="004C38B9"/>
    <w:rsid w:val="004C3954"/>
    <w:rsid w:val="004C43C1"/>
    <w:rsid w:val="004C7384"/>
    <w:rsid w:val="004D04F0"/>
    <w:rsid w:val="004D19DD"/>
    <w:rsid w:val="004D24DE"/>
    <w:rsid w:val="004D4DB3"/>
    <w:rsid w:val="004E5C44"/>
    <w:rsid w:val="004F313E"/>
    <w:rsid w:val="004F36D4"/>
    <w:rsid w:val="004F3B8B"/>
    <w:rsid w:val="004F6801"/>
    <w:rsid w:val="004F6974"/>
    <w:rsid w:val="0050387B"/>
    <w:rsid w:val="00503E19"/>
    <w:rsid w:val="005052ED"/>
    <w:rsid w:val="00506708"/>
    <w:rsid w:val="005070E0"/>
    <w:rsid w:val="005112E5"/>
    <w:rsid w:val="005120D8"/>
    <w:rsid w:val="00517FB8"/>
    <w:rsid w:val="0052010F"/>
    <w:rsid w:val="0052050E"/>
    <w:rsid w:val="0052313B"/>
    <w:rsid w:val="00523E3F"/>
    <w:rsid w:val="0052459A"/>
    <w:rsid w:val="00530886"/>
    <w:rsid w:val="00537D1B"/>
    <w:rsid w:val="005471A7"/>
    <w:rsid w:val="0055092E"/>
    <w:rsid w:val="00552D47"/>
    <w:rsid w:val="0056076A"/>
    <w:rsid w:val="005632AE"/>
    <w:rsid w:val="00565CC8"/>
    <w:rsid w:val="005678C2"/>
    <w:rsid w:val="00576206"/>
    <w:rsid w:val="00577B53"/>
    <w:rsid w:val="00581229"/>
    <w:rsid w:val="00582D36"/>
    <w:rsid w:val="00583BD5"/>
    <w:rsid w:val="00586220"/>
    <w:rsid w:val="005928D6"/>
    <w:rsid w:val="005A29D0"/>
    <w:rsid w:val="005A54C4"/>
    <w:rsid w:val="005A6DDB"/>
    <w:rsid w:val="005B0F3B"/>
    <w:rsid w:val="005B7A3F"/>
    <w:rsid w:val="005B7EBD"/>
    <w:rsid w:val="005C0BC3"/>
    <w:rsid w:val="005C0F27"/>
    <w:rsid w:val="005C38EE"/>
    <w:rsid w:val="005C4B63"/>
    <w:rsid w:val="005C4F84"/>
    <w:rsid w:val="005C5B93"/>
    <w:rsid w:val="005C68F1"/>
    <w:rsid w:val="005C7699"/>
    <w:rsid w:val="005D3480"/>
    <w:rsid w:val="005D767A"/>
    <w:rsid w:val="005E1659"/>
    <w:rsid w:val="005E1AD6"/>
    <w:rsid w:val="005E6236"/>
    <w:rsid w:val="005E6790"/>
    <w:rsid w:val="005E70B4"/>
    <w:rsid w:val="005F0EE4"/>
    <w:rsid w:val="005F1C74"/>
    <w:rsid w:val="005F688E"/>
    <w:rsid w:val="005F7BF6"/>
    <w:rsid w:val="00617FEA"/>
    <w:rsid w:val="00622542"/>
    <w:rsid w:val="00622EEE"/>
    <w:rsid w:val="00626613"/>
    <w:rsid w:val="006350A4"/>
    <w:rsid w:val="006431BA"/>
    <w:rsid w:val="00643C1B"/>
    <w:rsid w:val="00643FEC"/>
    <w:rsid w:val="00644EF5"/>
    <w:rsid w:val="00652626"/>
    <w:rsid w:val="00654AD8"/>
    <w:rsid w:val="00657FF4"/>
    <w:rsid w:val="00660414"/>
    <w:rsid w:val="00660BE9"/>
    <w:rsid w:val="00666420"/>
    <w:rsid w:val="0067043C"/>
    <w:rsid w:val="006733E3"/>
    <w:rsid w:val="00675426"/>
    <w:rsid w:val="00677F9B"/>
    <w:rsid w:val="00680FA3"/>
    <w:rsid w:val="00683898"/>
    <w:rsid w:val="00686DF2"/>
    <w:rsid w:val="00687891"/>
    <w:rsid w:val="00687F39"/>
    <w:rsid w:val="00690B41"/>
    <w:rsid w:val="00694D96"/>
    <w:rsid w:val="00696083"/>
    <w:rsid w:val="006A03B7"/>
    <w:rsid w:val="006A0C43"/>
    <w:rsid w:val="006A3EE5"/>
    <w:rsid w:val="006A5222"/>
    <w:rsid w:val="006A5E2B"/>
    <w:rsid w:val="006A651A"/>
    <w:rsid w:val="006B22CB"/>
    <w:rsid w:val="006B57D6"/>
    <w:rsid w:val="006B6B74"/>
    <w:rsid w:val="006B708E"/>
    <w:rsid w:val="006C7B26"/>
    <w:rsid w:val="006D25EB"/>
    <w:rsid w:val="006D27FB"/>
    <w:rsid w:val="006D2954"/>
    <w:rsid w:val="006E229B"/>
    <w:rsid w:val="006E6F88"/>
    <w:rsid w:val="006F1232"/>
    <w:rsid w:val="006F4556"/>
    <w:rsid w:val="006F6BFB"/>
    <w:rsid w:val="00705986"/>
    <w:rsid w:val="00707D7E"/>
    <w:rsid w:val="00711051"/>
    <w:rsid w:val="0071289B"/>
    <w:rsid w:val="00713C79"/>
    <w:rsid w:val="007211E7"/>
    <w:rsid w:val="00722885"/>
    <w:rsid w:val="00726039"/>
    <w:rsid w:val="007322C6"/>
    <w:rsid w:val="00737522"/>
    <w:rsid w:val="00746A42"/>
    <w:rsid w:val="0074773D"/>
    <w:rsid w:val="007549F9"/>
    <w:rsid w:val="0076171C"/>
    <w:rsid w:val="007714FA"/>
    <w:rsid w:val="00772AF0"/>
    <w:rsid w:val="00774078"/>
    <w:rsid w:val="007828A0"/>
    <w:rsid w:val="00783EF7"/>
    <w:rsid w:val="00791E9D"/>
    <w:rsid w:val="00795430"/>
    <w:rsid w:val="00797106"/>
    <w:rsid w:val="007A53E8"/>
    <w:rsid w:val="007A570B"/>
    <w:rsid w:val="007A6A6F"/>
    <w:rsid w:val="007A6EA1"/>
    <w:rsid w:val="007B1478"/>
    <w:rsid w:val="007B1E7A"/>
    <w:rsid w:val="007B407B"/>
    <w:rsid w:val="007C0595"/>
    <w:rsid w:val="007C129E"/>
    <w:rsid w:val="007C3CF3"/>
    <w:rsid w:val="007C5347"/>
    <w:rsid w:val="007C5794"/>
    <w:rsid w:val="007D00B9"/>
    <w:rsid w:val="007D2174"/>
    <w:rsid w:val="007E14E8"/>
    <w:rsid w:val="007E1FB5"/>
    <w:rsid w:val="007E467E"/>
    <w:rsid w:val="007E7998"/>
    <w:rsid w:val="007F1239"/>
    <w:rsid w:val="007F39A1"/>
    <w:rsid w:val="007F7FE9"/>
    <w:rsid w:val="008108D8"/>
    <w:rsid w:val="008207CD"/>
    <w:rsid w:val="00825079"/>
    <w:rsid w:val="00827653"/>
    <w:rsid w:val="00831B60"/>
    <w:rsid w:val="008331B9"/>
    <w:rsid w:val="00837EE0"/>
    <w:rsid w:val="008406A0"/>
    <w:rsid w:val="00842772"/>
    <w:rsid w:val="0084277D"/>
    <w:rsid w:val="00842D41"/>
    <w:rsid w:val="0084713D"/>
    <w:rsid w:val="008543B9"/>
    <w:rsid w:val="00855483"/>
    <w:rsid w:val="00863D9B"/>
    <w:rsid w:val="008646E5"/>
    <w:rsid w:val="008671C0"/>
    <w:rsid w:val="00871287"/>
    <w:rsid w:val="008721B3"/>
    <w:rsid w:val="00875983"/>
    <w:rsid w:val="00881EFD"/>
    <w:rsid w:val="0088630F"/>
    <w:rsid w:val="0089026E"/>
    <w:rsid w:val="00892BDE"/>
    <w:rsid w:val="00893B6D"/>
    <w:rsid w:val="008A12B0"/>
    <w:rsid w:val="008A1957"/>
    <w:rsid w:val="008A31C9"/>
    <w:rsid w:val="008A3ADA"/>
    <w:rsid w:val="008A5AEB"/>
    <w:rsid w:val="008A6D1A"/>
    <w:rsid w:val="008B0A6A"/>
    <w:rsid w:val="008B1236"/>
    <w:rsid w:val="008B1CE6"/>
    <w:rsid w:val="008B43D0"/>
    <w:rsid w:val="008B4E49"/>
    <w:rsid w:val="008C1980"/>
    <w:rsid w:val="008C4F74"/>
    <w:rsid w:val="008C617B"/>
    <w:rsid w:val="008C7857"/>
    <w:rsid w:val="008C78DF"/>
    <w:rsid w:val="008D04CA"/>
    <w:rsid w:val="008D0E30"/>
    <w:rsid w:val="008D55A1"/>
    <w:rsid w:val="008D7C48"/>
    <w:rsid w:val="008E05BD"/>
    <w:rsid w:val="008E11DE"/>
    <w:rsid w:val="008E1D6A"/>
    <w:rsid w:val="008E67BA"/>
    <w:rsid w:val="008F2064"/>
    <w:rsid w:val="008F2C5C"/>
    <w:rsid w:val="008F5B60"/>
    <w:rsid w:val="008F5E1C"/>
    <w:rsid w:val="008F6F2A"/>
    <w:rsid w:val="00902F1C"/>
    <w:rsid w:val="00903406"/>
    <w:rsid w:val="00905E95"/>
    <w:rsid w:val="00906568"/>
    <w:rsid w:val="00907A41"/>
    <w:rsid w:val="009126E0"/>
    <w:rsid w:val="00912EE6"/>
    <w:rsid w:val="00917E4B"/>
    <w:rsid w:val="0092220E"/>
    <w:rsid w:val="00927B91"/>
    <w:rsid w:val="009315C5"/>
    <w:rsid w:val="00931B2E"/>
    <w:rsid w:val="00932DF4"/>
    <w:rsid w:val="00933AC0"/>
    <w:rsid w:val="00935D69"/>
    <w:rsid w:val="0093795E"/>
    <w:rsid w:val="00942E82"/>
    <w:rsid w:val="0094556A"/>
    <w:rsid w:val="0094644D"/>
    <w:rsid w:val="00947255"/>
    <w:rsid w:val="00954490"/>
    <w:rsid w:val="00954542"/>
    <w:rsid w:val="00962C2E"/>
    <w:rsid w:val="00962F1D"/>
    <w:rsid w:val="009747FE"/>
    <w:rsid w:val="00977F19"/>
    <w:rsid w:val="00980DE3"/>
    <w:rsid w:val="00981390"/>
    <w:rsid w:val="00982365"/>
    <w:rsid w:val="00985391"/>
    <w:rsid w:val="00990074"/>
    <w:rsid w:val="009915CF"/>
    <w:rsid w:val="00993BCB"/>
    <w:rsid w:val="0099497D"/>
    <w:rsid w:val="0099576A"/>
    <w:rsid w:val="00997970"/>
    <w:rsid w:val="00997F6F"/>
    <w:rsid w:val="009A2E8A"/>
    <w:rsid w:val="009A789C"/>
    <w:rsid w:val="009B25E8"/>
    <w:rsid w:val="009B5B3B"/>
    <w:rsid w:val="009C258C"/>
    <w:rsid w:val="009C3496"/>
    <w:rsid w:val="009C39B5"/>
    <w:rsid w:val="009C4175"/>
    <w:rsid w:val="009D3A42"/>
    <w:rsid w:val="009E0C80"/>
    <w:rsid w:val="009E5523"/>
    <w:rsid w:val="009E7A73"/>
    <w:rsid w:val="009F0CDF"/>
    <w:rsid w:val="009F3B2A"/>
    <w:rsid w:val="009F6B3E"/>
    <w:rsid w:val="00A002C7"/>
    <w:rsid w:val="00A01B55"/>
    <w:rsid w:val="00A1151F"/>
    <w:rsid w:val="00A12F40"/>
    <w:rsid w:val="00A1382A"/>
    <w:rsid w:val="00A1505C"/>
    <w:rsid w:val="00A17CED"/>
    <w:rsid w:val="00A20D15"/>
    <w:rsid w:val="00A21585"/>
    <w:rsid w:val="00A2191A"/>
    <w:rsid w:val="00A224CD"/>
    <w:rsid w:val="00A23112"/>
    <w:rsid w:val="00A25984"/>
    <w:rsid w:val="00A3109F"/>
    <w:rsid w:val="00A3143A"/>
    <w:rsid w:val="00A3396F"/>
    <w:rsid w:val="00A33AE0"/>
    <w:rsid w:val="00A35439"/>
    <w:rsid w:val="00A35D3B"/>
    <w:rsid w:val="00A44C54"/>
    <w:rsid w:val="00A508A9"/>
    <w:rsid w:val="00A5506A"/>
    <w:rsid w:val="00A552F0"/>
    <w:rsid w:val="00A55FB3"/>
    <w:rsid w:val="00A57ACC"/>
    <w:rsid w:val="00A57ED4"/>
    <w:rsid w:val="00A63230"/>
    <w:rsid w:val="00A6791A"/>
    <w:rsid w:val="00A72C38"/>
    <w:rsid w:val="00A74640"/>
    <w:rsid w:val="00A7548F"/>
    <w:rsid w:val="00A758CA"/>
    <w:rsid w:val="00A77A42"/>
    <w:rsid w:val="00A80197"/>
    <w:rsid w:val="00A84B3A"/>
    <w:rsid w:val="00A84EFE"/>
    <w:rsid w:val="00A93A2E"/>
    <w:rsid w:val="00A9716F"/>
    <w:rsid w:val="00AA051F"/>
    <w:rsid w:val="00AA1612"/>
    <w:rsid w:val="00AA2D71"/>
    <w:rsid w:val="00AB1898"/>
    <w:rsid w:val="00AB70C8"/>
    <w:rsid w:val="00AB7E76"/>
    <w:rsid w:val="00AC332E"/>
    <w:rsid w:val="00AD05B1"/>
    <w:rsid w:val="00AD284F"/>
    <w:rsid w:val="00AD736C"/>
    <w:rsid w:val="00AE2D4C"/>
    <w:rsid w:val="00AE470C"/>
    <w:rsid w:val="00AE7F34"/>
    <w:rsid w:val="00AF07E3"/>
    <w:rsid w:val="00AF39B0"/>
    <w:rsid w:val="00AF5074"/>
    <w:rsid w:val="00AF543B"/>
    <w:rsid w:val="00B0121E"/>
    <w:rsid w:val="00B02A7A"/>
    <w:rsid w:val="00B02AA8"/>
    <w:rsid w:val="00B04CEE"/>
    <w:rsid w:val="00B05173"/>
    <w:rsid w:val="00B101E4"/>
    <w:rsid w:val="00B1084C"/>
    <w:rsid w:val="00B119DF"/>
    <w:rsid w:val="00B13144"/>
    <w:rsid w:val="00B16CD9"/>
    <w:rsid w:val="00B315B6"/>
    <w:rsid w:val="00B3261F"/>
    <w:rsid w:val="00B32A15"/>
    <w:rsid w:val="00B34144"/>
    <w:rsid w:val="00B42805"/>
    <w:rsid w:val="00B4591B"/>
    <w:rsid w:val="00B51B3C"/>
    <w:rsid w:val="00B5526C"/>
    <w:rsid w:val="00B57D25"/>
    <w:rsid w:val="00B62E37"/>
    <w:rsid w:val="00B643B5"/>
    <w:rsid w:val="00B64E3D"/>
    <w:rsid w:val="00B675F6"/>
    <w:rsid w:val="00B73480"/>
    <w:rsid w:val="00B75D50"/>
    <w:rsid w:val="00B84A97"/>
    <w:rsid w:val="00B8634B"/>
    <w:rsid w:val="00B94A92"/>
    <w:rsid w:val="00B96164"/>
    <w:rsid w:val="00B96348"/>
    <w:rsid w:val="00B96411"/>
    <w:rsid w:val="00B96A7D"/>
    <w:rsid w:val="00B9743C"/>
    <w:rsid w:val="00BA5999"/>
    <w:rsid w:val="00BA5AF0"/>
    <w:rsid w:val="00BA7C99"/>
    <w:rsid w:val="00BB0E44"/>
    <w:rsid w:val="00BB200B"/>
    <w:rsid w:val="00BB2CB1"/>
    <w:rsid w:val="00BB69CF"/>
    <w:rsid w:val="00BB6CF5"/>
    <w:rsid w:val="00BC0BD9"/>
    <w:rsid w:val="00BC3210"/>
    <w:rsid w:val="00BC4962"/>
    <w:rsid w:val="00BC6005"/>
    <w:rsid w:val="00BC7A1D"/>
    <w:rsid w:val="00BD1472"/>
    <w:rsid w:val="00BD7002"/>
    <w:rsid w:val="00BE042C"/>
    <w:rsid w:val="00BE1105"/>
    <w:rsid w:val="00BE34F9"/>
    <w:rsid w:val="00BE5FDA"/>
    <w:rsid w:val="00BE6DA1"/>
    <w:rsid w:val="00C032ED"/>
    <w:rsid w:val="00C04C9E"/>
    <w:rsid w:val="00C0510B"/>
    <w:rsid w:val="00C06B50"/>
    <w:rsid w:val="00C13373"/>
    <w:rsid w:val="00C15956"/>
    <w:rsid w:val="00C17C5D"/>
    <w:rsid w:val="00C31323"/>
    <w:rsid w:val="00C313F2"/>
    <w:rsid w:val="00C31DBB"/>
    <w:rsid w:val="00C32150"/>
    <w:rsid w:val="00C33DC5"/>
    <w:rsid w:val="00C34854"/>
    <w:rsid w:val="00C4086D"/>
    <w:rsid w:val="00C42C86"/>
    <w:rsid w:val="00C44783"/>
    <w:rsid w:val="00C500CF"/>
    <w:rsid w:val="00C518D4"/>
    <w:rsid w:val="00C52CEF"/>
    <w:rsid w:val="00C55786"/>
    <w:rsid w:val="00C575C3"/>
    <w:rsid w:val="00C61DBF"/>
    <w:rsid w:val="00C65786"/>
    <w:rsid w:val="00C6672A"/>
    <w:rsid w:val="00C66DDE"/>
    <w:rsid w:val="00C710F5"/>
    <w:rsid w:val="00C7219E"/>
    <w:rsid w:val="00C749D6"/>
    <w:rsid w:val="00C80AA2"/>
    <w:rsid w:val="00C832FB"/>
    <w:rsid w:val="00C8500A"/>
    <w:rsid w:val="00C86A6D"/>
    <w:rsid w:val="00C90DCF"/>
    <w:rsid w:val="00C90FE0"/>
    <w:rsid w:val="00CA11A8"/>
    <w:rsid w:val="00CB2FD6"/>
    <w:rsid w:val="00CC1119"/>
    <w:rsid w:val="00CC1967"/>
    <w:rsid w:val="00CC1BEC"/>
    <w:rsid w:val="00CC3162"/>
    <w:rsid w:val="00CC3D59"/>
    <w:rsid w:val="00CC73EE"/>
    <w:rsid w:val="00CC76F5"/>
    <w:rsid w:val="00CD553C"/>
    <w:rsid w:val="00CD7584"/>
    <w:rsid w:val="00CE1AC5"/>
    <w:rsid w:val="00CF1348"/>
    <w:rsid w:val="00CF3501"/>
    <w:rsid w:val="00CF566E"/>
    <w:rsid w:val="00CF66D1"/>
    <w:rsid w:val="00D00F57"/>
    <w:rsid w:val="00D02E2F"/>
    <w:rsid w:val="00D10A7F"/>
    <w:rsid w:val="00D1265B"/>
    <w:rsid w:val="00D14799"/>
    <w:rsid w:val="00D14D37"/>
    <w:rsid w:val="00D15107"/>
    <w:rsid w:val="00D1758B"/>
    <w:rsid w:val="00D22FF0"/>
    <w:rsid w:val="00D256AF"/>
    <w:rsid w:val="00D32FF2"/>
    <w:rsid w:val="00D3575B"/>
    <w:rsid w:val="00D368B1"/>
    <w:rsid w:val="00D41726"/>
    <w:rsid w:val="00D43C31"/>
    <w:rsid w:val="00D44DBA"/>
    <w:rsid w:val="00D60634"/>
    <w:rsid w:val="00D6503F"/>
    <w:rsid w:val="00D65AD7"/>
    <w:rsid w:val="00D67FBE"/>
    <w:rsid w:val="00D71542"/>
    <w:rsid w:val="00D71B49"/>
    <w:rsid w:val="00D75580"/>
    <w:rsid w:val="00D7560B"/>
    <w:rsid w:val="00D7701C"/>
    <w:rsid w:val="00D77150"/>
    <w:rsid w:val="00D819F7"/>
    <w:rsid w:val="00D8768B"/>
    <w:rsid w:val="00D87F03"/>
    <w:rsid w:val="00D90209"/>
    <w:rsid w:val="00D968D0"/>
    <w:rsid w:val="00D97DD9"/>
    <w:rsid w:val="00DA05CF"/>
    <w:rsid w:val="00DA13A4"/>
    <w:rsid w:val="00DA1F91"/>
    <w:rsid w:val="00DA2605"/>
    <w:rsid w:val="00DA3F5B"/>
    <w:rsid w:val="00DA4B94"/>
    <w:rsid w:val="00DB0D98"/>
    <w:rsid w:val="00DB5734"/>
    <w:rsid w:val="00DB5E2A"/>
    <w:rsid w:val="00DB7B18"/>
    <w:rsid w:val="00DC0B7F"/>
    <w:rsid w:val="00DC1384"/>
    <w:rsid w:val="00DC2DC8"/>
    <w:rsid w:val="00DC4258"/>
    <w:rsid w:val="00DC69C5"/>
    <w:rsid w:val="00DC7E44"/>
    <w:rsid w:val="00DD73DB"/>
    <w:rsid w:val="00DD75F1"/>
    <w:rsid w:val="00DE2DC2"/>
    <w:rsid w:val="00DE3D0D"/>
    <w:rsid w:val="00DE3E6E"/>
    <w:rsid w:val="00DE4579"/>
    <w:rsid w:val="00DE4B3F"/>
    <w:rsid w:val="00DE5019"/>
    <w:rsid w:val="00DE7B47"/>
    <w:rsid w:val="00DF08A9"/>
    <w:rsid w:val="00DF2D72"/>
    <w:rsid w:val="00E018D4"/>
    <w:rsid w:val="00E06E5D"/>
    <w:rsid w:val="00E14A79"/>
    <w:rsid w:val="00E1552A"/>
    <w:rsid w:val="00E2355E"/>
    <w:rsid w:val="00E24044"/>
    <w:rsid w:val="00E24553"/>
    <w:rsid w:val="00E24DA5"/>
    <w:rsid w:val="00E25D8A"/>
    <w:rsid w:val="00E35CD6"/>
    <w:rsid w:val="00E37EC9"/>
    <w:rsid w:val="00E40497"/>
    <w:rsid w:val="00E411C4"/>
    <w:rsid w:val="00E4148E"/>
    <w:rsid w:val="00E450BE"/>
    <w:rsid w:val="00E45D49"/>
    <w:rsid w:val="00E511A5"/>
    <w:rsid w:val="00E52F3C"/>
    <w:rsid w:val="00E5782E"/>
    <w:rsid w:val="00E60AE0"/>
    <w:rsid w:val="00E62256"/>
    <w:rsid w:val="00E65F68"/>
    <w:rsid w:val="00E71123"/>
    <w:rsid w:val="00E71855"/>
    <w:rsid w:val="00E80F35"/>
    <w:rsid w:val="00E825FE"/>
    <w:rsid w:val="00E83BAD"/>
    <w:rsid w:val="00E867CE"/>
    <w:rsid w:val="00E87E71"/>
    <w:rsid w:val="00E96274"/>
    <w:rsid w:val="00E965F1"/>
    <w:rsid w:val="00EA06E5"/>
    <w:rsid w:val="00EA111A"/>
    <w:rsid w:val="00EA1796"/>
    <w:rsid w:val="00EA2AEC"/>
    <w:rsid w:val="00EB4E34"/>
    <w:rsid w:val="00EB7994"/>
    <w:rsid w:val="00EC22F9"/>
    <w:rsid w:val="00EC46AF"/>
    <w:rsid w:val="00EC6F49"/>
    <w:rsid w:val="00EC7E25"/>
    <w:rsid w:val="00ED24F3"/>
    <w:rsid w:val="00ED6C05"/>
    <w:rsid w:val="00EE0AFE"/>
    <w:rsid w:val="00EE15F5"/>
    <w:rsid w:val="00EE2DC7"/>
    <w:rsid w:val="00EE3FF8"/>
    <w:rsid w:val="00EF12C0"/>
    <w:rsid w:val="00F04DBF"/>
    <w:rsid w:val="00F10465"/>
    <w:rsid w:val="00F11918"/>
    <w:rsid w:val="00F13ABC"/>
    <w:rsid w:val="00F142C3"/>
    <w:rsid w:val="00F14D9C"/>
    <w:rsid w:val="00F15CA5"/>
    <w:rsid w:val="00F16EBF"/>
    <w:rsid w:val="00F245EB"/>
    <w:rsid w:val="00F24A94"/>
    <w:rsid w:val="00F25591"/>
    <w:rsid w:val="00F30500"/>
    <w:rsid w:val="00F3327C"/>
    <w:rsid w:val="00F41E00"/>
    <w:rsid w:val="00F4206B"/>
    <w:rsid w:val="00F43651"/>
    <w:rsid w:val="00F50ED8"/>
    <w:rsid w:val="00F551FC"/>
    <w:rsid w:val="00F555A1"/>
    <w:rsid w:val="00F55890"/>
    <w:rsid w:val="00F561C0"/>
    <w:rsid w:val="00F662FF"/>
    <w:rsid w:val="00F6724A"/>
    <w:rsid w:val="00F67EFD"/>
    <w:rsid w:val="00F70789"/>
    <w:rsid w:val="00F7378C"/>
    <w:rsid w:val="00F744DD"/>
    <w:rsid w:val="00F77464"/>
    <w:rsid w:val="00F8272A"/>
    <w:rsid w:val="00F858B5"/>
    <w:rsid w:val="00F91E54"/>
    <w:rsid w:val="00F94067"/>
    <w:rsid w:val="00F95E3F"/>
    <w:rsid w:val="00F96E23"/>
    <w:rsid w:val="00F97316"/>
    <w:rsid w:val="00F97B1E"/>
    <w:rsid w:val="00FA0595"/>
    <w:rsid w:val="00FA449E"/>
    <w:rsid w:val="00FA771A"/>
    <w:rsid w:val="00FB00F1"/>
    <w:rsid w:val="00FB1D8F"/>
    <w:rsid w:val="00FB3688"/>
    <w:rsid w:val="00FB7AF4"/>
    <w:rsid w:val="00FC195A"/>
    <w:rsid w:val="00FC1C66"/>
    <w:rsid w:val="00FC4958"/>
    <w:rsid w:val="00FD01ED"/>
    <w:rsid w:val="00FD4236"/>
    <w:rsid w:val="00FD6CF5"/>
    <w:rsid w:val="00FD6F17"/>
    <w:rsid w:val="00FE09CB"/>
    <w:rsid w:val="00FE7F08"/>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394F17"/>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2077BC"/>
    <w:pPr>
      <w:spacing w:before="100" w:beforeAutospacing="1" w:after="100" w:afterAutospacing="1" w:line="240" w:lineRule="auto"/>
    </w:pPr>
    <w:rPr>
      <w:rFonts w:ascii="Times New Roman" w:hAnsi="Times New Roman"/>
      <w:sz w:val="24"/>
      <w:szCs w:val="24"/>
    </w:rPr>
  </w:style>
  <w:style w:type="paragraph" w:customStyle="1" w:styleId="Checkboxcheckedbulletlist">
    <w:name w:val="Checkbox checked bullet list"/>
    <w:basedOn w:val="Normal"/>
    <w:qFormat/>
    <w:rsid w:val="00E52F3C"/>
    <w:pPr>
      <w:spacing w:before="80" w:after="160"/>
      <w:ind w:left="720" w:hanging="360"/>
    </w:pPr>
  </w:style>
  <w:style w:type="paragraph" w:customStyle="1" w:styleId="mediumspace">
    <w:name w:val="_medium space"/>
    <w:basedOn w:val="Normal"/>
    <w:qFormat/>
    <w:rsid w:val="00394F17"/>
    <w:pPr>
      <w:spacing w:before="0" w:after="0" w:line="240" w:lineRule="auto"/>
    </w:pPr>
  </w:style>
  <w:style w:type="paragraph" w:customStyle="1" w:styleId="Heading1Table">
    <w:name w:val="Heading 1 Table"/>
    <w:rsid w:val="00394F17"/>
    <w:pPr>
      <w:keepNext/>
      <w:tabs>
        <w:tab w:val="right" w:pos="7939"/>
      </w:tabs>
      <w:suppressAutoHyphens/>
      <w:spacing w:before="40" w:after="40" w:line="240" w:lineRule="auto"/>
    </w:pPr>
    <w:rPr>
      <w:rFonts w:cs="Arial"/>
      <w:b/>
      <w:bCs/>
      <w:i/>
      <w:iCs/>
      <w:sz w:val="23"/>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394F17"/>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2077BC"/>
    <w:pPr>
      <w:spacing w:before="100" w:beforeAutospacing="1" w:after="100" w:afterAutospacing="1" w:line="240" w:lineRule="auto"/>
    </w:pPr>
    <w:rPr>
      <w:rFonts w:ascii="Times New Roman" w:hAnsi="Times New Roman"/>
      <w:sz w:val="24"/>
      <w:szCs w:val="24"/>
    </w:rPr>
  </w:style>
  <w:style w:type="paragraph" w:customStyle="1" w:styleId="Checkboxcheckedbulletlist">
    <w:name w:val="Checkbox checked bullet list"/>
    <w:basedOn w:val="Normal"/>
    <w:qFormat/>
    <w:rsid w:val="00E52F3C"/>
    <w:pPr>
      <w:spacing w:before="80" w:after="160"/>
      <w:ind w:left="720" w:hanging="360"/>
    </w:pPr>
  </w:style>
  <w:style w:type="paragraph" w:customStyle="1" w:styleId="mediumspace">
    <w:name w:val="_medium space"/>
    <w:basedOn w:val="Normal"/>
    <w:qFormat/>
    <w:rsid w:val="00394F17"/>
    <w:pPr>
      <w:spacing w:before="0" w:after="0" w:line="240" w:lineRule="auto"/>
    </w:pPr>
  </w:style>
  <w:style w:type="paragraph" w:customStyle="1" w:styleId="Heading1Table">
    <w:name w:val="Heading 1 Table"/>
    <w:rsid w:val="00394F17"/>
    <w:pPr>
      <w:keepNext/>
      <w:tabs>
        <w:tab w:val="right" w:pos="7939"/>
      </w:tabs>
      <w:suppressAutoHyphens/>
      <w:spacing w:before="40" w:after="40" w:line="240" w:lineRule="auto"/>
    </w:pPr>
    <w:rPr>
      <w:rFonts w:cs="Arial"/>
      <w:b/>
      <w:bCs/>
      <w:i/>
      <w:iCs/>
      <w:sz w:val="23"/>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312107632">
      <w:bodyDiv w:val="1"/>
      <w:marLeft w:val="0"/>
      <w:marRight w:val="0"/>
      <w:marTop w:val="0"/>
      <w:marBottom w:val="0"/>
      <w:divBdr>
        <w:top w:val="none" w:sz="0" w:space="0" w:color="auto"/>
        <w:left w:val="none" w:sz="0" w:space="0" w:color="auto"/>
        <w:bottom w:val="none" w:sz="0" w:space="0" w:color="auto"/>
        <w:right w:val="none" w:sz="0" w:space="0" w:color="auto"/>
      </w:divBdr>
      <w:divsChild>
        <w:div w:id="1684475955">
          <w:marLeft w:val="0"/>
          <w:marRight w:val="0"/>
          <w:marTop w:val="0"/>
          <w:marBottom w:val="0"/>
          <w:divBdr>
            <w:top w:val="none" w:sz="0" w:space="0" w:color="auto"/>
            <w:left w:val="none" w:sz="0" w:space="0" w:color="auto"/>
            <w:bottom w:val="none" w:sz="0" w:space="0" w:color="auto"/>
            <w:right w:val="none" w:sz="0" w:space="0" w:color="auto"/>
          </w:divBdr>
          <w:divsChild>
            <w:div w:id="12840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09719">
      <w:bodyDiv w:val="1"/>
      <w:marLeft w:val="0"/>
      <w:marRight w:val="0"/>
      <w:marTop w:val="0"/>
      <w:marBottom w:val="0"/>
      <w:divBdr>
        <w:top w:val="none" w:sz="0" w:space="0" w:color="auto"/>
        <w:left w:val="none" w:sz="0" w:space="0" w:color="auto"/>
        <w:bottom w:val="none" w:sz="0" w:space="0" w:color="auto"/>
        <w:right w:val="none" w:sz="0" w:space="0" w:color="auto"/>
      </w:divBdr>
      <w:divsChild>
        <w:div w:id="1530921574">
          <w:marLeft w:val="0"/>
          <w:marRight w:val="0"/>
          <w:marTop w:val="0"/>
          <w:marBottom w:val="0"/>
          <w:divBdr>
            <w:top w:val="none" w:sz="0" w:space="0" w:color="auto"/>
            <w:left w:val="none" w:sz="0" w:space="0" w:color="auto"/>
            <w:bottom w:val="none" w:sz="0" w:space="0" w:color="auto"/>
            <w:right w:val="none" w:sz="0" w:space="0" w:color="auto"/>
          </w:divBdr>
          <w:divsChild>
            <w:div w:id="17867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59885">
      <w:bodyDiv w:val="1"/>
      <w:marLeft w:val="0"/>
      <w:marRight w:val="0"/>
      <w:marTop w:val="0"/>
      <w:marBottom w:val="0"/>
      <w:divBdr>
        <w:top w:val="none" w:sz="0" w:space="0" w:color="auto"/>
        <w:left w:val="none" w:sz="0" w:space="0" w:color="auto"/>
        <w:bottom w:val="none" w:sz="0" w:space="0" w:color="auto"/>
        <w:right w:val="none" w:sz="0" w:space="0" w:color="auto"/>
      </w:divBdr>
      <w:divsChild>
        <w:div w:id="445581557">
          <w:marLeft w:val="0"/>
          <w:marRight w:val="0"/>
          <w:marTop w:val="0"/>
          <w:marBottom w:val="0"/>
          <w:divBdr>
            <w:top w:val="none" w:sz="0" w:space="0" w:color="auto"/>
            <w:left w:val="none" w:sz="0" w:space="0" w:color="auto"/>
            <w:bottom w:val="none" w:sz="0" w:space="0" w:color="auto"/>
            <w:right w:val="none" w:sz="0" w:space="0" w:color="auto"/>
          </w:divBdr>
          <w:divsChild>
            <w:div w:id="49953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940791">
      <w:bodyDiv w:val="1"/>
      <w:marLeft w:val="0"/>
      <w:marRight w:val="0"/>
      <w:marTop w:val="0"/>
      <w:marBottom w:val="0"/>
      <w:divBdr>
        <w:top w:val="none" w:sz="0" w:space="0" w:color="auto"/>
        <w:left w:val="none" w:sz="0" w:space="0" w:color="auto"/>
        <w:bottom w:val="none" w:sz="0" w:space="0" w:color="auto"/>
        <w:right w:val="none" w:sz="0" w:space="0" w:color="auto"/>
      </w:divBdr>
      <w:divsChild>
        <w:div w:id="915432503">
          <w:marLeft w:val="0"/>
          <w:marRight w:val="0"/>
          <w:marTop w:val="0"/>
          <w:marBottom w:val="0"/>
          <w:divBdr>
            <w:top w:val="none" w:sz="0" w:space="0" w:color="auto"/>
            <w:left w:val="none" w:sz="0" w:space="0" w:color="auto"/>
            <w:bottom w:val="none" w:sz="0" w:space="0" w:color="auto"/>
            <w:right w:val="none" w:sz="0" w:space="0" w:color="auto"/>
          </w:divBdr>
          <w:divsChild>
            <w:div w:id="19326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54534">
      <w:bodyDiv w:val="1"/>
      <w:marLeft w:val="0"/>
      <w:marRight w:val="0"/>
      <w:marTop w:val="0"/>
      <w:marBottom w:val="0"/>
      <w:divBdr>
        <w:top w:val="none" w:sz="0" w:space="0" w:color="auto"/>
        <w:left w:val="none" w:sz="0" w:space="0" w:color="auto"/>
        <w:bottom w:val="none" w:sz="0" w:space="0" w:color="auto"/>
        <w:right w:val="none" w:sz="0" w:space="0" w:color="auto"/>
      </w:divBdr>
      <w:divsChild>
        <w:div w:id="1540625059">
          <w:marLeft w:val="0"/>
          <w:marRight w:val="0"/>
          <w:marTop w:val="0"/>
          <w:marBottom w:val="0"/>
          <w:divBdr>
            <w:top w:val="none" w:sz="0" w:space="0" w:color="auto"/>
            <w:left w:val="none" w:sz="0" w:space="0" w:color="auto"/>
            <w:bottom w:val="none" w:sz="0" w:space="0" w:color="auto"/>
            <w:right w:val="none" w:sz="0" w:space="0" w:color="auto"/>
          </w:divBdr>
          <w:divsChild>
            <w:div w:id="10067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qsa.qld.edu.au/yr7-maths-resources.html" TargetMode="External"/><Relationship Id="rId26" Type="http://schemas.openxmlformats.org/officeDocument/2006/relationships/hyperlink" Target="http://www.australiancurriculum.edu.au/Curriculum/ContentDescription/ACMNA152" TargetMode="External"/><Relationship Id="rId39" Type="http://schemas.openxmlformats.org/officeDocument/2006/relationships/hyperlink" Target="http://www.australiancurriculum.edu.au/Glossary?a=&amp;t=Describe" TargetMode="External"/><Relationship Id="rId21" Type="http://schemas.openxmlformats.org/officeDocument/2006/relationships/hyperlink" Target="http://www.australiancurriculum.edu.au" TargetMode="External"/><Relationship Id="rId34" Type="http://schemas.openxmlformats.org/officeDocument/2006/relationships/image" Target="media/image7.png"/><Relationship Id="rId42" Type="http://schemas.openxmlformats.org/officeDocument/2006/relationships/hyperlink" Target="http://www.australiancurriculum.edu.au/Glossary?a=&amp;t=Identify" TargetMode="External"/><Relationship Id="rId47" Type="http://schemas.openxmlformats.org/officeDocument/2006/relationships/hyperlink" Target="http://www.qsa.qld.edu.au/yr7-maths-resources.html" TargetMode="External"/><Relationship Id="rId50" Type="http://schemas.openxmlformats.org/officeDocument/2006/relationships/hyperlink" Target="http://www.mceecdya.edu.au/mceecdya/melbourne_declaration,25979.html" TargetMode="External"/><Relationship Id="rId55" Type="http://schemas.openxmlformats.org/officeDocument/2006/relationships/header" Target="header3.xml"/><Relationship Id="rId63" Type="http://schemas.openxmlformats.org/officeDocument/2006/relationships/image" Target="media/image11.wmf"/><Relationship Id="rId68" Type="http://schemas.openxmlformats.org/officeDocument/2006/relationships/oleObject" Target="embeddings/oleObject4.bin"/><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ustraliancurriculum.edu.au/Mathematics/Rationale" TargetMode="External"/><Relationship Id="rId29" Type="http://schemas.openxmlformats.org/officeDocument/2006/relationships/hyperlink" Target="http://www.australiancurriculum.edu.au/Curriculum/ContentDescription/ACMNA15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ustraliancurriculum.edu.au/Curriculum/ContentDescription/ACMNA173" TargetMode="External"/><Relationship Id="rId32" Type="http://schemas.openxmlformats.org/officeDocument/2006/relationships/image" Target="media/image5.png"/><Relationship Id="rId37" Type="http://schemas.openxmlformats.org/officeDocument/2006/relationships/hyperlink" Target="http://www.australiancurriculum.edu.au/Glossary?a=&amp;t=Compare" TargetMode="External"/><Relationship Id="rId40" Type="http://schemas.openxmlformats.org/officeDocument/2006/relationships/hyperlink" Target="http://www.australiancurriculum.edu.au/Glossary?a=&amp;t=Represent" TargetMode="External"/><Relationship Id="rId45" Type="http://schemas.openxmlformats.org/officeDocument/2006/relationships/hyperlink" Target="http://www.australiancurriculum.edu.au/Glossary?a=&amp;t=Evaluate" TargetMode="External"/><Relationship Id="rId53" Type="http://schemas.openxmlformats.org/officeDocument/2006/relationships/hyperlink" Target="http://www.qsa.qld.edu.au/downloads/p_10/as_feedback_about.doc" TargetMode="External"/><Relationship Id="rId58" Type="http://schemas.openxmlformats.org/officeDocument/2006/relationships/footer" Target="footer5.xml"/><Relationship Id="rId66" Type="http://schemas.openxmlformats.org/officeDocument/2006/relationships/oleObject" Target="embeddings/oleObject3.bin"/><Relationship Id="rId5" Type="http://schemas.microsoft.com/office/2007/relationships/stylesWithEffects" Target="stylesWithEffects.xml"/><Relationship Id="rId15" Type="http://schemas.openxmlformats.org/officeDocument/2006/relationships/hyperlink" Target="http://www.qsa.qld.edu.au/yr7-maths-resources.html" TargetMode="External"/><Relationship Id="rId23" Type="http://schemas.openxmlformats.org/officeDocument/2006/relationships/hyperlink" Target="http://www.australiancurriculum.edu.au/Curriculum/ContentDescription/ACMNA157" TargetMode="External"/><Relationship Id="rId28" Type="http://schemas.openxmlformats.org/officeDocument/2006/relationships/hyperlink" Target="http://www.australiancurriculum.edu.au/Glossary?a=M&amp;t=Percentage" TargetMode="External"/><Relationship Id="rId36" Type="http://schemas.openxmlformats.org/officeDocument/2006/relationships/hyperlink" Target="http://www.australiancurriculum.edu.au/Glossary?a=&amp;t=Solve" TargetMode="External"/><Relationship Id="rId49" Type="http://schemas.openxmlformats.org/officeDocument/2006/relationships/hyperlink" Target="http://www.australiancurriculum.edu.au/StudentDiversity/Overview" TargetMode="External"/><Relationship Id="rId57" Type="http://schemas.openxmlformats.org/officeDocument/2006/relationships/footer" Target="footer4.xml"/><Relationship Id="rId61" Type="http://schemas.openxmlformats.org/officeDocument/2006/relationships/image" Target="media/image10.wmf"/><Relationship Id="rId10" Type="http://schemas.openxmlformats.org/officeDocument/2006/relationships/header" Target="header1.xml"/><Relationship Id="rId19" Type="http://schemas.openxmlformats.org/officeDocument/2006/relationships/hyperlink" Target="http://www.qsa.qld.edu.au/XXX" TargetMode="External"/><Relationship Id="rId31" Type="http://schemas.openxmlformats.org/officeDocument/2006/relationships/image" Target="media/image4.png"/><Relationship Id="rId44" Type="http://schemas.openxmlformats.org/officeDocument/2006/relationships/hyperlink" Target="http://www.australiancurriculum.edu.au/Glossary?a=&amp;t=Solve" TargetMode="External"/><Relationship Id="rId52" Type="http://schemas.openxmlformats.org/officeDocument/2006/relationships/hyperlink" Target="http://www.qsa.qld.edu.au/yr7-maths-resources.html" TargetMode="External"/><Relationship Id="rId60" Type="http://schemas.openxmlformats.org/officeDocument/2006/relationships/footer" Target="footer6.xml"/><Relationship Id="rId65" Type="http://schemas.openxmlformats.org/officeDocument/2006/relationships/image" Target="media/image12.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www.qsa.qld.edu.au/yr7-maths-resources.html" TargetMode="External"/><Relationship Id="rId27" Type="http://schemas.openxmlformats.org/officeDocument/2006/relationships/hyperlink" Target="http://www.australiancurriculum.edu.au/Curriculum/ContentDescription/ACMNA153" TargetMode="External"/><Relationship Id="rId30" Type="http://schemas.openxmlformats.org/officeDocument/2006/relationships/hyperlink" Target="http://www.qsa.qld.edu.au/yr7-maths-resources.html" TargetMode="External"/><Relationship Id="rId35" Type="http://schemas.openxmlformats.org/officeDocument/2006/relationships/hyperlink" Target="http://www.australiancurriculum.edu.au/Glossary?a=&amp;t=Solve" TargetMode="External"/><Relationship Id="rId43" Type="http://schemas.openxmlformats.org/officeDocument/2006/relationships/hyperlink" Target="http://www.australiancurriculum.edu.au/Glossary?a=&amp;t=Describe" TargetMode="External"/><Relationship Id="rId48" Type="http://schemas.openxmlformats.org/officeDocument/2006/relationships/hyperlink" Target="http://www.qsa.qld.edu.au/10188.html" TargetMode="External"/><Relationship Id="rId56" Type="http://schemas.openxmlformats.org/officeDocument/2006/relationships/header" Target="header4.xml"/><Relationship Id="rId64" Type="http://schemas.openxmlformats.org/officeDocument/2006/relationships/oleObject" Target="embeddings/oleObject2.bin"/><Relationship Id="rId69" Type="http://schemas.openxmlformats.org/officeDocument/2006/relationships/header" Target="header6.xml"/><Relationship Id="rId8" Type="http://schemas.openxmlformats.org/officeDocument/2006/relationships/footnotes" Target="footnotes.xml"/><Relationship Id="rId51" Type="http://schemas.openxmlformats.org/officeDocument/2006/relationships/hyperlink" Target="http://www.ag.gov.au"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a=M&amp;t=Number%20line" TargetMode="External"/><Relationship Id="rId33" Type="http://schemas.openxmlformats.org/officeDocument/2006/relationships/image" Target="media/image6.png"/><Relationship Id="rId38" Type="http://schemas.openxmlformats.org/officeDocument/2006/relationships/hyperlink" Target="http://www.australiancurriculum.edu.au/Glossary?a=&amp;t=Represent" TargetMode="External"/><Relationship Id="rId46" Type="http://schemas.openxmlformats.org/officeDocument/2006/relationships/hyperlink" Target="http://www.australiancurriculum.edu.au" TargetMode="External"/><Relationship Id="rId59" Type="http://schemas.openxmlformats.org/officeDocument/2006/relationships/header" Target="header5.xml"/><Relationship Id="rId67" Type="http://schemas.openxmlformats.org/officeDocument/2006/relationships/image" Target="media/image13.wmf"/><Relationship Id="rId20" Type="http://schemas.openxmlformats.org/officeDocument/2006/relationships/hyperlink" Target="http://www.qsa.qld.edu.au/yr7-maths-resources.html" TargetMode="External"/><Relationship Id="rId41" Type="http://schemas.openxmlformats.org/officeDocument/2006/relationships/hyperlink" Target="http://www.australiancurriculum.edu.au/Glossary?a=&amp;t=Solve" TargetMode="External"/><Relationship Id="rId54" Type="http://schemas.openxmlformats.org/officeDocument/2006/relationships/hyperlink" Target="http://www.qsa.qld.edu.au/downloads/p_10/as_feedback_provide.doc" TargetMode="External"/><Relationship Id="rId62" Type="http://schemas.openxmlformats.org/officeDocument/2006/relationships/oleObject" Target="embeddings/oleObject1.bin"/><Relationship Id="rId7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20&amp;%20Angie\Documents\2013\Mike\QSA%20sample%20assessments%202013\Maths%20templates\ac_assmt_sum_3-10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36D0AC34-53B6-4BC6-BCBE-0287BA597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ac_assmt_sum_3-10_tg_v20.dotx</Template>
  <TotalTime>21</TotalTime>
  <Pages>8</Pages>
  <Words>3108</Words>
  <Characters>17721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Teacher guidelines Years 3–10</vt:lpstr>
    </vt:vector>
  </TitlesOfParts>
  <Company>Queensland Studies Authority</Company>
  <LinksUpToDate>false</LinksUpToDate>
  <CharactersWithSpaces>20788</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7 Mathematics Sample assessment Teacher guidelines | Refreshing drinks | Australian Curriculum</dc:title>
  <dc:subject>Assessment</dc:subject>
  <dc:creator>Queensland Studies Authority</dc:creator>
  <cp:keywords>Sample assessment</cp:keywords>
  <cp:lastModifiedBy>Joy Constantino</cp:lastModifiedBy>
  <cp:revision>8</cp:revision>
  <cp:lastPrinted>2014-02-17T01:36:00Z</cp:lastPrinted>
  <dcterms:created xsi:type="dcterms:W3CDTF">2014-02-12T03:44:00Z</dcterms:created>
  <dcterms:modified xsi:type="dcterms:W3CDTF">2014-02-25T03:43:00Z</dcterms:modified>
  <cp:category>Australian Curriculum</cp:category>
</cp:coreProperties>
</file>