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8A" w:rsidRPr="004B2147" w:rsidRDefault="00E25D8A" w:rsidP="004B2147">
      <w:pPr>
        <w:pStyle w:val="smallspace"/>
        <w:sectPr w:rsidR="00E25D8A" w:rsidRPr="004B2147" w:rsidSect="00A77A42">
          <w:footerReference w:type="even" r:id="rId10"/>
          <w:footerReference w:type="default" r:id="rId11"/>
          <w:headerReference w:type="first" r:id="rId12"/>
          <w:footerReference w:type="first" r:id="rId13"/>
          <w:pgSz w:w="11907" w:h="16840" w:code="9"/>
          <w:pgMar w:top="284" w:right="284" w:bottom="1985" w:left="284" w:header="284" w:footer="709" w:gutter="0"/>
          <w:pgNumType w:start="1"/>
          <w:cols w:space="720"/>
          <w:formProt w:val="0"/>
          <w:noEndnote/>
          <w:titlePg/>
          <w:docGrid w:linePitch="299"/>
        </w:sectPr>
      </w:pPr>
      <w:bookmarkStart w:id="0" w:name="_GoBack"/>
      <w:bookmarkEnd w:id="0"/>
    </w:p>
    <w:p w:rsidR="0084277D" w:rsidRPr="008E110C" w:rsidRDefault="0084277D" w:rsidP="0084277D">
      <w:pPr>
        <w:pStyle w:val="Title"/>
      </w:pPr>
      <w:r w:rsidRPr="008E110C">
        <w:lastRenderedPageBreak/>
        <w:t xml:space="preserve">Australian Curriculum Year </w:t>
      </w:r>
      <w:r w:rsidR="007633B9">
        <w:t>2</w:t>
      </w:r>
      <w:r w:rsidRPr="008E110C">
        <w:t xml:space="preserve"> </w:t>
      </w:r>
      <w:r w:rsidR="007633B9">
        <w:t>Mathematics</w:t>
      </w:r>
      <w:r>
        <w:t xml:space="preserve"> Sample assessment</w:t>
      </w:r>
      <w:r w:rsidRPr="008E110C">
        <w:t> </w:t>
      </w:r>
      <w:r w:rsidRPr="008E110C">
        <w:t>|</w:t>
      </w:r>
      <w:r w:rsidRPr="008E110C">
        <w:t> </w:t>
      </w:r>
      <w:r w:rsidRPr="008E110C">
        <w:t>Teacher guidelines</w:t>
      </w:r>
    </w:p>
    <w:p w:rsidR="0084277D" w:rsidRPr="0084277D" w:rsidRDefault="0084277D" w:rsidP="0084277D">
      <w:pPr>
        <w:pStyle w:val="Subtitle"/>
        <w:rPr>
          <w:rStyle w:val="SubtitleChar"/>
        </w:rPr>
      </w:pPr>
      <w:r w:rsidRPr="0084277D">
        <w:fldChar w:fldCharType="begin"/>
      </w:r>
      <w:r w:rsidRPr="0084277D">
        <w:instrText xml:space="preserve"> MACROBUTTON  InsertAutoText </w:instrText>
      </w:r>
      <w:r w:rsidRPr="0084277D">
        <w:fldChar w:fldCharType="end"/>
      </w:r>
      <w:r w:rsidR="007633B9">
        <w:rPr>
          <w:rStyle w:val="SubtitleChar"/>
        </w:rPr>
        <w:t>Feet</w:t>
      </w:r>
    </w:p>
    <w:p w:rsidR="0084277D" w:rsidRDefault="0084277D" w:rsidP="0084277D">
      <w:pPr>
        <w:pStyle w:val="Copyright"/>
      </w:pPr>
      <w:r w:rsidRPr="00CB2FD6">
        <w:t>© The State of Queensland (Queensland Studies Authority) and its licensors</w:t>
      </w:r>
      <w:r>
        <w:t xml:space="preserve"> </w:t>
      </w:r>
      <w:r w:rsidR="00D22E27">
        <w:t>2014</w:t>
      </w:r>
      <w:r>
        <w:t>.</w:t>
      </w:r>
      <w:r w:rsidRPr="00CB2FD6">
        <w:t xml:space="preserve"> All web links correct at time of publication.</w:t>
      </w:r>
    </w:p>
    <w:p w:rsidR="0084277D" w:rsidRPr="0084277D" w:rsidRDefault="0084277D" w:rsidP="0084277D"/>
    <w:tbl>
      <w:tblPr>
        <w:tblStyle w:val="3QSAtablestyle"/>
        <w:tblW w:w="4900" w:type="pct"/>
        <w:tblLayout w:type="fixed"/>
        <w:tblLook w:val="01E0" w:firstRow="1" w:lastRow="1" w:firstColumn="1" w:lastColumn="1" w:noHBand="0" w:noVBand="0"/>
      </w:tblPr>
      <w:tblGrid>
        <w:gridCol w:w="4550"/>
        <w:gridCol w:w="4551"/>
      </w:tblGrid>
      <w:tr w:rsidR="000D2B55" w:rsidRPr="004B07CA" w:rsidTr="00027AF7">
        <w:trPr>
          <w:cnfStyle w:val="100000000000" w:firstRow="1" w:lastRow="0" w:firstColumn="0" w:lastColumn="0" w:oddVBand="0" w:evenVBand="0" w:oddHBand="0" w:evenHBand="0" w:firstRowFirstColumn="0" w:firstRowLastColumn="0" w:lastRowFirstColumn="0" w:lastRowLastColumn="0"/>
          <w:trHeight w:val="272"/>
        </w:trPr>
        <w:tc>
          <w:tcPr>
            <w:cnfStyle w:val="000000000100" w:firstRow="0" w:lastRow="0" w:firstColumn="0" w:lastColumn="0" w:oddVBand="0" w:evenVBand="0" w:oddHBand="0" w:evenHBand="0" w:firstRowFirstColumn="1" w:firstRowLastColumn="0" w:lastRowFirstColumn="0" w:lastRowLastColumn="0"/>
            <w:tcW w:w="2500" w:type="pct"/>
            <w:shd w:val="clear" w:color="auto" w:fill="8CC8C9"/>
          </w:tcPr>
          <w:p w:rsidR="000D2B55" w:rsidRPr="004B07CA" w:rsidRDefault="000D2B55" w:rsidP="00374361">
            <w:pPr>
              <w:pStyle w:val="Tablehead"/>
              <w:rPr>
                <w:b/>
                <w:color w:val="auto"/>
              </w:rPr>
            </w:pPr>
            <w:r>
              <w:rPr>
                <w:b/>
                <w:color w:val="auto"/>
              </w:rPr>
              <w:t>Assessment d</w:t>
            </w:r>
            <w:r w:rsidRPr="004B07CA">
              <w:rPr>
                <w:b/>
                <w:color w:val="auto"/>
              </w:rPr>
              <w:t>escription</w:t>
            </w:r>
          </w:p>
        </w:tc>
        <w:tc>
          <w:tcPr>
            <w:cnfStyle w:val="000000001000" w:firstRow="0" w:lastRow="0" w:firstColumn="0" w:lastColumn="0" w:oddVBand="0" w:evenVBand="0" w:oddHBand="0" w:evenHBand="0" w:firstRowFirstColumn="0" w:firstRowLastColumn="1" w:lastRowFirstColumn="0" w:lastRowLastColumn="0"/>
            <w:tcW w:w="2500" w:type="pct"/>
            <w:shd w:val="clear" w:color="auto" w:fill="8CC8C9"/>
          </w:tcPr>
          <w:p w:rsidR="000D2B55" w:rsidRPr="004B07CA" w:rsidRDefault="000D2B55" w:rsidP="00374361">
            <w:pPr>
              <w:pStyle w:val="Tablehead"/>
              <w:rPr>
                <w:b/>
                <w:color w:val="auto"/>
              </w:rPr>
            </w:pPr>
            <w:r w:rsidRPr="004B07CA">
              <w:rPr>
                <w:b/>
                <w:color w:val="auto"/>
              </w:rPr>
              <w:t>Category</w:t>
            </w:r>
          </w:p>
        </w:tc>
      </w:tr>
      <w:tr w:rsidR="000D2B55" w:rsidRPr="00BC1996" w:rsidTr="00027AF7">
        <w:tc>
          <w:tcPr>
            <w:tcW w:w="2500" w:type="pct"/>
            <w:vMerge w:val="restart"/>
          </w:tcPr>
          <w:p w:rsidR="000D2B55" w:rsidRPr="00126BC8" w:rsidRDefault="000025C1" w:rsidP="004145C3">
            <w:pPr>
              <w:pStyle w:val="Tabletext"/>
            </w:pPr>
            <w:r>
              <w:t>Children</w:t>
            </w:r>
            <w:r w:rsidRPr="00341C4D">
              <w:t xml:space="preserve"> compare and order </w:t>
            </w:r>
            <w:r>
              <w:t xml:space="preserve">class foot </w:t>
            </w:r>
            <w:r w:rsidRPr="00341C4D">
              <w:t>length</w:t>
            </w:r>
            <w:r>
              <w:t>s</w:t>
            </w:r>
            <w:r w:rsidRPr="00341C4D">
              <w:t>, then create graphs to displ</w:t>
            </w:r>
            <w:r>
              <w:t>ay and interpret the data.</w:t>
            </w:r>
          </w:p>
        </w:tc>
        <w:tc>
          <w:tcPr>
            <w:tcW w:w="2500" w:type="pct"/>
          </w:tcPr>
          <w:p w:rsidR="0084277D" w:rsidRPr="0084277D" w:rsidRDefault="00F84BCA" w:rsidP="0084277D">
            <w:pPr>
              <w:pStyle w:val="Tabletext"/>
              <w:rPr>
                <w:lang w:eastAsia="en-US"/>
              </w:rPr>
            </w:pPr>
            <w:r>
              <w:rPr>
                <w:lang w:eastAsia="en-US"/>
              </w:rPr>
              <w:t>Spoken/signed</w:t>
            </w:r>
          </w:p>
        </w:tc>
      </w:tr>
      <w:tr w:rsidR="000D2B55" w:rsidRPr="00BC1996" w:rsidTr="00027AF7">
        <w:trPr>
          <w:trHeight w:val="272"/>
        </w:trPr>
        <w:tc>
          <w:tcPr>
            <w:tcW w:w="2500" w:type="pct"/>
            <w:vMerge/>
            <w:shd w:val="clear" w:color="auto" w:fill="FFFFFF" w:themeFill="background1"/>
          </w:tcPr>
          <w:p w:rsidR="000D2B55" w:rsidRPr="009D4D57" w:rsidRDefault="000D2B55" w:rsidP="00374361">
            <w:pPr>
              <w:pStyle w:val="Tablehead"/>
              <w:rPr>
                <w:b w:val="0"/>
              </w:rPr>
            </w:pPr>
          </w:p>
        </w:tc>
        <w:tc>
          <w:tcPr>
            <w:tcW w:w="2500" w:type="pct"/>
            <w:shd w:val="clear" w:color="auto" w:fill="CFE7E6"/>
          </w:tcPr>
          <w:p w:rsidR="000D2B55" w:rsidRPr="009D4D57" w:rsidRDefault="000D2B55" w:rsidP="00374361">
            <w:pPr>
              <w:pStyle w:val="Tablesubhead"/>
            </w:pPr>
            <w:r w:rsidRPr="009D4D57">
              <w:t>Technique</w:t>
            </w:r>
          </w:p>
        </w:tc>
      </w:tr>
      <w:tr w:rsidR="000D2B55" w:rsidRPr="00BC1996" w:rsidTr="00027AF7">
        <w:tc>
          <w:tcPr>
            <w:tcW w:w="2500" w:type="pct"/>
            <w:vMerge/>
            <w:shd w:val="clear" w:color="auto" w:fill="FFFFFF" w:themeFill="background1"/>
          </w:tcPr>
          <w:p w:rsidR="000D2B55" w:rsidRPr="00B50EB0" w:rsidRDefault="000D2B55" w:rsidP="00374361">
            <w:pPr>
              <w:tabs>
                <w:tab w:val="num" w:pos="284"/>
              </w:tabs>
              <w:spacing w:line="220" w:lineRule="atLeast"/>
              <w:contextualSpacing/>
            </w:pPr>
          </w:p>
        </w:tc>
        <w:tc>
          <w:tcPr>
            <w:tcW w:w="2500" w:type="pct"/>
          </w:tcPr>
          <w:p w:rsidR="00C83A04" w:rsidRPr="00C83A04" w:rsidRDefault="00DC1961" w:rsidP="00DC1961">
            <w:pPr>
              <w:pStyle w:val="Tabletext"/>
              <w:rPr>
                <w:szCs w:val="20"/>
                <w:lang w:eastAsia="en-US"/>
              </w:rPr>
            </w:pPr>
            <w:r>
              <w:rPr>
                <w:szCs w:val="20"/>
                <w:lang w:eastAsia="en-US"/>
              </w:rPr>
              <w:t>Observation record</w:t>
            </w:r>
          </w:p>
        </w:tc>
      </w:tr>
      <w:tr w:rsidR="000D2B55" w:rsidRPr="00BC1996" w:rsidTr="00027AF7">
        <w:tc>
          <w:tcPr>
            <w:tcW w:w="2500" w:type="pct"/>
            <w:shd w:val="clear" w:color="auto" w:fill="CFE7E6"/>
          </w:tcPr>
          <w:p w:rsidR="000D2B55" w:rsidRPr="00B50EB0" w:rsidRDefault="000D2B55" w:rsidP="00374361">
            <w:pPr>
              <w:pStyle w:val="Tablesubhead"/>
            </w:pPr>
            <w:r w:rsidRPr="00B50EB0">
              <w:t>Context for assessment</w:t>
            </w:r>
          </w:p>
        </w:tc>
        <w:tc>
          <w:tcPr>
            <w:tcW w:w="2500" w:type="pct"/>
            <w:shd w:val="clear" w:color="auto" w:fill="CFE7E6"/>
          </w:tcPr>
          <w:p w:rsidR="000D2B55" w:rsidRPr="00B50EB0" w:rsidRDefault="000D2B55" w:rsidP="00374361">
            <w:pPr>
              <w:pStyle w:val="Tablesubhead"/>
            </w:pPr>
            <w:r>
              <w:t>Alignment</w:t>
            </w:r>
          </w:p>
        </w:tc>
      </w:tr>
      <w:tr w:rsidR="000D2B55" w:rsidRPr="00BC1996" w:rsidTr="00027AF7">
        <w:trPr>
          <w:trHeight w:val="843"/>
        </w:trPr>
        <w:tc>
          <w:tcPr>
            <w:tcW w:w="2500" w:type="pct"/>
            <w:vMerge w:val="restart"/>
            <w:shd w:val="clear" w:color="auto" w:fill="auto"/>
          </w:tcPr>
          <w:p w:rsidR="0084277D" w:rsidRPr="00101513" w:rsidRDefault="000025C1" w:rsidP="000025C1">
            <w:r>
              <w:t>Children</w:t>
            </w:r>
            <w:r w:rsidRPr="00493E71">
              <w:t xml:space="preserve"> develop an increasingly sophisticated understanding of size as they apply their understandings of uniform informal units to compare the foot length</w:t>
            </w:r>
            <w:r>
              <w:t>s</w:t>
            </w:r>
            <w:r w:rsidRPr="00493E71">
              <w:t xml:space="preserve"> of </w:t>
            </w:r>
            <w:r>
              <w:t>children</w:t>
            </w:r>
            <w:r w:rsidRPr="00493E71">
              <w:t xml:space="preserve"> in their class. </w:t>
            </w:r>
            <w:r>
              <w:t>They</w:t>
            </w:r>
            <w:r w:rsidRPr="00493E71">
              <w:t xml:space="preserve"> then have opportunities to </w:t>
            </w:r>
            <w:r>
              <w:t>make</w:t>
            </w:r>
            <w:r w:rsidRPr="00493E71">
              <w:t xml:space="preserve"> link</w:t>
            </w:r>
            <w:r>
              <w:t xml:space="preserve">s </w:t>
            </w:r>
            <w:r w:rsidRPr="00493E71">
              <w:t xml:space="preserve">between </w:t>
            </w:r>
            <w:r>
              <w:t xml:space="preserve">concrete representations, </w:t>
            </w:r>
            <w:r w:rsidRPr="00493E71">
              <w:t>measurement</w:t>
            </w:r>
            <w:r>
              <w:t>s</w:t>
            </w:r>
            <w:r w:rsidRPr="00493E71">
              <w:t xml:space="preserve"> </w:t>
            </w:r>
            <w:r>
              <w:t>and data displays</w:t>
            </w:r>
            <w:r w:rsidRPr="00493E71">
              <w:t>.</w:t>
            </w:r>
          </w:p>
        </w:tc>
        <w:tc>
          <w:tcPr>
            <w:tcW w:w="2500" w:type="pct"/>
            <w:shd w:val="clear" w:color="auto" w:fill="auto"/>
          </w:tcPr>
          <w:p w:rsidR="00B96348" w:rsidRDefault="000D2B55" w:rsidP="00374361">
            <w:pPr>
              <w:pStyle w:val="Tabletext"/>
              <w:rPr>
                <w:sz w:val="21"/>
              </w:rPr>
            </w:pPr>
            <w:r w:rsidRPr="004B2147">
              <w:rPr>
                <w:i/>
              </w:rPr>
              <w:t xml:space="preserve">Australian </w:t>
            </w:r>
            <w:r w:rsidR="004C38B9">
              <w:rPr>
                <w:i/>
              </w:rPr>
              <w:t xml:space="preserve">Curriculum </w:t>
            </w:r>
            <w:hyperlink r:id="rId14" w:history="1">
              <w:r w:rsidR="004C38B9" w:rsidRPr="0084277D">
                <w:rPr>
                  <w:rStyle w:val="Hyperlink"/>
                  <w:i/>
                </w:rPr>
                <w:t>v</w:t>
              </w:r>
              <w:r w:rsidR="00145412">
                <w:rPr>
                  <w:rStyle w:val="Hyperlink"/>
                  <w:i/>
                </w:rPr>
                <w:t>6</w:t>
              </w:r>
              <w:r w:rsidR="000025C1">
                <w:rPr>
                  <w:rStyle w:val="Hyperlink"/>
                  <w:i/>
                </w:rPr>
                <w:t>.0</w:t>
              </w:r>
            </w:hyperlink>
            <w:r w:rsidR="00D22E27">
              <w:t xml:space="preserve">, </w:t>
            </w:r>
            <w:r w:rsidR="000025C1">
              <w:t xml:space="preserve">Year 2 Mathematics </w:t>
            </w:r>
            <w:r w:rsidR="00EE3FF8" w:rsidRPr="00027AF7">
              <w:t xml:space="preserve">Australian Curriculum content and achievement standard </w:t>
            </w:r>
            <w:r>
              <w:t xml:space="preserve">ACARA — </w:t>
            </w:r>
            <w:r w:rsidRPr="007A7FF0">
              <w:t xml:space="preserve">Australian Curriculum, Assessment and </w:t>
            </w:r>
            <w:r w:rsidRPr="009F6910">
              <w:t>Reporting</w:t>
            </w:r>
            <w:r>
              <w:t xml:space="preserve"> Authority</w:t>
            </w:r>
            <w:r w:rsidR="007828A0">
              <w:t xml:space="preserve"> </w:t>
            </w:r>
            <w:r w:rsidR="00871287">
              <w:rPr>
                <w:sz w:val="21"/>
              </w:rPr>
              <w:br/>
            </w:r>
            <w:hyperlink r:id="rId15" w:history="1">
              <w:r w:rsidR="00871287" w:rsidRPr="00552D47">
                <w:rPr>
                  <w:rStyle w:val="Hyperlink"/>
                </w:rPr>
                <w:t>www.australiancurriculum.edu.au</w:t>
              </w:r>
            </w:hyperlink>
          </w:p>
          <w:p w:rsidR="00831B60" w:rsidRDefault="00831B60" w:rsidP="00374361">
            <w:pPr>
              <w:pStyle w:val="Tabletext"/>
              <w:rPr>
                <w:sz w:val="21"/>
              </w:rPr>
            </w:pPr>
          </w:p>
          <w:p w:rsidR="000D2B55" w:rsidRDefault="000025C1" w:rsidP="00374361">
            <w:pPr>
              <w:pStyle w:val="Tabletext"/>
            </w:pPr>
            <w:r>
              <w:t xml:space="preserve">Year 2 Mathematics </w:t>
            </w:r>
            <w:r w:rsidR="00B96348" w:rsidRPr="00027AF7">
              <w:t>standard elaborations</w:t>
            </w:r>
          </w:p>
          <w:p w:rsidR="00B0121E" w:rsidRPr="00C176C1" w:rsidRDefault="00D15E91" w:rsidP="00B0121E">
            <w:pPr>
              <w:pStyle w:val="Tabletext"/>
              <w:rPr>
                <w:szCs w:val="20"/>
              </w:rPr>
            </w:pPr>
            <w:hyperlink r:id="rId16" w:history="1">
              <w:r w:rsidR="00F07038" w:rsidRPr="00E72FE7">
                <w:rPr>
                  <w:rStyle w:val="Hyperlink"/>
                </w:rPr>
                <w:t>www.qsa.qld.edu.au/downloads/p_10/ac_math_yr2_se.doc</w:t>
              </w:r>
            </w:hyperlink>
          </w:p>
        </w:tc>
      </w:tr>
      <w:tr w:rsidR="000D2B55" w:rsidRPr="00BC1996" w:rsidTr="00027AF7">
        <w:trPr>
          <w:trHeight w:val="131"/>
        </w:trPr>
        <w:tc>
          <w:tcPr>
            <w:tcW w:w="2500" w:type="pct"/>
            <w:vMerge/>
            <w:shd w:val="clear" w:color="auto" w:fill="auto"/>
          </w:tcPr>
          <w:p w:rsidR="000D2B55" w:rsidRPr="008157BE" w:rsidRDefault="000D2B55" w:rsidP="00374361">
            <w:pPr>
              <w:pStyle w:val="Tabletext"/>
            </w:pPr>
          </w:p>
        </w:tc>
        <w:tc>
          <w:tcPr>
            <w:tcW w:w="2500" w:type="pct"/>
            <w:shd w:val="clear" w:color="auto" w:fill="CFE7E6"/>
          </w:tcPr>
          <w:p w:rsidR="000D2B55" w:rsidRPr="00B50EB0" w:rsidRDefault="000D2B55" w:rsidP="00374361">
            <w:pPr>
              <w:pStyle w:val="Tablesubhead"/>
            </w:pPr>
            <w:r w:rsidRPr="00B50EB0">
              <w:t>Connections</w:t>
            </w:r>
          </w:p>
        </w:tc>
      </w:tr>
      <w:tr w:rsidR="000D2B55" w:rsidRPr="00BC1996" w:rsidTr="00027AF7">
        <w:trPr>
          <w:trHeight w:val="131"/>
        </w:trPr>
        <w:tc>
          <w:tcPr>
            <w:tcW w:w="2500" w:type="pct"/>
            <w:vMerge/>
            <w:shd w:val="clear" w:color="auto" w:fill="FFFFFF" w:themeFill="background1"/>
          </w:tcPr>
          <w:p w:rsidR="000D2B55" w:rsidRPr="008157BE" w:rsidRDefault="000D2B55" w:rsidP="00374361">
            <w:pPr>
              <w:pStyle w:val="Tabletext"/>
            </w:pPr>
          </w:p>
        </w:tc>
        <w:tc>
          <w:tcPr>
            <w:tcW w:w="2500" w:type="pct"/>
            <w:shd w:val="clear" w:color="auto" w:fill="FFFFFF" w:themeFill="background1"/>
          </w:tcPr>
          <w:p w:rsidR="00BB650E" w:rsidRPr="00863D9B" w:rsidRDefault="000D2B55" w:rsidP="0099456A">
            <w:pPr>
              <w:pStyle w:val="Tabletext"/>
            </w:pPr>
            <w:r w:rsidRPr="008157BE">
              <w:t>This assessment can be used with the QSA Austral</w:t>
            </w:r>
            <w:r>
              <w:t>ian Curriculum resource titled</w:t>
            </w:r>
            <w:r>
              <w:br/>
            </w:r>
            <w:r w:rsidR="0099456A">
              <w:rPr>
                <w:i/>
              </w:rPr>
              <w:t>Year 2</w:t>
            </w:r>
            <w:r w:rsidRPr="00907A41">
              <w:rPr>
                <w:i/>
              </w:rPr>
              <w:t xml:space="preserve"> unit overview </w:t>
            </w:r>
            <w:r w:rsidRPr="00907A41">
              <w:rPr>
                <w:rFonts w:cs="Arial"/>
                <w:i/>
              </w:rPr>
              <w:t>—</w:t>
            </w:r>
            <w:r w:rsidR="0099456A">
              <w:rPr>
                <w:i/>
              </w:rPr>
              <w:t xml:space="preserve"> </w:t>
            </w:r>
            <w:r w:rsidR="0099456A" w:rsidRPr="00E72FE7">
              <w:rPr>
                <w:i/>
              </w:rPr>
              <w:t>Mathematics</w:t>
            </w:r>
            <w:r w:rsidR="00907A41" w:rsidRPr="00F243E8">
              <w:rPr>
                <w:i/>
              </w:rPr>
              <w:t xml:space="preserve"> </w:t>
            </w:r>
            <w:r w:rsidR="00907A41">
              <w:rPr>
                <w:i/>
              </w:rPr>
              <w:t xml:space="preserve">exemplar </w:t>
            </w:r>
            <w:r w:rsidRPr="00B50EB0">
              <w:t xml:space="preserve">available at </w:t>
            </w:r>
            <w:hyperlink r:id="rId17" w:history="1">
              <w:r w:rsidR="00BB650E" w:rsidRPr="00C90C22">
                <w:rPr>
                  <w:rStyle w:val="Hyperlink"/>
                  <w:rFonts w:eastAsia="SimSun"/>
                </w:rPr>
                <w:t>www.qsa.qld.edu.au/yr2-maths-overview.html</w:t>
              </w:r>
            </w:hyperlink>
          </w:p>
        </w:tc>
      </w:tr>
      <w:tr w:rsidR="000D2B55" w:rsidRPr="00BC1996" w:rsidTr="00027AF7">
        <w:trPr>
          <w:trHeight w:val="131"/>
        </w:trPr>
        <w:tc>
          <w:tcPr>
            <w:tcW w:w="2500" w:type="pct"/>
            <w:vMerge/>
            <w:shd w:val="clear" w:color="auto" w:fill="auto"/>
          </w:tcPr>
          <w:p w:rsidR="000D2B55" w:rsidRPr="008157BE" w:rsidRDefault="000D2B55" w:rsidP="00374361">
            <w:pPr>
              <w:pStyle w:val="Tabletext"/>
            </w:pPr>
          </w:p>
        </w:tc>
        <w:tc>
          <w:tcPr>
            <w:tcW w:w="2500" w:type="pct"/>
            <w:shd w:val="clear" w:color="auto" w:fill="CFE7E6"/>
          </w:tcPr>
          <w:p w:rsidR="000D2B55" w:rsidRPr="008157BE" w:rsidRDefault="000D2B55" w:rsidP="00374361">
            <w:pPr>
              <w:pStyle w:val="Tablesubhead"/>
            </w:pPr>
            <w:r w:rsidRPr="00B50EB0">
              <w:t>Definitions</w:t>
            </w:r>
          </w:p>
        </w:tc>
      </w:tr>
      <w:tr w:rsidR="000D2B55" w:rsidRPr="00BC1996" w:rsidTr="00027AF7">
        <w:trPr>
          <w:trHeight w:val="567"/>
        </w:trPr>
        <w:tc>
          <w:tcPr>
            <w:tcW w:w="2500" w:type="pct"/>
            <w:vMerge/>
            <w:shd w:val="clear" w:color="auto" w:fill="auto"/>
          </w:tcPr>
          <w:p w:rsidR="000D2B55" w:rsidRPr="008157BE" w:rsidRDefault="000D2B55" w:rsidP="00374361">
            <w:pPr>
              <w:pStyle w:val="Tabletext"/>
            </w:pPr>
          </w:p>
        </w:tc>
        <w:tc>
          <w:tcPr>
            <w:tcW w:w="2500" w:type="pct"/>
            <w:shd w:val="clear" w:color="auto" w:fill="auto"/>
          </w:tcPr>
          <w:p w:rsidR="00493356" w:rsidRDefault="00205D87" w:rsidP="005B5FDB">
            <w:pPr>
              <w:autoSpaceDE w:val="0"/>
              <w:autoSpaceDN w:val="0"/>
              <w:adjustRightInd w:val="0"/>
              <w:spacing w:before="0" w:after="0"/>
              <w:rPr>
                <w:sz w:val="21"/>
              </w:rPr>
            </w:pPr>
            <w:r w:rsidRPr="00E72FE7">
              <w:t>Informal units</w:t>
            </w:r>
            <w:r w:rsidR="00583BD5" w:rsidRPr="00F243E8">
              <w:t xml:space="preserve">: </w:t>
            </w:r>
            <w:r w:rsidRPr="00FB1EBC">
              <w:t xml:space="preserve">Informal units are </w:t>
            </w:r>
            <w:r w:rsidR="00E369AD" w:rsidRPr="00F243E8">
              <w:t xml:space="preserve">uniform units of measure that are </w:t>
            </w:r>
            <w:r w:rsidRPr="00FB1EBC">
              <w:t xml:space="preserve">not part of a standardised system of units. </w:t>
            </w:r>
            <w:r w:rsidR="00E369AD" w:rsidRPr="00F243E8">
              <w:t xml:space="preserve">Informal units are sometimes referred to as </w:t>
            </w:r>
            <w:r w:rsidR="00D22E27">
              <w:t>‘</w:t>
            </w:r>
            <w:r w:rsidR="00E369AD" w:rsidRPr="00F243E8">
              <w:t>non-standard units</w:t>
            </w:r>
            <w:r w:rsidR="00D22E27">
              <w:t>’</w:t>
            </w:r>
            <w:r w:rsidR="00E369AD" w:rsidRPr="00F243E8">
              <w:t xml:space="preserve">. </w:t>
            </w:r>
            <w:r w:rsidRPr="00FB1EBC">
              <w:t xml:space="preserve">For example, an informal unit for length could be paperclips of uniform length. </w:t>
            </w:r>
            <w:r w:rsidR="00E369AD" w:rsidRPr="00F243E8">
              <w:t xml:space="preserve">By contrast centimetres are uniform formal units of measure. </w:t>
            </w:r>
          </w:p>
          <w:p w:rsidR="00D22E27" w:rsidRPr="00F243E8" w:rsidRDefault="00D22E27" w:rsidP="005B5FDB">
            <w:pPr>
              <w:autoSpaceDE w:val="0"/>
              <w:autoSpaceDN w:val="0"/>
              <w:adjustRightInd w:val="0"/>
              <w:spacing w:before="0" w:after="0"/>
              <w:rPr>
                <w:sz w:val="21"/>
              </w:rPr>
            </w:pPr>
          </w:p>
          <w:p w:rsidR="008641B0" w:rsidRPr="00FB1EBC" w:rsidRDefault="008641B0" w:rsidP="008641B0">
            <w:pPr>
              <w:pStyle w:val="Tabletext"/>
            </w:pPr>
            <w:r w:rsidRPr="00E72FE7">
              <w:t>See the Australian Curriculum glossary for technical terms used in this assessment</w:t>
            </w:r>
          </w:p>
          <w:p w:rsidR="008641B0" w:rsidRPr="00E369AD" w:rsidRDefault="00D15E91" w:rsidP="008641B0">
            <w:pPr>
              <w:autoSpaceDE w:val="0"/>
              <w:autoSpaceDN w:val="0"/>
              <w:adjustRightInd w:val="0"/>
              <w:spacing w:before="0" w:after="0"/>
              <w:rPr>
                <w:szCs w:val="20"/>
              </w:rPr>
            </w:pPr>
            <w:hyperlink r:id="rId18" w:history="1">
              <w:r w:rsidR="008641B0" w:rsidRPr="00E369AD">
                <w:rPr>
                  <w:rStyle w:val="Hyperlink"/>
                  <w:szCs w:val="20"/>
                </w:rPr>
                <w:t>www.qsa.qld.edu.au/yr2-maths-resources.html</w:t>
              </w:r>
            </w:hyperlink>
          </w:p>
        </w:tc>
      </w:tr>
      <w:tr w:rsidR="000D2B55" w:rsidRPr="00BC1996" w:rsidTr="00027AF7">
        <w:trPr>
          <w:trHeight w:val="40"/>
        </w:trPr>
        <w:tc>
          <w:tcPr>
            <w:tcW w:w="5000" w:type="pct"/>
            <w:gridSpan w:val="2"/>
            <w:tcBorders>
              <w:bottom w:val="single" w:sz="4" w:space="0" w:color="00928F"/>
            </w:tcBorders>
            <w:shd w:val="clear" w:color="auto" w:fill="CFE7E6"/>
          </w:tcPr>
          <w:p w:rsidR="000D2B55" w:rsidRPr="008933A1" w:rsidRDefault="000D2B55" w:rsidP="00374361">
            <w:pPr>
              <w:pStyle w:val="Tablesubhead"/>
            </w:pPr>
            <w:r>
              <w:t>In this assessment</w:t>
            </w:r>
          </w:p>
        </w:tc>
      </w:tr>
      <w:tr w:rsidR="00145412" w:rsidRPr="00BC1996" w:rsidTr="00145412">
        <w:trPr>
          <w:trHeight w:val="1441"/>
        </w:trPr>
        <w:tc>
          <w:tcPr>
            <w:tcW w:w="5000" w:type="pct"/>
            <w:gridSpan w:val="2"/>
            <w:shd w:val="clear" w:color="auto" w:fill="FFFFFF" w:themeFill="background1"/>
          </w:tcPr>
          <w:p w:rsidR="00145412" w:rsidRPr="00126BC8" w:rsidRDefault="00145412" w:rsidP="00F62716">
            <w:pPr>
              <w:pStyle w:val="GCCbullets"/>
            </w:pPr>
            <w:r w:rsidRPr="00126BC8">
              <w:t>Teacher guidelines</w:t>
            </w:r>
          </w:p>
          <w:p w:rsidR="00145412" w:rsidRPr="00126BC8" w:rsidRDefault="00145412" w:rsidP="00F62716">
            <w:pPr>
              <w:pStyle w:val="GCCbullets"/>
            </w:pPr>
            <w:r>
              <w:t>Task-specific standards</w:t>
            </w:r>
            <w:r w:rsidRPr="00126BC8">
              <w:t xml:space="preserve"> — continua</w:t>
            </w:r>
          </w:p>
          <w:p w:rsidR="00145412" w:rsidRPr="00126BC8" w:rsidRDefault="00145412" w:rsidP="00F62716">
            <w:pPr>
              <w:pStyle w:val="GCCbullets"/>
            </w:pPr>
            <w:r>
              <w:t>Task-specific standards</w:t>
            </w:r>
            <w:r w:rsidRPr="00126BC8">
              <w:t xml:space="preserve"> — matrix</w:t>
            </w:r>
          </w:p>
          <w:p w:rsidR="00145412" w:rsidRDefault="00145412" w:rsidP="00F62716">
            <w:pPr>
              <w:pStyle w:val="GCCbullets"/>
            </w:pPr>
            <w:r>
              <w:t>Assessment</w:t>
            </w:r>
            <w:r w:rsidRPr="00126BC8">
              <w:t xml:space="preserve"> resource</w:t>
            </w:r>
            <w:r>
              <w:t xml:space="preserve">: </w:t>
            </w:r>
            <w:r w:rsidR="00E369AD">
              <w:t>Feet</w:t>
            </w:r>
          </w:p>
          <w:p w:rsidR="00145412" w:rsidRPr="00126BC8" w:rsidRDefault="00145412" w:rsidP="00F62716">
            <w:pPr>
              <w:pStyle w:val="GCCbullets"/>
            </w:pPr>
            <w:r>
              <w:t>Model response</w:t>
            </w:r>
          </w:p>
          <w:p w:rsidR="00145412" w:rsidRPr="00126BC8" w:rsidRDefault="00145412" w:rsidP="00F62716">
            <w:pPr>
              <w:pStyle w:val="GCCbullets"/>
            </w:pPr>
            <w:r>
              <w:t>Note: No Student booklet</w:t>
            </w:r>
          </w:p>
        </w:tc>
      </w:tr>
    </w:tbl>
    <w:p w:rsidR="000D2B55" w:rsidRDefault="000D2B55" w:rsidP="005B7A3F">
      <w:pPr>
        <w:pStyle w:val="Bulletslevel3"/>
        <w:numPr>
          <w:ilvl w:val="0"/>
          <w:numId w:val="0"/>
        </w:numPr>
        <w:rPr>
          <w:rFonts w:eastAsia="SimSun"/>
        </w:rPr>
      </w:pPr>
      <w:r>
        <w:br w:type="page"/>
      </w:r>
    </w:p>
    <w:p w:rsidR="00581229" w:rsidRPr="00581229" w:rsidRDefault="00581229" w:rsidP="00C575C3">
      <w:pPr>
        <w:pStyle w:val="Heading1"/>
      </w:pPr>
      <w:r w:rsidRPr="00581229">
        <w:lastRenderedPageBreak/>
        <w:t>Teacher guidelines</w:t>
      </w:r>
    </w:p>
    <w:p w:rsidR="00581229" w:rsidRPr="00581229" w:rsidRDefault="00581229" w:rsidP="00C575C3">
      <w:pPr>
        <w:pStyle w:val="Heading2"/>
      </w:pPr>
      <w:r w:rsidRPr="00581229">
        <w:t>Identify curriculum</w:t>
      </w:r>
    </w:p>
    <w:tbl>
      <w:tblPr>
        <w:tblW w:w="4939"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4587"/>
        <w:gridCol w:w="4587"/>
      </w:tblGrid>
      <w:tr w:rsidR="004262FC" w:rsidRPr="00581229" w:rsidTr="004262FC">
        <w:tc>
          <w:tcPr>
            <w:tcW w:w="5000" w:type="pct"/>
            <w:gridSpan w:val="2"/>
            <w:tcBorders>
              <w:top w:val="single" w:sz="4" w:space="0" w:color="00948D"/>
              <w:left w:val="single" w:sz="4" w:space="0" w:color="00948D"/>
              <w:bottom w:val="single" w:sz="4" w:space="0" w:color="00948D"/>
            </w:tcBorders>
            <w:shd w:val="clear" w:color="auto" w:fill="8CC8C9"/>
          </w:tcPr>
          <w:p w:rsidR="004262FC" w:rsidRPr="00581229" w:rsidRDefault="004262FC" w:rsidP="00A763A1">
            <w:pPr>
              <w:pStyle w:val="Tablehead"/>
            </w:pPr>
            <w:r w:rsidRPr="00581229">
              <w:t>Content descriptions to be taught</w:t>
            </w:r>
          </w:p>
        </w:tc>
      </w:tr>
      <w:tr w:rsidR="008641B0" w:rsidRPr="00581229" w:rsidTr="008641B0">
        <w:trPr>
          <w:trHeight w:val="185"/>
        </w:trPr>
        <w:tc>
          <w:tcPr>
            <w:tcW w:w="2500" w:type="pct"/>
            <w:tcBorders>
              <w:top w:val="single" w:sz="4" w:space="0" w:color="00948D"/>
            </w:tcBorders>
            <w:shd w:val="clear" w:color="auto" w:fill="CFE7E6"/>
          </w:tcPr>
          <w:p w:rsidR="008641B0" w:rsidRPr="00581229" w:rsidRDefault="008641B0" w:rsidP="00506708">
            <w:pPr>
              <w:pStyle w:val="Tablesubhead"/>
            </w:pPr>
            <w:r>
              <w:t>Measurement and Geometry</w:t>
            </w:r>
          </w:p>
        </w:tc>
        <w:tc>
          <w:tcPr>
            <w:tcW w:w="2500" w:type="pct"/>
            <w:shd w:val="clear" w:color="auto" w:fill="CFE7E6"/>
          </w:tcPr>
          <w:p w:rsidR="008641B0" w:rsidRPr="00581229" w:rsidRDefault="008641B0" w:rsidP="000E7C57">
            <w:pPr>
              <w:pStyle w:val="Tablesubhead"/>
            </w:pPr>
            <w:r>
              <w:t>Statistics and Probability</w:t>
            </w:r>
          </w:p>
        </w:tc>
      </w:tr>
      <w:tr w:rsidR="008641B0" w:rsidRPr="004B2147" w:rsidTr="008641B0">
        <w:trPr>
          <w:trHeight w:val="1103"/>
        </w:trPr>
        <w:tc>
          <w:tcPr>
            <w:tcW w:w="2500" w:type="pct"/>
            <w:tcBorders>
              <w:bottom w:val="single" w:sz="4" w:space="0" w:color="00928F"/>
            </w:tcBorders>
            <w:shd w:val="clear" w:color="auto" w:fill="auto"/>
          </w:tcPr>
          <w:p w:rsidR="008641B0" w:rsidRPr="002C6890" w:rsidRDefault="008641B0" w:rsidP="00774078">
            <w:pPr>
              <w:pStyle w:val="Tablesubhead"/>
            </w:pPr>
            <w:r>
              <w:t>Using units of measurement</w:t>
            </w:r>
          </w:p>
          <w:p w:rsidR="008641B0" w:rsidRPr="00C64244" w:rsidRDefault="008641B0" w:rsidP="008B33F2">
            <w:pPr>
              <w:pStyle w:val="Tablebulletslevel1"/>
              <w:rPr>
                <w:b/>
              </w:rPr>
            </w:pPr>
            <w:r w:rsidRPr="0095680B">
              <w:rPr>
                <w:szCs w:val="20"/>
                <w:lang w:eastAsia="en-US"/>
              </w:rPr>
              <w:t>Compare and order several shap</w:t>
            </w:r>
            <w:r>
              <w:rPr>
                <w:szCs w:val="20"/>
                <w:lang w:eastAsia="en-US"/>
              </w:rPr>
              <w:t xml:space="preserve">es and objects based on length, area, </w:t>
            </w:r>
            <w:hyperlink r:id="rId19" w:tooltip="Display the glossary entry for 'volume'" w:history="1">
              <w:r w:rsidRPr="0095680B">
                <w:rPr>
                  <w:szCs w:val="20"/>
                  <w:lang w:eastAsia="en-US"/>
                </w:rPr>
                <w:t>volume</w:t>
              </w:r>
            </w:hyperlink>
            <w:r w:rsidRPr="0095680B">
              <w:rPr>
                <w:szCs w:val="20"/>
                <w:lang w:eastAsia="en-US"/>
              </w:rPr>
              <w:t> and </w:t>
            </w:r>
            <w:hyperlink r:id="rId20" w:tooltip="Display the glossary entry for 'capacity'" w:history="1">
              <w:r w:rsidRPr="0095680B">
                <w:rPr>
                  <w:szCs w:val="20"/>
                  <w:lang w:eastAsia="en-US"/>
                </w:rPr>
                <w:t>capacity</w:t>
              </w:r>
            </w:hyperlink>
            <w:r w:rsidRPr="0095680B">
              <w:rPr>
                <w:szCs w:val="20"/>
                <w:lang w:eastAsia="en-US"/>
              </w:rPr>
              <w:t> using appropriate uniform informal units </w:t>
            </w:r>
            <w:hyperlink r:id="rId21" w:tooltip="View additional details of ACMMG037" w:history="1">
              <w:r w:rsidR="00D22E27" w:rsidRPr="00E72FE7">
                <w:rPr>
                  <w:rStyle w:val="Hyperlink"/>
                </w:rPr>
                <w:t>ACMMG037</w:t>
              </w:r>
            </w:hyperlink>
          </w:p>
        </w:tc>
        <w:tc>
          <w:tcPr>
            <w:tcW w:w="2500" w:type="pct"/>
            <w:tcBorders>
              <w:bottom w:val="single" w:sz="4" w:space="0" w:color="00928F"/>
            </w:tcBorders>
          </w:tcPr>
          <w:p w:rsidR="008641B0" w:rsidRPr="004B2147" w:rsidRDefault="008641B0" w:rsidP="007B407B">
            <w:pPr>
              <w:spacing w:before="40" w:after="40" w:line="220" w:lineRule="atLeast"/>
              <w:rPr>
                <w:b/>
                <w:sz w:val="20"/>
              </w:rPr>
            </w:pPr>
            <w:r>
              <w:rPr>
                <w:b/>
                <w:sz w:val="20"/>
              </w:rPr>
              <w:t>Data representation and interpretation</w:t>
            </w:r>
          </w:p>
          <w:p w:rsidR="008641B0" w:rsidRDefault="008641B0" w:rsidP="008641B0">
            <w:pPr>
              <w:pStyle w:val="Tablebulletslevel1"/>
            </w:pPr>
            <w:r w:rsidRPr="000E7C57">
              <w:rPr>
                <w:szCs w:val="20"/>
                <w:lang w:eastAsia="en-US"/>
              </w:rPr>
              <w:t>Collect, check and classify </w:t>
            </w:r>
            <w:hyperlink r:id="rId22" w:tooltip="Display the glossary entry for 'data'" w:history="1">
              <w:r w:rsidRPr="000E7C57">
                <w:rPr>
                  <w:szCs w:val="20"/>
                  <w:lang w:eastAsia="en-US"/>
                </w:rPr>
                <w:t>data</w:t>
              </w:r>
            </w:hyperlink>
            <w:r w:rsidRPr="000E7C57">
              <w:rPr>
                <w:szCs w:val="20"/>
                <w:lang w:eastAsia="en-US"/>
              </w:rPr>
              <w:t> </w:t>
            </w:r>
            <w:hyperlink r:id="rId23" w:tooltip="View additional details of ACMSP049" w:history="1">
              <w:r w:rsidRPr="000E7C57">
                <w:rPr>
                  <w:szCs w:val="20"/>
                  <w:lang w:eastAsia="en-US"/>
                </w:rPr>
                <w:t>(ACMSP049)</w:t>
              </w:r>
            </w:hyperlink>
          </w:p>
          <w:p w:rsidR="008641B0" w:rsidRPr="00AF07E3" w:rsidRDefault="008641B0" w:rsidP="00F243E8">
            <w:pPr>
              <w:pStyle w:val="Tablebulletslevel1"/>
            </w:pPr>
            <w:r w:rsidRPr="008641B0">
              <w:rPr>
                <w:szCs w:val="20"/>
                <w:lang w:eastAsia="en-US"/>
              </w:rPr>
              <w:t>Create displays of </w:t>
            </w:r>
            <w:hyperlink r:id="rId24" w:tooltip="Display the glossary entry for 'data'" w:history="1">
              <w:r w:rsidRPr="008641B0">
                <w:rPr>
                  <w:szCs w:val="20"/>
                  <w:lang w:eastAsia="en-US"/>
                </w:rPr>
                <w:t>data</w:t>
              </w:r>
            </w:hyperlink>
            <w:r w:rsidRPr="008641B0">
              <w:rPr>
                <w:szCs w:val="20"/>
                <w:lang w:eastAsia="en-US"/>
              </w:rPr>
              <w:t> using lists, table and </w:t>
            </w:r>
            <w:hyperlink r:id="rId25" w:tooltip="Display the glossary entry for 'picture graphs'" w:history="1">
              <w:r w:rsidRPr="008641B0">
                <w:rPr>
                  <w:szCs w:val="20"/>
                  <w:lang w:eastAsia="en-US"/>
                </w:rPr>
                <w:t>picture graphs</w:t>
              </w:r>
            </w:hyperlink>
            <w:r w:rsidRPr="008641B0">
              <w:rPr>
                <w:szCs w:val="20"/>
                <w:lang w:eastAsia="en-US"/>
              </w:rPr>
              <w:t> and interpret them </w:t>
            </w:r>
            <w:hyperlink r:id="rId26" w:tooltip="View additional details of ACMSP050" w:history="1">
              <w:r w:rsidRPr="00E72FE7">
                <w:rPr>
                  <w:rStyle w:val="Hyperlink"/>
                </w:rPr>
                <w:t>ACMSP050</w:t>
              </w:r>
            </w:hyperlink>
            <w:r w:rsidRPr="008641B0">
              <w:rPr>
                <w:b/>
              </w:rPr>
              <w:t xml:space="preserve"> </w:t>
            </w:r>
          </w:p>
        </w:tc>
      </w:tr>
      <w:tr w:rsidR="008F2064" w:rsidRPr="00581229" w:rsidTr="008F2064">
        <w:trPr>
          <w:trHeight w:val="227"/>
        </w:trPr>
        <w:tc>
          <w:tcPr>
            <w:tcW w:w="5000" w:type="pct"/>
            <w:gridSpan w:val="2"/>
            <w:tcBorders>
              <w:bottom w:val="single" w:sz="4" w:space="0" w:color="00928F"/>
            </w:tcBorders>
            <w:shd w:val="clear" w:color="auto" w:fill="CFE7E6"/>
          </w:tcPr>
          <w:p w:rsidR="008F2064" w:rsidRPr="00A763A1" w:rsidRDefault="008F2064" w:rsidP="00107966">
            <w:pPr>
              <w:pStyle w:val="Tablesubhead"/>
              <w:tabs>
                <w:tab w:val="left" w:pos="5325"/>
              </w:tabs>
              <w:rPr>
                <w:b w:val="0"/>
                <w:color w:val="0000FF"/>
                <w:szCs w:val="20"/>
              </w:rPr>
            </w:pPr>
            <w:r w:rsidRPr="00581229">
              <w:t xml:space="preserve">General capabilities </w:t>
            </w:r>
            <w:r w:rsidR="00322B93">
              <w:t xml:space="preserve">(GCs) </w:t>
            </w:r>
            <w:r w:rsidRPr="00581229">
              <w:t>and cross</w:t>
            </w:r>
            <w:r w:rsidRPr="00581229">
              <w:noBreakHyphen/>
              <w:t>curriculum priorities</w:t>
            </w:r>
            <w:r w:rsidR="00322B93">
              <w:t xml:space="preserve"> (CCPs)</w:t>
            </w:r>
            <w:r w:rsidR="002C6890">
              <w:br/>
            </w:r>
            <w:r w:rsidR="002C6890" w:rsidRPr="00774078">
              <w:rPr>
                <w:rStyle w:val="TabletextChar"/>
                <w:b w:val="0"/>
              </w:rPr>
              <w:t>T</w:t>
            </w:r>
            <w:r w:rsidR="00902F1C" w:rsidRPr="00774078">
              <w:rPr>
                <w:rStyle w:val="TabletextChar"/>
                <w:b w:val="0"/>
              </w:rPr>
              <w:t>his assessment may provide opportunities to engage with</w:t>
            </w:r>
            <w:r w:rsidR="007E467E" w:rsidRPr="00774078">
              <w:rPr>
                <w:rStyle w:val="TabletextChar"/>
                <w:b w:val="0"/>
              </w:rPr>
              <w:t xml:space="preserve"> the following GCs and CCPs. </w:t>
            </w:r>
            <w:r w:rsidR="002C6890">
              <w:rPr>
                <w:rStyle w:val="TabletextChar"/>
                <w:b w:val="0"/>
              </w:rPr>
              <w:t>Refer a</w:t>
            </w:r>
            <w:r w:rsidR="00A763A1">
              <w:rPr>
                <w:rStyle w:val="TabletextChar"/>
                <w:b w:val="0"/>
              </w:rPr>
              <w:t xml:space="preserve">lso to the Resources tab on the Mathematics </w:t>
            </w:r>
            <w:r w:rsidR="00BB650E">
              <w:rPr>
                <w:rStyle w:val="TabletextChar"/>
                <w:b w:val="0"/>
              </w:rPr>
              <w:t xml:space="preserve">curriculum hub </w:t>
            </w:r>
            <w:hyperlink r:id="rId27" w:history="1">
              <w:r w:rsidR="00BB650E" w:rsidRPr="00C90C22">
                <w:rPr>
                  <w:rStyle w:val="Hyperlink"/>
                  <w:rFonts w:cs="Arial"/>
                  <w:b w:val="0"/>
                  <w:szCs w:val="20"/>
                </w:rPr>
                <w:t>www.qsa.qld.edu.au/13656.html</w:t>
              </w:r>
            </w:hyperlink>
          </w:p>
        </w:tc>
      </w:tr>
      <w:tr w:rsidR="00DC0B7F" w:rsidRPr="00581229" w:rsidTr="00145412">
        <w:trPr>
          <w:trHeight w:val="1681"/>
        </w:trPr>
        <w:tc>
          <w:tcPr>
            <w:tcW w:w="2500" w:type="pct"/>
          </w:tcPr>
          <w:p w:rsidR="00DC0B7F" w:rsidRPr="00DC0B7F" w:rsidRDefault="00DC0B7F" w:rsidP="00AE470C">
            <w:pPr>
              <w:tabs>
                <w:tab w:val="left" w:pos="510"/>
              </w:tabs>
              <w:spacing w:before="0" w:after="40" w:line="220" w:lineRule="atLeast"/>
              <w:ind w:left="510" w:hanging="510"/>
              <w:rPr>
                <w:sz w:val="20"/>
              </w:rPr>
            </w:pPr>
            <w:r w:rsidRPr="00581229">
              <w:rPr>
                <w:noProof/>
                <w:sz w:val="17"/>
                <w:szCs w:val="17"/>
              </w:rPr>
              <w:drawing>
                <wp:inline distT="0" distB="0" distL="0" distR="0" wp14:anchorId="0E1D814E" wp14:editId="1CF64DDA">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Literacy</w:t>
            </w:r>
          </w:p>
          <w:p w:rsidR="00DC0B7F" w:rsidRPr="00DC0B7F" w:rsidRDefault="00DC0B7F" w:rsidP="00DC0B7F">
            <w:pPr>
              <w:tabs>
                <w:tab w:val="left" w:pos="510"/>
              </w:tabs>
              <w:spacing w:before="0" w:after="40" w:line="220" w:lineRule="atLeast"/>
              <w:ind w:left="510" w:hanging="510"/>
              <w:rPr>
                <w:sz w:val="20"/>
              </w:rPr>
            </w:pPr>
            <w:r w:rsidRPr="00581229">
              <w:rPr>
                <w:noProof/>
                <w:sz w:val="17"/>
                <w:szCs w:val="17"/>
              </w:rPr>
              <w:drawing>
                <wp:inline distT="0" distB="0" distL="0" distR="0" wp14:anchorId="301566BC" wp14:editId="4012F929">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Numeracy</w:t>
            </w:r>
          </w:p>
          <w:p w:rsidR="00DC0B7F" w:rsidRPr="00DC0B7F" w:rsidRDefault="00DC0B7F" w:rsidP="00DC0B7F">
            <w:pPr>
              <w:tabs>
                <w:tab w:val="left" w:pos="510"/>
              </w:tabs>
              <w:spacing w:before="40" w:after="40" w:line="220" w:lineRule="atLeast"/>
              <w:ind w:left="510" w:hanging="510"/>
              <w:rPr>
                <w:b/>
                <w:sz w:val="20"/>
              </w:rPr>
            </w:pPr>
            <w:r w:rsidRPr="00581229">
              <w:rPr>
                <w:noProof/>
                <w:sz w:val="17"/>
                <w:szCs w:val="17"/>
              </w:rPr>
              <w:drawing>
                <wp:inline distT="0" distB="0" distL="0" distR="0" wp14:anchorId="32ED82F2" wp14:editId="5CC54AB7">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552D47">
              <w:rPr>
                <w:rStyle w:val="TabletextChar"/>
                <w:b/>
              </w:rPr>
              <w:t>ICT capability</w:t>
            </w:r>
          </w:p>
          <w:p w:rsidR="00DC0B7F" w:rsidRPr="00DC0B7F" w:rsidRDefault="00DC0B7F" w:rsidP="00DC0B7F">
            <w:pPr>
              <w:tabs>
                <w:tab w:val="left" w:pos="510"/>
              </w:tabs>
              <w:spacing w:before="40" w:after="40" w:line="220" w:lineRule="atLeast"/>
              <w:ind w:left="510" w:hanging="510"/>
              <w:rPr>
                <w:i/>
                <w:sz w:val="20"/>
              </w:rPr>
            </w:pPr>
            <w:r w:rsidRPr="00581229">
              <w:rPr>
                <w:i/>
                <w:noProof/>
                <w:sz w:val="17"/>
                <w:szCs w:val="17"/>
              </w:rPr>
              <w:drawing>
                <wp:inline distT="0" distB="0" distL="0" distR="0" wp14:anchorId="17D02F4A" wp14:editId="28B2F76F">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552D47">
              <w:rPr>
                <w:rStyle w:val="TabletextChar"/>
                <w:b/>
              </w:rPr>
              <w:t>Critical and creative thinking</w:t>
            </w:r>
          </w:p>
          <w:p w:rsidR="00DC0B7F" w:rsidRDefault="00DC0B7F" w:rsidP="00A763A1">
            <w:pPr>
              <w:tabs>
                <w:tab w:val="left" w:pos="510"/>
              </w:tabs>
              <w:spacing w:before="40" w:after="40" w:line="220" w:lineRule="atLeast"/>
              <w:ind w:left="510" w:hanging="510"/>
              <w:rPr>
                <w:rStyle w:val="TabletextChar"/>
                <w:b/>
              </w:rPr>
            </w:pPr>
            <w:r w:rsidRPr="00581229">
              <w:rPr>
                <w:noProof/>
                <w:sz w:val="17"/>
                <w:szCs w:val="17"/>
              </w:rPr>
              <w:drawing>
                <wp:inline distT="0" distB="0" distL="0" distR="0" wp14:anchorId="74CB3716" wp14:editId="330D380F">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Personal and social capability</w:t>
            </w:r>
          </w:p>
        </w:tc>
        <w:tc>
          <w:tcPr>
            <w:tcW w:w="2500" w:type="pct"/>
          </w:tcPr>
          <w:p w:rsidR="00DC0B7F" w:rsidRPr="00DC0B7F" w:rsidRDefault="00DC0B7F" w:rsidP="00E72FE7">
            <w:pPr>
              <w:tabs>
                <w:tab w:val="left" w:pos="900"/>
              </w:tabs>
              <w:spacing w:before="40" w:after="40" w:line="220" w:lineRule="atLeast"/>
              <w:ind w:left="510" w:hanging="510"/>
              <w:rPr>
                <w:sz w:val="20"/>
              </w:rPr>
            </w:pPr>
            <w:r w:rsidRPr="00581229">
              <w:rPr>
                <w:noProof/>
                <w:sz w:val="20"/>
              </w:rPr>
              <mc:AlternateContent>
                <mc:Choice Requires="wpg">
                  <w:drawing>
                    <wp:inline distT="0" distB="0" distL="0" distR="0" wp14:anchorId="2A70DE3B" wp14:editId="470A4F2E">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38"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39" o:title="flag_torres_strait_islander"/>
                      </v:shape>
                      <w10:anchorlock/>
                    </v:group>
                  </w:pict>
                </mc:Fallback>
              </mc:AlternateContent>
            </w:r>
            <w:r w:rsidRPr="00581229">
              <w:rPr>
                <w:sz w:val="20"/>
              </w:rPr>
              <w:t xml:space="preserve"> </w:t>
            </w:r>
            <w:r w:rsidR="00D22E27">
              <w:rPr>
                <w:sz w:val="20"/>
              </w:rPr>
              <w:tab/>
            </w:r>
            <w:r w:rsidRPr="00552D47">
              <w:rPr>
                <w:rStyle w:val="TabletextChar"/>
                <w:b/>
              </w:rPr>
              <w:t xml:space="preserve">Aboriginal and Torres Strait Islander </w:t>
            </w:r>
            <w:r w:rsidR="00D22E27">
              <w:rPr>
                <w:rStyle w:val="TabletextChar"/>
                <w:b/>
              </w:rPr>
              <w:tab/>
            </w:r>
            <w:r w:rsidRPr="00552D47">
              <w:rPr>
                <w:rStyle w:val="TabletextChar"/>
                <w:b/>
              </w:rPr>
              <w:t>histories and cultures</w:t>
            </w:r>
          </w:p>
          <w:p w:rsidR="00A763A1" w:rsidRPr="00DC0B7F" w:rsidRDefault="00A763A1" w:rsidP="00A763A1">
            <w:pPr>
              <w:tabs>
                <w:tab w:val="left" w:pos="510"/>
              </w:tabs>
              <w:spacing w:before="40" w:after="40" w:line="220" w:lineRule="atLeast"/>
              <w:rPr>
                <w:sz w:val="20"/>
              </w:rPr>
            </w:pPr>
          </w:p>
          <w:p w:rsidR="00DC0B7F" w:rsidRPr="00DC0B7F" w:rsidRDefault="00DC0B7F" w:rsidP="00DC0B7F">
            <w:pPr>
              <w:tabs>
                <w:tab w:val="left" w:pos="510"/>
              </w:tabs>
              <w:spacing w:before="40" w:after="40" w:line="220" w:lineRule="atLeast"/>
              <w:ind w:left="510" w:hanging="510"/>
              <w:rPr>
                <w:sz w:val="20"/>
              </w:rPr>
            </w:pPr>
          </w:p>
        </w:tc>
      </w:tr>
      <w:tr w:rsidR="008F2064" w:rsidRPr="00581229" w:rsidTr="008F2064">
        <w:tc>
          <w:tcPr>
            <w:tcW w:w="5000" w:type="pct"/>
            <w:gridSpan w:val="2"/>
            <w:shd w:val="clear" w:color="auto" w:fill="CFE7E6"/>
          </w:tcPr>
          <w:p w:rsidR="008F2064" w:rsidRPr="00581229" w:rsidRDefault="008F2064" w:rsidP="00C90043">
            <w:pPr>
              <w:pStyle w:val="Tablesubhead"/>
            </w:pPr>
            <w:r w:rsidRPr="00581229">
              <w:t>Achievement standard</w:t>
            </w:r>
            <w:r w:rsidR="00EA1796">
              <w:br/>
            </w:r>
            <w:r w:rsidR="00EA1796" w:rsidRPr="00774078">
              <w:rPr>
                <w:b w:val="0"/>
              </w:rPr>
              <w:t>T</w:t>
            </w:r>
            <w:r w:rsidR="00902F1C" w:rsidRPr="00774078">
              <w:rPr>
                <w:b w:val="0"/>
              </w:rPr>
              <w:t xml:space="preserve">his assessment provides opportunities for </w:t>
            </w:r>
            <w:r w:rsidR="00C90043">
              <w:rPr>
                <w:b w:val="0"/>
              </w:rPr>
              <w:t>children</w:t>
            </w:r>
            <w:r w:rsidR="00902F1C" w:rsidRPr="00774078">
              <w:rPr>
                <w:b w:val="0"/>
              </w:rPr>
              <w:t xml:space="preserve"> to demonstrate the following highlighted aspects</w:t>
            </w:r>
            <w:r w:rsidR="00AC332E">
              <w:rPr>
                <w:b w:val="0"/>
              </w:rPr>
              <w:t>.</w:t>
            </w:r>
          </w:p>
        </w:tc>
      </w:tr>
      <w:tr w:rsidR="008F2064" w:rsidRPr="00581229" w:rsidTr="008F2064">
        <w:tc>
          <w:tcPr>
            <w:tcW w:w="5000" w:type="pct"/>
            <w:gridSpan w:val="2"/>
          </w:tcPr>
          <w:p w:rsidR="00DC1961" w:rsidRPr="00DC1961" w:rsidRDefault="00DC1961" w:rsidP="00DC1961">
            <w:pPr>
              <w:pStyle w:val="NormalWeb"/>
              <w:spacing w:before="0" w:beforeAutospacing="0" w:after="0" w:afterAutospacing="0" w:line="225" w:lineRule="atLeast"/>
              <w:textAlignment w:val="baseline"/>
              <w:rPr>
                <w:rFonts w:ascii="Arial" w:hAnsi="Arial" w:cs="Arial"/>
                <w:sz w:val="20"/>
                <w:szCs w:val="21"/>
              </w:rPr>
            </w:pPr>
            <w:r w:rsidRPr="00DC1961">
              <w:rPr>
                <w:rFonts w:ascii="Arial" w:hAnsi="Arial" w:cs="Arial"/>
                <w:sz w:val="20"/>
                <w:szCs w:val="21"/>
              </w:rPr>
              <w:t>By the end of Year 2, students </w:t>
            </w:r>
            <w:hyperlink r:id="rId40" w:tooltip="Display the glossary entry for 'recognise'" w:history="1">
              <w:r w:rsidRPr="00DC1961">
                <w:rPr>
                  <w:rFonts w:ascii="Arial" w:hAnsi="Arial" w:cs="Arial"/>
                  <w:sz w:val="20"/>
                  <w:szCs w:val="21"/>
                </w:rPr>
                <w:t>recognise</w:t>
              </w:r>
            </w:hyperlink>
            <w:r w:rsidRPr="00DC1961">
              <w:rPr>
                <w:rFonts w:ascii="Arial" w:hAnsi="Arial" w:cs="Arial"/>
                <w:sz w:val="20"/>
                <w:szCs w:val="21"/>
              </w:rPr>
              <w:t> increasing and decreasing number sequences involving 2s, 3s and 5s. They </w:t>
            </w:r>
            <w:hyperlink r:id="rId41" w:tooltip="Display the glossary entry for 'represent'" w:history="1">
              <w:r w:rsidRPr="00DC1961">
                <w:rPr>
                  <w:rFonts w:ascii="Arial" w:hAnsi="Arial" w:cs="Arial"/>
                  <w:sz w:val="20"/>
                  <w:szCs w:val="21"/>
                </w:rPr>
                <w:t>represent</w:t>
              </w:r>
            </w:hyperlink>
            <w:r w:rsidRPr="00DC1961">
              <w:rPr>
                <w:rFonts w:ascii="Arial" w:hAnsi="Arial" w:cs="Arial"/>
                <w:sz w:val="20"/>
                <w:szCs w:val="21"/>
              </w:rPr>
              <w:t> multiplication and division by grouping into sets. They associate collections of Australian coins with their value. Students </w:t>
            </w:r>
            <w:hyperlink r:id="rId42" w:tooltip="Display the glossary entry for 'identify'" w:history="1">
              <w:r w:rsidRPr="00DC1961">
                <w:rPr>
                  <w:rFonts w:ascii="Arial" w:hAnsi="Arial" w:cs="Arial"/>
                  <w:sz w:val="20"/>
                  <w:szCs w:val="21"/>
                </w:rPr>
                <w:t>identify</w:t>
              </w:r>
            </w:hyperlink>
            <w:r w:rsidRPr="00DC1961">
              <w:rPr>
                <w:rFonts w:ascii="Arial" w:hAnsi="Arial" w:cs="Arial"/>
                <w:sz w:val="20"/>
                <w:szCs w:val="21"/>
              </w:rPr>
              <w:t> the missing element in a number </w:t>
            </w:r>
            <w:hyperlink r:id="rId43" w:tooltip="Display the glossary entry for 'sequence'" w:history="1">
              <w:r w:rsidRPr="00DC1961">
                <w:rPr>
                  <w:rFonts w:ascii="Arial" w:hAnsi="Arial" w:cs="Arial"/>
                  <w:sz w:val="20"/>
                  <w:szCs w:val="21"/>
                </w:rPr>
                <w:t>sequence</w:t>
              </w:r>
            </w:hyperlink>
            <w:r w:rsidRPr="00DC1961">
              <w:rPr>
                <w:rFonts w:ascii="Arial" w:hAnsi="Arial" w:cs="Arial"/>
                <w:sz w:val="20"/>
                <w:szCs w:val="21"/>
              </w:rPr>
              <w:t>. Students </w:t>
            </w:r>
            <w:hyperlink r:id="rId44" w:tooltip="Display the glossary entry for 'recognise'" w:history="1">
              <w:r w:rsidRPr="00DC1961">
                <w:rPr>
                  <w:rFonts w:ascii="Arial" w:hAnsi="Arial" w:cs="Arial"/>
                  <w:sz w:val="20"/>
                  <w:szCs w:val="21"/>
                </w:rPr>
                <w:t>recognise</w:t>
              </w:r>
            </w:hyperlink>
            <w:r w:rsidRPr="00DC1961">
              <w:rPr>
                <w:rFonts w:ascii="Arial" w:hAnsi="Arial" w:cs="Arial"/>
                <w:sz w:val="20"/>
                <w:szCs w:val="21"/>
              </w:rPr>
              <w:t> the features of three-dimensional objects. They interpret simple maps of </w:t>
            </w:r>
            <w:hyperlink r:id="rId45" w:tooltip="Display the glossary entry for 'familiar'" w:history="1">
              <w:r w:rsidRPr="00DC1961">
                <w:rPr>
                  <w:rFonts w:ascii="Arial" w:hAnsi="Arial" w:cs="Arial"/>
                  <w:sz w:val="20"/>
                  <w:szCs w:val="21"/>
                </w:rPr>
                <w:t>familiar</w:t>
              </w:r>
            </w:hyperlink>
            <w:r w:rsidRPr="00DC1961">
              <w:rPr>
                <w:rFonts w:ascii="Arial" w:hAnsi="Arial" w:cs="Arial"/>
                <w:sz w:val="20"/>
                <w:szCs w:val="21"/>
              </w:rPr>
              <w:t> locations. They </w:t>
            </w:r>
            <w:hyperlink r:id="rId46" w:tooltip="Display the glossary entry for 'explain'" w:history="1">
              <w:r w:rsidRPr="00DC1961">
                <w:rPr>
                  <w:rFonts w:ascii="Arial" w:hAnsi="Arial" w:cs="Arial"/>
                  <w:sz w:val="20"/>
                  <w:szCs w:val="21"/>
                </w:rPr>
                <w:t>explain</w:t>
              </w:r>
            </w:hyperlink>
            <w:r w:rsidRPr="00DC1961">
              <w:rPr>
                <w:rFonts w:ascii="Arial" w:hAnsi="Arial" w:cs="Arial"/>
                <w:sz w:val="20"/>
                <w:szCs w:val="21"/>
              </w:rPr>
              <w:t xml:space="preserve"> the effects of one-step transformations. </w:t>
            </w:r>
            <w:r w:rsidRPr="002D7E94">
              <w:rPr>
                <w:rFonts w:ascii="Arial" w:hAnsi="Arial" w:cs="Arial"/>
                <w:sz w:val="20"/>
                <w:szCs w:val="21"/>
                <w:shd w:val="clear" w:color="auto" w:fill="D9D9D9" w:themeFill="background1" w:themeFillShade="D9"/>
              </w:rPr>
              <w:t>Students make sense of collected information.</w:t>
            </w:r>
          </w:p>
          <w:p w:rsidR="00AF07E3" w:rsidRPr="00DC1961" w:rsidRDefault="00DC1961" w:rsidP="00DC1961">
            <w:pPr>
              <w:pStyle w:val="NormalWeb"/>
              <w:spacing w:before="0" w:beforeAutospacing="0" w:after="0" w:afterAutospacing="0" w:line="225" w:lineRule="atLeast"/>
              <w:textAlignment w:val="baseline"/>
              <w:rPr>
                <w:rFonts w:ascii="Arial" w:hAnsi="Arial"/>
                <w:sz w:val="20"/>
                <w:szCs w:val="21"/>
              </w:rPr>
            </w:pPr>
            <w:r w:rsidRPr="00DC1961">
              <w:rPr>
                <w:rFonts w:ascii="Arial" w:hAnsi="Arial" w:cs="Arial"/>
                <w:sz w:val="20"/>
                <w:szCs w:val="21"/>
              </w:rPr>
              <w:t xml:space="preserve">Students count to and from 1000. They perform simple addition and subtraction calculations using a range of strategies. They divide collections and shapes into halves, quarters and eighths. </w:t>
            </w:r>
            <w:r w:rsidRPr="002D7E94">
              <w:rPr>
                <w:rFonts w:ascii="Arial" w:hAnsi="Arial" w:cs="Arial"/>
                <w:sz w:val="20"/>
                <w:szCs w:val="21"/>
                <w:shd w:val="clear" w:color="auto" w:fill="D9D9D9" w:themeFill="background1" w:themeFillShade="D9"/>
              </w:rPr>
              <w:t>Students order shapes and objects using informal units.</w:t>
            </w:r>
            <w:r w:rsidRPr="00DC1961">
              <w:rPr>
                <w:rFonts w:ascii="Arial" w:hAnsi="Arial" w:cs="Arial"/>
                <w:sz w:val="20"/>
                <w:szCs w:val="21"/>
              </w:rPr>
              <w:t xml:space="preserve"> They tell time to the quarter hour and use a calendar to </w:t>
            </w:r>
            <w:hyperlink r:id="rId47" w:tooltip="Display the glossary entry for 'identify'" w:history="1">
              <w:r w:rsidRPr="00DC1961">
                <w:rPr>
                  <w:rFonts w:ascii="Arial" w:hAnsi="Arial" w:cs="Arial"/>
                  <w:sz w:val="20"/>
                  <w:szCs w:val="21"/>
                </w:rPr>
                <w:t>identify</w:t>
              </w:r>
            </w:hyperlink>
            <w:r w:rsidRPr="00DC1961">
              <w:rPr>
                <w:rFonts w:ascii="Arial" w:hAnsi="Arial" w:cs="Arial"/>
                <w:sz w:val="20"/>
                <w:szCs w:val="21"/>
              </w:rPr>
              <w:t> the date and the months incl</w:t>
            </w:r>
            <w:r>
              <w:rPr>
                <w:rFonts w:ascii="Arial" w:hAnsi="Arial" w:cs="Arial"/>
                <w:sz w:val="20"/>
                <w:szCs w:val="21"/>
              </w:rPr>
              <w:t>uded in seasons. They draw two-</w:t>
            </w:r>
            <w:r w:rsidRPr="00DC1961">
              <w:rPr>
                <w:rFonts w:ascii="Arial" w:hAnsi="Arial" w:cs="Arial"/>
                <w:sz w:val="20"/>
                <w:szCs w:val="21"/>
              </w:rPr>
              <w:t>dimensional shapes. They </w:t>
            </w:r>
            <w:hyperlink r:id="rId48" w:tooltip="Display the glossary entry for 'describe'" w:history="1">
              <w:r w:rsidRPr="00DC1961">
                <w:rPr>
                  <w:rFonts w:ascii="Arial" w:hAnsi="Arial" w:cs="Arial"/>
                  <w:sz w:val="20"/>
                  <w:szCs w:val="21"/>
                </w:rPr>
                <w:t>describe</w:t>
              </w:r>
            </w:hyperlink>
            <w:r w:rsidRPr="00DC1961">
              <w:rPr>
                <w:rFonts w:ascii="Arial" w:hAnsi="Arial" w:cs="Arial"/>
                <w:sz w:val="20"/>
                <w:szCs w:val="21"/>
              </w:rPr>
              <w:t xml:space="preserve"> outcomes for everyday events. </w:t>
            </w:r>
            <w:r w:rsidRPr="002D7E94">
              <w:rPr>
                <w:rFonts w:ascii="Arial" w:hAnsi="Arial" w:cs="Arial"/>
                <w:sz w:val="20"/>
                <w:szCs w:val="21"/>
                <w:shd w:val="clear" w:color="auto" w:fill="D9D9D9" w:themeFill="background1" w:themeFillShade="D9"/>
              </w:rPr>
              <w:t>Students collect data from relevant questions to create lists, tables and picture graphs.</w:t>
            </w:r>
          </w:p>
        </w:tc>
      </w:tr>
      <w:tr w:rsidR="008F2064" w:rsidRPr="00581229" w:rsidTr="008F2064">
        <w:trPr>
          <w:trHeight w:val="93"/>
        </w:trPr>
        <w:tc>
          <w:tcPr>
            <w:tcW w:w="5000" w:type="pct"/>
            <w:gridSpan w:val="2"/>
          </w:tcPr>
          <w:p w:rsidR="008F2064" w:rsidRPr="00581229" w:rsidRDefault="008F2064" w:rsidP="002D7673">
            <w:pPr>
              <w:pStyle w:val="ACversionline"/>
            </w:pPr>
            <w:r w:rsidRPr="00581229">
              <w:t>Source: ACAR</w:t>
            </w:r>
            <w:r w:rsidR="00DC0B7F">
              <w:t>A</w:t>
            </w:r>
            <w:r w:rsidR="00145412">
              <w:t>, The Australian Curriculum v6</w:t>
            </w:r>
            <w:r w:rsidR="00DC1961">
              <w:t>.0</w:t>
            </w:r>
            <w:r w:rsidRPr="00581229">
              <w:t xml:space="preserve">, </w:t>
            </w:r>
            <w:hyperlink r:id="rId49" w:history="1">
              <w:r w:rsidRPr="00027AF7">
                <w:rPr>
                  <w:rStyle w:val="Hyperlink"/>
                </w:rPr>
                <w:t>www.australiancurriculum.edu.au</w:t>
              </w:r>
            </w:hyperlink>
          </w:p>
        </w:tc>
      </w:tr>
    </w:tbl>
    <w:p w:rsidR="00581229" w:rsidRPr="006431BA" w:rsidRDefault="00581229" w:rsidP="00F858B5">
      <w:pPr>
        <w:keepNext/>
        <w:keepLines/>
        <w:numPr>
          <w:ilvl w:val="1"/>
          <w:numId w:val="0"/>
        </w:numPr>
        <w:spacing w:before="360" w:line="360" w:lineRule="atLeast"/>
        <w:outlineLvl w:val="1"/>
        <w:rPr>
          <w:rFonts w:eastAsia="SimSun" w:cs="Arial"/>
          <w:b/>
          <w:color w:val="00948D"/>
          <w:kern w:val="28"/>
          <w:sz w:val="32"/>
          <w:szCs w:val="40"/>
        </w:rPr>
      </w:pPr>
      <w:r w:rsidRPr="006431BA">
        <w:rPr>
          <w:rFonts w:eastAsia="SimSun" w:cs="Arial"/>
          <w:b/>
          <w:color w:val="00928F"/>
          <w:kern w:val="28"/>
          <w:sz w:val="32"/>
          <w:szCs w:val="40"/>
        </w:rPr>
        <w:t>Sequence learning</w:t>
      </w:r>
    </w:p>
    <w:tbl>
      <w:tblPr>
        <w:tblStyle w:val="1QSAtablestyle"/>
        <w:tblW w:w="4900" w:type="pct"/>
        <w:tblLook w:val="01E0" w:firstRow="1" w:lastRow="1" w:firstColumn="1" w:lastColumn="1" w:noHBand="0" w:noVBand="0"/>
      </w:tblPr>
      <w:tblGrid>
        <w:gridCol w:w="9101"/>
      </w:tblGrid>
      <w:tr w:rsidR="00581229" w:rsidRPr="00581229" w:rsidTr="00126BC8">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8CC8C9"/>
          </w:tcPr>
          <w:p w:rsidR="00581229" w:rsidRPr="00581229" w:rsidRDefault="00581229" w:rsidP="00F858B5">
            <w:pPr>
              <w:pStyle w:val="Tablehead"/>
              <w:keepLines/>
              <w:rPr>
                <w:b/>
              </w:rPr>
            </w:pPr>
            <w:r w:rsidRPr="00581229">
              <w:rPr>
                <w:b/>
              </w:rPr>
              <w:t>Suggested learning experiences</w:t>
            </w:r>
          </w:p>
        </w:tc>
      </w:tr>
      <w:tr w:rsidR="00581229" w:rsidRPr="00581229" w:rsidTr="004500FF">
        <w:tc>
          <w:tcPr>
            <w:tcW w:w="5000" w:type="pct"/>
            <w:tcBorders>
              <w:bottom w:val="single" w:sz="4" w:space="0" w:color="00928F"/>
            </w:tcBorders>
          </w:tcPr>
          <w:p w:rsidR="00581229" w:rsidRPr="00581229" w:rsidRDefault="00581229" w:rsidP="003A3B32">
            <w:pPr>
              <w:pStyle w:val="Tabletext"/>
              <w:keepNext/>
              <w:keepLines/>
              <w:rPr>
                <w:sz w:val="21"/>
              </w:rPr>
            </w:pPr>
            <w:r w:rsidRPr="00581229">
              <w:t>This assessment leads on from the learning experie</w:t>
            </w:r>
            <w:r w:rsidR="00587ED4">
              <w:t xml:space="preserve">nces outlined in the QSA’s Year 2 Mathematics </w:t>
            </w:r>
            <w:r w:rsidRPr="00581229">
              <w:t xml:space="preserve">unit overview. The knowledge, understanding and skills developed in the exemplar unit will prepare </w:t>
            </w:r>
            <w:r w:rsidR="00C90043">
              <w:t>children</w:t>
            </w:r>
            <w:r w:rsidRPr="00581229">
              <w:t xml:space="preserve"> to engage in this assessment:  </w:t>
            </w:r>
          </w:p>
          <w:p w:rsidR="00322B93" w:rsidRPr="00BB650E" w:rsidRDefault="00401FC1" w:rsidP="00F14D9C">
            <w:pPr>
              <w:pStyle w:val="Tablebulletslevel1"/>
              <w:keepNext/>
              <w:keepLines/>
              <w:rPr>
                <w:szCs w:val="20"/>
                <w:shd w:val="clear" w:color="auto" w:fill="FFDFA4"/>
                <w:lang w:eastAsia="en-US"/>
              </w:rPr>
            </w:pPr>
            <w:r>
              <w:rPr>
                <w:lang w:val="en" w:eastAsia="en-US"/>
              </w:rPr>
              <w:t>See unit overview — Mathematics</w:t>
            </w:r>
            <w:r w:rsidR="000F76B4">
              <w:rPr>
                <w:lang w:val="en" w:eastAsia="en-US"/>
              </w:rPr>
              <w:t xml:space="preserve"> </w:t>
            </w:r>
            <w:r w:rsidR="00581229" w:rsidRPr="00581229">
              <w:rPr>
                <w:lang w:val="en" w:eastAsia="en-US"/>
              </w:rPr>
              <w:t xml:space="preserve">exemplar </w:t>
            </w:r>
            <w:r>
              <w:rPr>
                <w:lang w:val="en" w:eastAsia="en-US"/>
              </w:rPr>
              <w:t>(Is the whole greater than the sum of its parts?</w:t>
            </w:r>
            <w:r w:rsidR="00581229" w:rsidRPr="00027AF7">
              <w:rPr>
                <w:lang w:val="en" w:eastAsia="en-US"/>
              </w:rPr>
              <w:t>)</w:t>
            </w:r>
            <w:r w:rsidR="00581229" w:rsidRPr="004145C3">
              <w:rPr>
                <w:lang w:val="en" w:eastAsia="en-US"/>
              </w:rPr>
              <w:t xml:space="preserve"> </w:t>
            </w:r>
            <w:r w:rsidR="00AA051F">
              <w:rPr>
                <w:lang w:val="en" w:eastAsia="en-US"/>
              </w:rPr>
              <w:br/>
            </w:r>
            <w:hyperlink r:id="rId50" w:history="1">
              <w:r w:rsidR="00BB650E" w:rsidRPr="00C90C22">
                <w:rPr>
                  <w:rStyle w:val="Hyperlink"/>
                  <w:rFonts w:eastAsia="SimSun"/>
                </w:rPr>
                <w:t>www.qsa.qld.edu.au/yr2-maths-overview.html</w:t>
              </w:r>
            </w:hyperlink>
          </w:p>
        </w:tc>
      </w:tr>
      <w:tr w:rsidR="00581229" w:rsidRPr="00581229" w:rsidTr="00126BC8">
        <w:trPr>
          <w:trHeight w:val="42"/>
        </w:trPr>
        <w:tc>
          <w:tcPr>
            <w:tcW w:w="5000" w:type="pct"/>
            <w:tcBorders>
              <w:bottom w:val="single" w:sz="4" w:space="0" w:color="00928F"/>
            </w:tcBorders>
            <w:shd w:val="clear" w:color="auto" w:fill="CFE7E6"/>
          </w:tcPr>
          <w:p w:rsidR="00581229" w:rsidRPr="00126BC8" w:rsidRDefault="00581229" w:rsidP="003A3B32">
            <w:pPr>
              <w:pStyle w:val="Tablesubhead"/>
              <w:keepNext/>
              <w:keepLines/>
            </w:pPr>
            <w:r w:rsidRPr="00126BC8">
              <w:t>Adjustments for needs of learners</w:t>
            </w:r>
          </w:p>
        </w:tc>
      </w:tr>
      <w:tr w:rsidR="00581229" w:rsidRPr="00581229" w:rsidTr="004500FF">
        <w:tc>
          <w:tcPr>
            <w:tcW w:w="5000" w:type="pct"/>
            <w:tcBorders>
              <w:bottom w:val="single" w:sz="4" w:space="0" w:color="00928F"/>
            </w:tcBorders>
          </w:tcPr>
          <w:p w:rsidR="00145391" w:rsidRPr="00145391" w:rsidRDefault="00145391" w:rsidP="00145391">
            <w:pPr>
              <w:pStyle w:val="Tabletext"/>
            </w:pPr>
            <w:r w:rsidRPr="00145391">
              <w:t>To make adjustments</w:t>
            </w:r>
            <w:r>
              <w:t>,</w:t>
            </w:r>
            <w:r w:rsidRPr="00145391">
              <w:t xml:space="preserve"> teachers refer to learning area content aligned to the </w:t>
            </w:r>
            <w:r w:rsidR="005D605E">
              <w:t>child</w:t>
            </w:r>
            <w:r w:rsidRPr="00145391">
              <w:t>’s chronological age, personalise learning by emphasising alternate levels of content, general capabilities or cross</w:t>
            </w:r>
            <w:r>
              <w:noBreakHyphen/>
            </w:r>
            <w:r w:rsidRPr="00145391">
              <w:t xml:space="preserve">curriculum priorities in relation to the chronological age learning area content. The emphasis placed on each area is informed by the </w:t>
            </w:r>
            <w:r w:rsidR="005D605E">
              <w:t>child</w:t>
            </w:r>
            <w:r w:rsidRPr="00145391">
              <w:t xml:space="preserve">’s current level of learning and their strengths, goals and </w:t>
            </w:r>
            <w:r w:rsidRPr="00145391">
              <w:lastRenderedPageBreak/>
              <w:t xml:space="preserve">interests. Advice on the process of curriculum adjustment for all </w:t>
            </w:r>
            <w:r w:rsidR="005D605E">
              <w:t>children</w:t>
            </w:r>
            <w:r w:rsidRPr="00145391">
              <w:t xml:space="preserve"> and in particular for those with disability, gifted and talented or for whom English is an additional language or dialect are addressed in </w:t>
            </w:r>
            <w:r w:rsidRPr="00145391">
              <w:rPr>
                <w:i/>
              </w:rPr>
              <w:t>Australian Curriculum — Student Diversity</w:t>
            </w:r>
            <w:r w:rsidRPr="00145391">
              <w:t xml:space="preserve"> materials. </w:t>
            </w:r>
          </w:p>
          <w:p w:rsidR="00145391" w:rsidRDefault="00145391" w:rsidP="00145391">
            <w:pPr>
              <w:pStyle w:val="Tabletext"/>
            </w:pPr>
            <w:r w:rsidRPr="00145391">
              <w:t xml:space="preserve">For information to support </w:t>
            </w:r>
            <w:r w:rsidR="005D605E">
              <w:t>children</w:t>
            </w:r>
            <w:r w:rsidRPr="00145391">
              <w:t xml:space="preserve"> with diverse learning needs</w:t>
            </w:r>
            <w:r>
              <w:t>,</w:t>
            </w:r>
            <w:r w:rsidRPr="00145391">
              <w:t xml:space="preserve"> see:</w:t>
            </w:r>
          </w:p>
          <w:p w:rsidR="00145391" w:rsidRDefault="001E2984" w:rsidP="00145391">
            <w:pPr>
              <w:pStyle w:val="Tablebulletslevel1"/>
            </w:pPr>
            <w:r w:rsidRPr="00322B93">
              <w:t>Q</w:t>
            </w:r>
            <w:r w:rsidR="00E24DA5">
              <w:t xml:space="preserve">ueensland </w:t>
            </w:r>
            <w:r w:rsidRPr="00322B93">
              <w:t>S</w:t>
            </w:r>
            <w:r w:rsidR="00E24DA5">
              <w:t xml:space="preserve">tudies </w:t>
            </w:r>
            <w:r w:rsidRPr="00322B93">
              <w:t>A</w:t>
            </w:r>
            <w:r w:rsidR="00E24DA5">
              <w:t>uthority</w:t>
            </w:r>
            <w:r w:rsidRPr="00322B93">
              <w:t xml:space="preserve"> materials for supporting </w:t>
            </w:r>
            <w:r w:rsidR="005D605E">
              <w:t>children</w:t>
            </w:r>
            <w:r w:rsidR="00145391">
              <w:t xml:space="preserve"> with diverse learning needs</w:t>
            </w:r>
            <w:r w:rsidRPr="00322B93">
              <w:t xml:space="preserve"> </w:t>
            </w:r>
            <w:hyperlink r:id="rId51" w:history="1">
              <w:r w:rsidR="00E24DA5" w:rsidRPr="00384F3B">
                <w:rPr>
                  <w:rStyle w:val="Hyperlink"/>
                </w:rPr>
                <w:t>www.qsa.qld.edu.au/10188.html</w:t>
              </w:r>
            </w:hyperlink>
          </w:p>
          <w:p w:rsidR="00581229" w:rsidRDefault="00145391" w:rsidP="00145391">
            <w:pPr>
              <w:pStyle w:val="Tablebulletslevel1"/>
              <w:rPr>
                <w:lang w:val="en"/>
              </w:rPr>
            </w:pPr>
            <w:r w:rsidRPr="003A3B32">
              <w:t>Australian Curriculum Student Diversity</w:t>
            </w:r>
            <w:r w:rsidRPr="00322B93">
              <w:t xml:space="preserve"> </w:t>
            </w:r>
            <w:hyperlink r:id="rId52" w:history="1">
              <w:r w:rsidRPr="00240CA5">
                <w:rPr>
                  <w:rStyle w:val="Hyperlink"/>
                </w:rPr>
                <w:t>www.australiancurriculum.edu.au/StudentDiversity/Overview</w:t>
              </w:r>
            </w:hyperlink>
          </w:p>
          <w:p w:rsidR="002E33DE" w:rsidRDefault="002E33DE" w:rsidP="00294298">
            <w:pPr>
              <w:pStyle w:val="Tablebulletslevel1"/>
              <w:rPr>
                <w:rStyle w:val="Hyperlink"/>
              </w:rPr>
            </w:pPr>
            <w:r>
              <w:t xml:space="preserve">The </w:t>
            </w:r>
            <w:r w:rsidRPr="00D7560B">
              <w:rPr>
                <w:i/>
              </w:rPr>
              <w:t>Melbourne Declaratio</w:t>
            </w:r>
            <w:r w:rsidRPr="00294298">
              <w:rPr>
                <w:i/>
              </w:rPr>
              <w:t xml:space="preserve">n </w:t>
            </w:r>
            <w:r w:rsidR="00294298" w:rsidRPr="00294298">
              <w:rPr>
                <w:i/>
              </w:rPr>
              <w:t>on Educational Goals for Young Australians</w:t>
            </w:r>
            <w:r w:rsidR="00294298">
              <w:t xml:space="preserve"> </w:t>
            </w:r>
            <w:hyperlink r:id="rId53" w:history="1">
              <w:r w:rsidRPr="00875983">
                <w:rPr>
                  <w:rStyle w:val="Hyperlink"/>
                </w:rPr>
                <w:t>www.mceecdya.edu.au/mceecdya/melbourne_declaration,25979.html</w:t>
              </w:r>
            </w:hyperlink>
          </w:p>
          <w:p w:rsidR="002E33DE" w:rsidRPr="002E33DE" w:rsidRDefault="002E33DE" w:rsidP="00145391">
            <w:pPr>
              <w:pStyle w:val="Tablebulletslevel1"/>
            </w:pPr>
            <w:r w:rsidRPr="00581229">
              <w:t xml:space="preserve">The </w:t>
            </w:r>
            <w:r w:rsidRPr="008E110C">
              <w:rPr>
                <w:i/>
              </w:rPr>
              <w:t>Disability Standards for Education</w:t>
            </w:r>
            <w:r w:rsidRPr="004B0F3C">
              <w:t xml:space="preserve"> </w:t>
            </w:r>
            <w:hyperlink r:id="rId54" w:history="1">
              <w:r w:rsidRPr="008E110C">
                <w:rPr>
                  <w:color w:val="0000FF"/>
                </w:rPr>
                <w:t>www.ag.gov.au</w:t>
              </w:r>
            </w:hyperlink>
            <w:r w:rsidRPr="00581229">
              <w:t>.</w:t>
            </w:r>
          </w:p>
        </w:tc>
      </w:tr>
      <w:tr w:rsidR="00581229" w:rsidRPr="00581229" w:rsidTr="00126BC8">
        <w:trPr>
          <w:trHeight w:val="42"/>
        </w:trPr>
        <w:tc>
          <w:tcPr>
            <w:tcW w:w="5000" w:type="pct"/>
            <w:shd w:val="clear" w:color="auto" w:fill="CFE7E6"/>
          </w:tcPr>
          <w:p w:rsidR="00581229" w:rsidRPr="00581229" w:rsidRDefault="00581229" w:rsidP="006D27FB">
            <w:pPr>
              <w:pStyle w:val="Tablesubhead"/>
            </w:pPr>
            <w:r w:rsidRPr="00581229">
              <w:lastRenderedPageBreak/>
              <w:t>Resources</w:t>
            </w:r>
          </w:p>
        </w:tc>
      </w:tr>
      <w:tr w:rsidR="00581229" w:rsidRPr="00581229" w:rsidTr="008641B0">
        <w:trPr>
          <w:trHeight w:val="1292"/>
        </w:trPr>
        <w:tc>
          <w:tcPr>
            <w:tcW w:w="5000" w:type="pct"/>
          </w:tcPr>
          <w:p w:rsidR="00581229" w:rsidRPr="00552D47" w:rsidRDefault="00581229" w:rsidP="00552D47">
            <w:pPr>
              <w:pStyle w:val="Tabletext"/>
              <w:rPr>
                <w:b/>
              </w:rPr>
            </w:pPr>
            <w:r w:rsidRPr="00552D47">
              <w:rPr>
                <w:b/>
              </w:rPr>
              <w:t>Objects</w:t>
            </w:r>
          </w:p>
          <w:p w:rsidR="003A2F5E" w:rsidRDefault="0070744C" w:rsidP="003A2F5E">
            <w:pPr>
              <w:pStyle w:val="Tablebulletslevel1"/>
            </w:pPr>
            <w:r>
              <w:t xml:space="preserve">uniform </w:t>
            </w:r>
            <w:r w:rsidR="003A2F5E">
              <w:t>informal units</w:t>
            </w:r>
            <w:r>
              <w:t>,</w:t>
            </w:r>
            <w:r w:rsidR="003A2F5E">
              <w:t xml:space="preserve"> </w:t>
            </w:r>
            <w:r w:rsidR="003A2F5E" w:rsidRPr="00F04DC1">
              <w:t>e.g. blocks</w:t>
            </w:r>
            <w:r w:rsidR="003A2F5E">
              <w:t xml:space="preserve"> </w:t>
            </w:r>
            <w:r>
              <w:t xml:space="preserve">(such as </w:t>
            </w:r>
            <w:proofErr w:type="spellStart"/>
            <w:r>
              <w:t>U</w:t>
            </w:r>
            <w:r w:rsidR="003A2F5E">
              <w:t>nif</w:t>
            </w:r>
            <w:r>
              <w:t>i</w:t>
            </w:r>
            <w:r w:rsidR="003A2F5E">
              <w:t>x</w:t>
            </w:r>
            <w:proofErr w:type="spellEnd"/>
            <w:r w:rsidR="003A2F5E">
              <w:t xml:space="preserve"> cubes</w:t>
            </w:r>
            <w:r>
              <w:t>)</w:t>
            </w:r>
            <w:r w:rsidR="003A2F5E">
              <w:t>,</w:t>
            </w:r>
            <w:r w:rsidR="003A2F5E" w:rsidRPr="00F04DC1">
              <w:t xml:space="preserve"> paperclips, pegs, counters, buttons, </w:t>
            </w:r>
            <w:r w:rsidR="003A2F5E">
              <w:t>coins, multi-base arithmetic blocks (MABs)</w:t>
            </w:r>
          </w:p>
          <w:p w:rsidR="003A2F5E" w:rsidRPr="003A2F5E" w:rsidRDefault="0070744C" w:rsidP="003A2F5E">
            <w:pPr>
              <w:pStyle w:val="Tablebulletslevel1"/>
            </w:pPr>
            <w:r>
              <w:t>scissors</w:t>
            </w:r>
            <w:r w:rsidR="008641B0">
              <w:t>, m</w:t>
            </w:r>
            <w:r w:rsidR="003A2F5E">
              <w:t>arkers</w:t>
            </w:r>
          </w:p>
          <w:p w:rsidR="00493356" w:rsidRPr="00493356" w:rsidRDefault="0070744C" w:rsidP="009A27C6">
            <w:pPr>
              <w:widowControl w:val="0"/>
              <w:numPr>
                <w:ilvl w:val="0"/>
                <w:numId w:val="4"/>
              </w:numPr>
              <w:rPr>
                <w:lang w:eastAsia="en-US"/>
              </w:rPr>
            </w:pPr>
            <w:proofErr w:type="gramStart"/>
            <w:r>
              <w:t>paper</w:t>
            </w:r>
            <w:proofErr w:type="gramEnd"/>
            <w:r w:rsidR="008641B0">
              <w:t>, l</w:t>
            </w:r>
            <w:r w:rsidR="009A27C6">
              <w:t>aminating pouches.</w:t>
            </w:r>
          </w:p>
        </w:tc>
      </w:tr>
    </w:tbl>
    <w:p w:rsidR="00581229" w:rsidRPr="00581229" w:rsidRDefault="00581229" w:rsidP="004500FF">
      <w:pPr>
        <w:spacing w:before="60" w:after="20" w:line="220" w:lineRule="atLeast"/>
        <w:rPr>
          <w:rFonts w:eastAsia="SimSun" w:cs="Arial"/>
          <w:b/>
          <w:color w:val="00948D"/>
          <w:kern w:val="28"/>
          <w:sz w:val="32"/>
          <w:szCs w:val="40"/>
        </w:rPr>
      </w:pPr>
      <w:r w:rsidRPr="00581229">
        <w:br w:type="page"/>
      </w:r>
    </w:p>
    <w:p w:rsidR="00581229" w:rsidRPr="00581229" w:rsidRDefault="00581229" w:rsidP="00C575C3">
      <w:pPr>
        <w:pStyle w:val="Heading2"/>
      </w:pPr>
      <w:r w:rsidRPr="00581229">
        <w:lastRenderedPageBreak/>
        <w:t>Develop assessment</w:t>
      </w:r>
    </w:p>
    <w:tbl>
      <w:tblPr>
        <w:tblStyle w:val="3QSAtablestyle"/>
        <w:tblW w:w="4900" w:type="pct"/>
        <w:tblLook w:val="01E0" w:firstRow="1" w:lastRow="1" w:firstColumn="1" w:lastColumn="1" w:noHBand="0" w:noVBand="0"/>
      </w:tblPr>
      <w:tblGrid>
        <w:gridCol w:w="9101"/>
      </w:tblGrid>
      <w:tr w:rsidR="004500FF" w:rsidRPr="004500FF" w:rsidTr="004500FF">
        <w:trPr>
          <w:cnfStyle w:val="100000000000" w:firstRow="1" w:lastRow="0" w:firstColumn="0" w:lastColumn="0" w:oddVBand="0" w:evenVBand="0" w:oddHBand="0" w:evenHBand="0" w:firstRowFirstColumn="0" w:firstRowLastColumn="0" w:lastRowFirstColumn="0" w:lastRowLastColumn="0"/>
          <w:trHeight w:val="42"/>
        </w:trPr>
        <w:tc>
          <w:tcPr>
            <w:cnfStyle w:val="000000000100" w:firstRow="0" w:lastRow="0" w:firstColumn="0" w:lastColumn="0" w:oddVBand="0" w:evenVBand="0" w:oddHBand="0" w:evenHBand="0" w:firstRowFirstColumn="1" w:firstRowLastColumn="0" w:lastRowFirstColumn="0" w:lastRowLastColumn="0"/>
            <w:tcW w:w="5000" w:type="pct"/>
            <w:shd w:val="clear" w:color="auto" w:fill="8CC8C9"/>
          </w:tcPr>
          <w:p w:rsidR="00581229" w:rsidRPr="00F16EBF" w:rsidRDefault="005D767A" w:rsidP="004500FF">
            <w:pPr>
              <w:pStyle w:val="Tablehead"/>
              <w:rPr>
                <w:b/>
                <w:color w:val="auto"/>
              </w:rPr>
            </w:pPr>
            <w:r>
              <w:rPr>
                <w:b/>
                <w:color w:val="auto"/>
              </w:rPr>
              <w:t>Preparing for the assessment</w:t>
            </w:r>
          </w:p>
        </w:tc>
      </w:tr>
      <w:tr w:rsidR="00581229" w:rsidRPr="00581229" w:rsidTr="004500FF">
        <w:trPr>
          <w:trHeight w:val="4168"/>
        </w:trPr>
        <w:tc>
          <w:tcPr>
            <w:tcW w:w="5000" w:type="pct"/>
          </w:tcPr>
          <w:p w:rsidR="00581229" w:rsidRPr="00E14A79" w:rsidRDefault="00945A05" w:rsidP="0052050E">
            <w:pPr>
              <w:pStyle w:val="Tabletext"/>
            </w:pPr>
            <w:r>
              <w:rPr>
                <w:b/>
              </w:rPr>
              <w:t>Word Wall</w:t>
            </w:r>
            <w:r w:rsidR="001E2984" w:rsidRPr="00E14A79">
              <w:rPr>
                <w:b/>
              </w:rPr>
              <w:t xml:space="preserve"> </w:t>
            </w:r>
          </w:p>
          <w:p w:rsidR="00F07038" w:rsidRDefault="00F07038" w:rsidP="0052050E">
            <w:pPr>
              <w:pStyle w:val="Tabletext"/>
            </w:pPr>
            <w:r w:rsidRPr="00397FC2">
              <w:t xml:space="preserve">Compile a </w:t>
            </w:r>
            <w:r>
              <w:t>W</w:t>
            </w:r>
            <w:r w:rsidRPr="00397FC2">
              <w:t xml:space="preserve">ord </w:t>
            </w:r>
            <w:r>
              <w:t>Wall</w:t>
            </w:r>
            <w:r w:rsidRPr="00397FC2">
              <w:t xml:space="preserve"> of mathematical terms, </w:t>
            </w:r>
            <w:r>
              <w:t>e.g.</w:t>
            </w:r>
            <w:r w:rsidRPr="00397FC2">
              <w:t xml:space="preserve"> </w:t>
            </w:r>
            <w:r w:rsidRPr="00D7389A">
              <w:rPr>
                <w:i/>
              </w:rPr>
              <w:t>uniform informal unit</w:t>
            </w:r>
            <w:r w:rsidRPr="00397FC2">
              <w:t xml:space="preserve">, </w:t>
            </w:r>
            <w:r w:rsidRPr="00D7389A">
              <w:rPr>
                <w:i/>
              </w:rPr>
              <w:t>measurement</w:t>
            </w:r>
            <w:r w:rsidRPr="00397FC2">
              <w:t xml:space="preserve">, </w:t>
            </w:r>
            <w:r w:rsidRPr="00D7389A">
              <w:rPr>
                <w:i/>
              </w:rPr>
              <w:t>list</w:t>
            </w:r>
            <w:r w:rsidRPr="00397FC2">
              <w:t xml:space="preserve">, </w:t>
            </w:r>
            <w:r w:rsidRPr="00D7389A">
              <w:rPr>
                <w:i/>
              </w:rPr>
              <w:t>table</w:t>
            </w:r>
            <w:r w:rsidRPr="00397FC2">
              <w:t xml:space="preserve">, </w:t>
            </w:r>
            <w:r w:rsidRPr="00D7389A">
              <w:rPr>
                <w:i/>
              </w:rPr>
              <w:t>graph</w:t>
            </w:r>
            <w:r w:rsidRPr="00397FC2">
              <w:t xml:space="preserve">, </w:t>
            </w:r>
            <w:r w:rsidRPr="00D7389A">
              <w:rPr>
                <w:i/>
              </w:rPr>
              <w:t>title</w:t>
            </w:r>
            <w:r w:rsidRPr="00397FC2">
              <w:t xml:space="preserve">, </w:t>
            </w:r>
            <w:r w:rsidRPr="00D7389A">
              <w:rPr>
                <w:i/>
              </w:rPr>
              <w:t>column</w:t>
            </w:r>
            <w:r w:rsidRPr="00397FC2">
              <w:t xml:space="preserve">, </w:t>
            </w:r>
            <w:r w:rsidRPr="00D7389A">
              <w:rPr>
                <w:i/>
              </w:rPr>
              <w:t>row</w:t>
            </w:r>
            <w:r w:rsidRPr="00397FC2">
              <w:t xml:space="preserve">, </w:t>
            </w:r>
            <w:r w:rsidRPr="00D7389A">
              <w:rPr>
                <w:i/>
              </w:rPr>
              <w:t>axis</w:t>
            </w:r>
            <w:r w:rsidRPr="00397FC2">
              <w:t xml:space="preserve">, </w:t>
            </w:r>
            <w:r w:rsidRPr="00D7389A">
              <w:rPr>
                <w:i/>
              </w:rPr>
              <w:t>key</w:t>
            </w:r>
            <w:r w:rsidRPr="00397FC2">
              <w:t xml:space="preserve">, </w:t>
            </w:r>
            <w:r w:rsidRPr="00D7389A">
              <w:rPr>
                <w:i/>
              </w:rPr>
              <w:t>more</w:t>
            </w:r>
            <w:r w:rsidRPr="00397FC2">
              <w:t xml:space="preserve">, </w:t>
            </w:r>
            <w:r w:rsidRPr="00D7389A">
              <w:rPr>
                <w:i/>
              </w:rPr>
              <w:t>less</w:t>
            </w:r>
            <w:r w:rsidRPr="00397FC2">
              <w:t>.</w:t>
            </w:r>
          </w:p>
          <w:p w:rsidR="00581229" w:rsidRPr="00E14A79" w:rsidRDefault="003A2F5E" w:rsidP="0052050E">
            <w:pPr>
              <w:pStyle w:val="Tabletext"/>
              <w:rPr>
                <w:b/>
              </w:rPr>
            </w:pPr>
            <w:r>
              <w:rPr>
                <w:b/>
              </w:rPr>
              <w:t>Measure, collect and compare</w:t>
            </w:r>
          </w:p>
          <w:p w:rsidR="00AD52D9" w:rsidRPr="00397FC2" w:rsidRDefault="00AD52D9" w:rsidP="00E72FE7">
            <w:pPr>
              <w:pStyle w:val="Normallead-in"/>
            </w:pPr>
            <w:r w:rsidRPr="00397FC2">
              <w:t>For a range of shapes and objects (such as body parts):</w:t>
            </w:r>
          </w:p>
          <w:p w:rsidR="00AD52D9" w:rsidRDefault="00AD52D9" w:rsidP="005F4F5C">
            <w:pPr>
              <w:pStyle w:val="Tablebulletslevel1"/>
            </w:pPr>
            <w:r w:rsidRPr="00397FC2">
              <w:t>use a range of uniform informal units to measure length and area</w:t>
            </w:r>
            <w:r>
              <w:t xml:space="preserve">, e.g. </w:t>
            </w:r>
            <w:r w:rsidRPr="00F04DC1">
              <w:t>blocks</w:t>
            </w:r>
            <w:r w:rsidR="0070744C">
              <w:t xml:space="preserve"> (such as </w:t>
            </w:r>
            <w:proofErr w:type="spellStart"/>
            <w:r w:rsidR="0070744C">
              <w:t>U</w:t>
            </w:r>
            <w:r>
              <w:t>nif</w:t>
            </w:r>
            <w:r w:rsidR="0070744C">
              <w:t>i</w:t>
            </w:r>
            <w:r>
              <w:t>x</w:t>
            </w:r>
            <w:proofErr w:type="spellEnd"/>
            <w:r>
              <w:t xml:space="preserve"> cubes</w:t>
            </w:r>
            <w:r w:rsidR="0070744C">
              <w:t>)</w:t>
            </w:r>
            <w:r>
              <w:t>,</w:t>
            </w:r>
            <w:r w:rsidRPr="00F04DC1">
              <w:t xml:space="preserve"> hand spans, paperclips, pegs, counters, buttons, strides</w:t>
            </w:r>
            <w:r>
              <w:t>, coins, multi-base arithmetic blocks (MABs)</w:t>
            </w:r>
          </w:p>
          <w:p w:rsidR="00AD52D9" w:rsidRDefault="00AD52D9" w:rsidP="005F4F5C">
            <w:pPr>
              <w:pStyle w:val="Tablebulletslevel1"/>
            </w:pPr>
            <w:proofErr w:type="gramStart"/>
            <w:r>
              <w:t>check</w:t>
            </w:r>
            <w:proofErr w:type="gramEnd"/>
            <w:r>
              <w:t xml:space="preserve"> and compare accuracy of measurements</w:t>
            </w:r>
            <w:r w:rsidR="00E369AD">
              <w:t>.</w:t>
            </w:r>
          </w:p>
          <w:p w:rsidR="00581229" w:rsidRPr="00E14A79" w:rsidRDefault="003A2F5E" w:rsidP="00AD52D9">
            <w:pPr>
              <w:pStyle w:val="Tabletext"/>
              <w:rPr>
                <w:b/>
              </w:rPr>
            </w:pPr>
            <w:r>
              <w:rPr>
                <w:b/>
              </w:rPr>
              <w:t>Order and display</w:t>
            </w:r>
          </w:p>
          <w:p w:rsidR="00581229" w:rsidRPr="005F4F5C" w:rsidRDefault="005F4F5C" w:rsidP="005F4F5C">
            <w:pPr>
              <w:pStyle w:val="Tablebulletslevel1"/>
              <w:rPr>
                <w:lang w:val="en" w:eastAsia="en-US"/>
              </w:rPr>
            </w:pPr>
            <w:proofErr w:type="gramStart"/>
            <w:r>
              <w:t>o</w:t>
            </w:r>
            <w:r w:rsidRPr="00A1008E">
              <w:t>rder</w:t>
            </w:r>
            <w:proofErr w:type="gramEnd"/>
            <w:r w:rsidRPr="00A1008E">
              <w:t xml:space="preserve"> shapes and objects according to</w:t>
            </w:r>
            <w:r>
              <w:t xml:space="preserve"> uniform informal </w:t>
            </w:r>
            <w:r w:rsidRPr="00A1008E">
              <w:t>measurements</w:t>
            </w:r>
            <w:r>
              <w:t xml:space="preserve"> by comparing whether the measurement is the same, more or less.</w:t>
            </w:r>
          </w:p>
          <w:p w:rsidR="005F4F5C" w:rsidRPr="00E14A79" w:rsidRDefault="003A2F5E" w:rsidP="005F4F5C">
            <w:pPr>
              <w:pStyle w:val="Tabletext"/>
              <w:rPr>
                <w:b/>
              </w:rPr>
            </w:pPr>
            <w:r>
              <w:rPr>
                <w:b/>
              </w:rPr>
              <w:t>Interpret and pose questions</w:t>
            </w:r>
          </w:p>
          <w:p w:rsidR="005F4F5C" w:rsidRPr="00397FC2" w:rsidRDefault="005F4F5C" w:rsidP="00E72FE7">
            <w:pPr>
              <w:pStyle w:val="Normallead-in"/>
            </w:pPr>
            <w:r w:rsidRPr="00397FC2">
              <w:t>For a range of shapes and objects (such as body parts):</w:t>
            </w:r>
          </w:p>
          <w:p w:rsidR="005F4F5C" w:rsidRDefault="005F4F5C" w:rsidP="005F4F5C">
            <w:pPr>
              <w:pStyle w:val="Tablebulletslevel1"/>
            </w:pPr>
            <w:r>
              <w:t>i</w:t>
            </w:r>
            <w:r w:rsidRPr="00A1008E">
              <w:t>nterpret measurement data</w:t>
            </w:r>
            <w:r>
              <w:t xml:space="preserve"> using lists, tables and graphs</w:t>
            </w:r>
          </w:p>
          <w:p w:rsidR="005F4F5C" w:rsidRPr="00E14A79" w:rsidRDefault="005F4F5C" w:rsidP="005F4F5C">
            <w:pPr>
              <w:pStyle w:val="Tablebulletslevel1"/>
              <w:rPr>
                <w:lang w:val="en" w:eastAsia="en-US"/>
              </w:rPr>
            </w:pPr>
            <w:proofErr w:type="gramStart"/>
            <w:r>
              <w:t>identify</w:t>
            </w:r>
            <w:proofErr w:type="gramEnd"/>
            <w:r>
              <w:t xml:space="preserve"> questions that could be asked about the data.</w:t>
            </w:r>
          </w:p>
        </w:tc>
      </w:tr>
    </w:tbl>
    <w:p w:rsidR="00581229" w:rsidRPr="00A1151F" w:rsidRDefault="00581229" w:rsidP="00A1151F">
      <w:pPr>
        <w:rPr>
          <w:rFonts w:eastAsia="SimSun"/>
        </w:rPr>
      </w:pPr>
    </w:p>
    <w:tbl>
      <w:tblPr>
        <w:tblStyle w:val="3QSAtablestyle"/>
        <w:tblW w:w="4900" w:type="pct"/>
        <w:tblLook w:val="01E0" w:firstRow="1" w:lastRow="1" w:firstColumn="1" w:lastColumn="1" w:noHBand="0" w:noVBand="0"/>
      </w:tblPr>
      <w:tblGrid>
        <w:gridCol w:w="4550"/>
        <w:gridCol w:w="4551"/>
      </w:tblGrid>
      <w:tr w:rsidR="00F16EBF" w:rsidRPr="00F16EBF" w:rsidTr="00F16EBF">
        <w:trPr>
          <w:cnfStyle w:val="100000000000" w:firstRow="1" w:lastRow="0" w:firstColumn="0" w:lastColumn="0" w:oddVBand="0" w:evenVBand="0" w:oddHBand="0" w:evenHBand="0" w:firstRowFirstColumn="0" w:firstRowLastColumn="0" w:lastRowFirstColumn="0" w:lastRowLastColumn="0"/>
          <w:trHeight w:val="246"/>
          <w:tblHeader/>
        </w:trPr>
        <w:tc>
          <w:tcPr>
            <w:cnfStyle w:val="000000000100" w:firstRow="0" w:lastRow="0" w:firstColumn="0" w:lastColumn="0" w:oddVBand="0" w:evenVBand="0" w:oddHBand="0" w:evenHBand="0" w:firstRowFirstColumn="1" w:firstRowLastColumn="0" w:lastRowFirstColumn="0" w:lastRowLastColumn="0"/>
            <w:tcW w:w="5000" w:type="pct"/>
            <w:gridSpan w:val="2"/>
            <w:shd w:val="clear" w:color="auto" w:fill="8CC8C9"/>
          </w:tcPr>
          <w:p w:rsidR="00581229" w:rsidRPr="0052050E" w:rsidRDefault="00581229" w:rsidP="0052050E">
            <w:pPr>
              <w:pStyle w:val="Tablehead"/>
              <w:rPr>
                <w:b/>
                <w:color w:val="auto"/>
              </w:rPr>
            </w:pPr>
            <w:r w:rsidRPr="0052050E">
              <w:rPr>
                <w:b/>
                <w:color w:val="auto"/>
              </w:rPr>
              <w:t>Implementing</w:t>
            </w:r>
          </w:p>
        </w:tc>
      </w:tr>
      <w:tr w:rsidR="00581229" w:rsidRPr="00581229" w:rsidTr="007E1FB5">
        <w:trPr>
          <w:trHeight w:val="294"/>
        </w:trPr>
        <w:tc>
          <w:tcPr>
            <w:tcW w:w="5000" w:type="pct"/>
            <w:gridSpan w:val="2"/>
            <w:shd w:val="clear" w:color="auto" w:fill="CFE7E6"/>
          </w:tcPr>
          <w:p w:rsidR="00581229" w:rsidRPr="00E96274" w:rsidRDefault="00B054E4" w:rsidP="00B054E4">
            <w:pPr>
              <w:pStyle w:val="Tablesubhead"/>
              <w:tabs>
                <w:tab w:val="left" w:pos="1134"/>
              </w:tabs>
              <w:rPr>
                <w:rFonts w:cs="Arial"/>
                <w:b w:val="0"/>
              </w:rPr>
            </w:pPr>
            <w:r>
              <w:t>Section 1.</w:t>
            </w:r>
            <w:r>
              <w:tab/>
            </w:r>
            <w:r w:rsidRPr="004E2282">
              <w:t>Collecting, comparing and ordering data</w:t>
            </w:r>
          </w:p>
        </w:tc>
      </w:tr>
      <w:tr w:rsidR="007A6EA1" w:rsidRPr="00581229" w:rsidTr="00453BE3">
        <w:trPr>
          <w:trHeight w:val="1953"/>
        </w:trPr>
        <w:tc>
          <w:tcPr>
            <w:tcW w:w="2500" w:type="pct"/>
            <w:tcBorders>
              <w:bottom w:val="single" w:sz="4" w:space="0" w:color="00928F"/>
            </w:tcBorders>
          </w:tcPr>
          <w:p w:rsidR="007A6EA1" w:rsidRPr="0052050E" w:rsidRDefault="00C90043" w:rsidP="0052050E">
            <w:pPr>
              <w:pStyle w:val="Tabletext"/>
              <w:rPr>
                <w:b/>
              </w:rPr>
            </w:pPr>
            <w:r>
              <w:rPr>
                <w:b/>
              </w:rPr>
              <w:t>Child</w:t>
            </w:r>
            <w:r w:rsidR="007A6EA1">
              <w:rPr>
                <w:b/>
              </w:rPr>
              <w:t xml:space="preserve"> role</w:t>
            </w:r>
          </w:p>
          <w:p w:rsidR="00B054E4" w:rsidRPr="00DA059F" w:rsidRDefault="00B054E4" w:rsidP="00E72FE7">
            <w:pPr>
              <w:pStyle w:val="Normallead-in"/>
            </w:pPr>
            <w:r w:rsidRPr="00DA059F">
              <w:t>Collect data:</w:t>
            </w:r>
          </w:p>
          <w:p w:rsidR="00B054E4" w:rsidRDefault="000E535E" w:rsidP="00B054E4">
            <w:pPr>
              <w:pStyle w:val="Tablebulletslevel1"/>
            </w:pPr>
            <w:r>
              <w:t>R</w:t>
            </w:r>
            <w:r w:rsidR="00B054E4" w:rsidRPr="00977D8C">
              <w:t xml:space="preserve">emove </w:t>
            </w:r>
            <w:r w:rsidR="00B054E4">
              <w:t xml:space="preserve">your </w:t>
            </w:r>
            <w:r w:rsidR="00B054E4" w:rsidRPr="00977D8C">
              <w:t xml:space="preserve">shoe and sock </w:t>
            </w:r>
            <w:r w:rsidR="00B054E4">
              <w:t>from your right foot</w:t>
            </w:r>
            <w:r>
              <w:t>.</w:t>
            </w:r>
          </w:p>
          <w:p w:rsidR="00B054E4" w:rsidRDefault="000E535E" w:rsidP="00B054E4">
            <w:pPr>
              <w:pStyle w:val="Tablebulletslevel1"/>
            </w:pPr>
            <w:r>
              <w:t>P</w:t>
            </w:r>
            <w:r w:rsidR="00B054E4">
              <w:t xml:space="preserve">lace your right foot on </w:t>
            </w:r>
            <w:r w:rsidR="00B054E4" w:rsidRPr="00977D8C">
              <w:t>a</w:t>
            </w:r>
            <w:r w:rsidR="00B054E4">
              <w:t xml:space="preserve"> piece of blank white paper</w:t>
            </w:r>
            <w:r>
              <w:t>.</w:t>
            </w:r>
          </w:p>
          <w:p w:rsidR="00B054E4" w:rsidRDefault="000E535E" w:rsidP="00B054E4">
            <w:pPr>
              <w:pStyle w:val="Tablebulletslevel1"/>
            </w:pPr>
            <w:r>
              <w:t>G</w:t>
            </w:r>
            <w:r w:rsidR="00B054E4">
              <w:t>et another child to trace around your foot</w:t>
            </w:r>
            <w:r>
              <w:t>.</w:t>
            </w:r>
          </w:p>
          <w:p w:rsidR="00B054E4" w:rsidRDefault="000E535E" w:rsidP="00B054E4">
            <w:pPr>
              <w:pStyle w:val="Tablebulletslevel1"/>
            </w:pPr>
            <w:r>
              <w:t>W</w:t>
            </w:r>
            <w:r w:rsidR="00B054E4">
              <w:t>rite your name in the outline</w:t>
            </w:r>
            <w:r>
              <w:t>.</w:t>
            </w:r>
          </w:p>
          <w:p w:rsidR="00B054E4" w:rsidRDefault="000E535E" w:rsidP="00B054E4">
            <w:pPr>
              <w:pStyle w:val="Tablebulletslevel1"/>
            </w:pPr>
            <w:r>
              <w:t>M</w:t>
            </w:r>
            <w:r w:rsidR="00B054E4">
              <w:t xml:space="preserve">easure your shoe size using </w:t>
            </w:r>
            <w:r w:rsidR="009A27C6" w:rsidRPr="00F62716">
              <w:rPr>
                <w:i/>
              </w:rPr>
              <w:t>Assessment resource</w:t>
            </w:r>
            <w:r w:rsidR="00B054E4" w:rsidRPr="00F62716">
              <w:rPr>
                <w:i/>
              </w:rPr>
              <w:t xml:space="preserve">: </w:t>
            </w:r>
            <w:r w:rsidR="009A27C6" w:rsidRPr="00F62716">
              <w:rPr>
                <w:i/>
              </w:rPr>
              <w:t>Feet</w:t>
            </w:r>
            <w:r>
              <w:t>.</w:t>
            </w:r>
          </w:p>
          <w:p w:rsidR="00B054E4" w:rsidRDefault="000E535E" w:rsidP="00B054E4">
            <w:pPr>
              <w:pStyle w:val="Tablebulletslevel1"/>
            </w:pPr>
            <w:r>
              <w:t>W</w:t>
            </w:r>
            <w:r w:rsidR="00B054E4">
              <w:t>rite your shoe size underneath your name</w:t>
            </w:r>
            <w:r>
              <w:t>.</w:t>
            </w:r>
          </w:p>
          <w:p w:rsidR="00B054E4" w:rsidRDefault="000E535E" w:rsidP="000E535E">
            <w:pPr>
              <w:pStyle w:val="Tablebulletslevel1"/>
            </w:pPr>
            <w:r>
              <w:t>C</w:t>
            </w:r>
            <w:r w:rsidR="00B054E4">
              <w:t>ut around the outline.</w:t>
            </w:r>
          </w:p>
          <w:p w:rsidR="00B054E4" w:rsidRPr="00DA059F" w:rsidRDefault="00B054E4" w:rsidP="00E72FE7">
            <w:pPr>
              <w:pStyle w:val="Normallead-in"/>
            </w:pPr>
            <w:r w:rsidRPr="00DA059F">
              <w:t>Compare and order data:</w:t>
            </w:r>
          </w:p>
          <w:p w:rsidR="00B054E4" w:rsidRDefault="000E535E" w:rsidP="00B054E4">
            <w:pPr>
              <w:pStyle w:val="Tablebulletslevel1"/>
            </w:pPr>
            <w:r>
              <w:t>C</w:t>
            </w:r>
            <w:r w:rsidR="00B054E4">
              <w:t>hoose the most appropriate uniform informal unit to measure foot length</w:t>
            </w:r>
            <w:r>
              <w:t>.</w:t>
            </w:r>
          </w:p>
          <w:p w:rsidR="00B054E4" w:rsidRDefault="000E535E" w:rsidP="00B054E4">
            <w:pPr>
              <w:pStyle w:val="Tablebulletslevel1"/>
            </w:pPr>
            <w:r>
              <w:t>U</w:t>
            </w:r>
            <w:r w:rsidR="00B054E4">
              <w:t>se your selected unit to measure the length of each foot outline</w:t>
            </w:r>
            <w:r>
              <w:t>.</w:t>
            </w:r>
          </w:p>
          <w:p w:rsidR="00B054E4" w:rsidRDefault="000E535E" w:rsidP="00B054E4">
            <w:pPr>
              <w:pStyle w:val="Tablebulletslevel1"/>
            </w:pPr>
            <w:r>
              <w:t>R</w:t>
            </w:r>
            <w:r w:rsidR="00B054E4">
              <w:t>ecord the data you collect in a table</w:t>
            </w:r>
            <w:r>
              <w:t>.</w:t>
            </w:r>
          </w:p>
          <w:p w:rsidR="00B054E4" w:rsidRDefault="000E535E" w:rsidP="00B054E4">
            <w:pPr>
              <w:pStyle w:val="Tablebulletslevel1"/>
            </w:pPr>
            <w:r>
              <w:t>C</w:t>
            </w:r>
            <w:r w:rsidR="00B054E4">
              <w:t>ompare and order foot lengths and write the results as a list of children’s names (from shortest to longest foot length)</w:t>
            </w:r>
            <w:r>
              <w:t>.</w:t>
            </w:r>
          </w:p>
          <w:p w:rsidR="00B054E4" w:rsidRPr="00581229" w:rsidRDefault="000E535E" w:rsidP="005F3097">
            <w:pPr>
              <w:pStyle w:val="Tablebulletslevel1"/>
            </w:pPr>
            <w:r>
              <w:t>C</w:t>
            </w:r>
            <w:r w:rsidR="00B054E4">
              <w:t>heck your list by placing the foot outlines in the same order as the list, and visually inspecting the result</w:t>
            </w:r>
            <w:r w:rsidR="005F3097">
              <w:t xml:space="preserve"> </w:t>
            </w:r>
            <w:r w:rsidR="00B054E4">
              <w:t>make changes if necessary.</w:t>
            </w:r>
          </w:p>
        </w:tc>
        <w:tc>
          <w:tcPr>
            <w:tcW w:w="2500" w:type="pct"/>
            <w:tcBorders>
              <w:bottom w:val="single" w:sz="4" w:space="0" w:color="00928F"/>
            </w:tcBorders>
          </w:tcPr>
          <w:p w:rsidR="007A6EA1" w:rsidRPr="0052050E" w:rsidRDefault="007A6EA1" w:rsidP="007A6EA1">
            <w:pPr>
              <w:pStyle w:val="Tabletext"/>
              <w:rPr>
                <w:b/>
              </w:rPr>
            </w:pPr>
            <w:r>
              <w:rPr>
                <w:b/>
              </w:rPr>
              <w:t>Teacher role</w:t>
            </w:r>
          </w:p>
          <w:p w:rsidR="009A27C6" w:rsidRDefault="00B054E4" w:rsidP="00B054E4">
            <w:pPr>
              <w:pStyle w:val="Tablebulletslevel1"/>
            </w:pPr>
            <w:r>
              <w:t xml:space="preserve">Prepare </w:t>
            </w:r>
            <w:r w:rsidR="0070744C">
              <w:t>‘</w:t>
            </w:r>
            <w:r w:rsidR="009A27C6">
              <w:t>Measure your shoe size</w:t>
            </w:r>
            <w:r w:rsidR="0070744C">
              <w:t>’</w:t>
            </w:r>
            <w:r w:rsidR="009A27C6">
              <w:t xml:space="preserve"> from </w:t>
            </w:r>
            <w:r w:rsidR="009A27C6" w:rsidRPr="00F62716">
              <w:rPr>
                <w:i/>
              </w:rPr>
              <w:t>Assessment resource: Feet</w:t>
            </w:r>
            <w:r w:rsidR="009A27C6">
              <w:t xml:space="preserve"> </w:t>
            </w:r>
            <w:r>
              <w:t>by c</w:t>
            </w:r>
            <w:r w:rsidRPr="00614221">
              <w:t>ut</w:t>
            </w:r>
            <w:r>
              <w:t xml:space="preserve">ting along the marked line, laminating the page, then positioning or taping it to the floor </w:t>
            </w:r>
            <w:r w:rsidRPr="00614221">
              <w:t>so that the line is flush against a wall.</w:t>
            </w:r>
          </w:p>
          <w:p w:rsidR="009A27C6" w:rsidRDefault="00B054E4" w:rsidP="00B054E4">
            <w:pPr>
              <w:pStyle w:val="Tablebulletslevel1"/>
            </w:pPr>
            <w:r w:rsidRPr="00977D8C">
              <w:t xml:space="preserve">Assign </w:t>
            </w:r>
            <w:r>
              <w:t>children</w:t>
            </w:r>
            <w:r w:rsidRPr="00977D8C">
              <w:t xml:space="preserve"> to </w:t>
            </w:r>
            <w:r>
              <w:t xml:space="preserve">groups for collecting data. </w:t>
            </w:r>
          </w:p>
          <w:p w:rsidR="009A27C6" w:rsidRDefault="00B054E4" w:rsidP="00B054E4">
            <w:pPr>
              <w:pStyle w:val="Tablebulletslevel1"/>
            </w:pPr>
            <w:r>
              <w:t>Model how to hold the pen directly upright when drawing around the foot of other children.</w:t>
            </w:r>
          </w:p>
          <w:p w:rsidR="00B054E4" w:rsidRDefault="00B054E4" w:rsidP="00B054E4">
            <w:pPr>
              <w:pStyle w:val="Tablebulletslevel1"/>
            </w:pPr>
            <w:r>
              <w:t xml:space="preserve">Model how to measure shoe size using </w:t>
            </w:r>
            <w:r w:rsidR="0070744C">
              <w:t>‘</w:t>
            </w:r>
            <w:r>
              <w:t>Measure your shoe size</w:t>
            </w:r>
            <w:r w:rsidR="0070744C">
              <w:t>’</w:t>
            </w:r>
            <w:r w:rsidR="009A27C6">
              <w:t xml:space="preserve"> from </w:t>
            </w:r>
            <w:r w:rsidR="009A27C6" w:rsidRPr="00F62716">
              <w:rPr>
                <w:i/>
              </w:rPr>
              <w:t>Assessment resource: Feet</w:t>
            </w:r>
            <w:r>
              <w:t xml:space="preserve">. </w:t>
            </w:r>
          </w:p>
          <w:p w:rsidR="00B054E4" w:rsidRPr="005F3097" w:rsidRDefault="00B054E4" w:rsidP="00E72FE7">
            <w:pPr>
              <w:pStyle w:val="Normallead-in"/>
            </w:pPr>
            <w:r w:rsidRPr="005F3097">
              <w:t>Presentation:</w:t>
            </w:r>
          </w:p>
          <w:p w:rsidR="007A6EA1" w:rsidRDefault="00B054E4" w:rsidP="00B054E4">
            <w:pPr>
              <w:widowControl w:val="0"/>
              <w:numPr>
                <w:ilvl w:val="0"/>
                <w:numId w:val="4"/>
              </w:numPr>
            </w:pPr>
            <w:r>
              <w:t>Arrange the most convenient method of drawing around feet, e.g. children could attach blank paper to a clipboard for children sitting in a chair.</w:t>
            </w:r>
          </w:p>
          <w:p w:rsidR="000044FF" w:rsidRDefault="000044FF" w:rsidP="005F3097">
            <w:pPr>
              <w:pStyle w:val="Tablebulletslevel1"/>
            </w:pPr>
            <w:r>
              <w:t xml:space="preserve">Provide children with a list of uniform informal units they have used in class, </w:t>
            </w:r>
            <w:r w:rsidRPr="00F04DC1">
              <w:t>e.g. blocks</w:t>
            </w:r>
            <w:r>
              <w:t xml:space="preserve"> </w:t>
            </w:r>
            <w:r w:rsidR="0070744C">
              <w:t xml:space="preserve">(such as </w:t>
            </w:r>
            <w:proofErr w:type="spellStart"/>
            <w:r w:rsidR="0070744C">
              <w:t>U</w:t>
            </w:r>
            <w:r>
              <w:t>nif</w:t>
            </w:r>
            <w:r w:rsidR="0070744C">
              <w:t>i</w:t>
            </w:r>
            <w:r>
              <w:t>x</w:t>
            </w:r>
            <w:proofErr w:type="spellEnd"/>
            <w:r>
              <w:t xml:space="preserve"> cubes</w:t>
            </w:r>
            <w:r w:rsidR="0070744C">
              <w:t>)</w:t>
            </w:r>
            <w:r>
              <w:t>,</w:t>
            </w:r>
            <w:r w:rsidRPr="00F04DC1">
              <w:t xml:space="preserve"> hand spans, paperclips, pegs, counters, buttons, strides</w:t>
            </w:r>
            <w:r>
              <w:t>, coins, multi-base arithmetic blocks (MABs).</w:t>
            </w:r>
          </w:p>
          <w:p w:rsidR="000044FF" w:rsidRDefault="000044FF" w:rsidP="005F3097">
            <w:pPr>
              <w:pStyle w:val="Tablebulletslevel1"/>
            </w:pPr>
            <w:r>
              <w:t>Have children choose the most suitable uniform informal unit to use to measure the foot length.</w:t>
            </w:r>
          </w:p>
          <w:p w:rsidR="000044FF" w:rsidRDefault="000044FF" w:rsidP="005F3097">
            <w:pPr>
              <w:pStyle w:val="Tablebulletslevel1"/>
            </w:pPr>
            <w:r>
              <w:t>Give each child time to use their</w:t>
            </w:r>
            <w:r w:rsidRPr="00BD4EA4">
              <w:t xml:space="preserve"> </w:t>
            </w:r>
            <w:r>
              <w:t xml:space="preserve">selected </w:t>
            </w:r>
            <w:r w:rsidRPr="00BD4EA4">
              <w:t>unit</w:t>
            </w:r>
            <w:r>
              <w:t xml:space="preserve"> to measure the length of each foot outline, before passing the foot outline on to the next child.</w:t>
            </w:r>
          </w:p>
          <w:p w:rsidR="000044FF" w:rsidRDefault="000044FF" w:rsidP="005F3097">
            <w:pPr>
              <w:pStyle w:val="Tablebulletslevel1"/>
            </w:pPr>
            <w:r>
              <w:t>Have children compare and order the measurement data they have just collected from shortest to longest, and write this as a list.</w:t>
            </w:r>
          </w:p>
          <w:p w:rsidR="000044FF" w:rsidRDefault="000044FF" w:rsidP="005F3097">
            <w:pPr>
              <w:pStyle w:val="Tablebulletslevel1"/>
            </w:pPr>
            <w:r>
              <w:t xml:space="preserve">Prepare a line for sorting foot outlines, </w:t>
            </w:r>
            <w:r w:rsidRPr="009C1D3E">
              <w:t>e</w:t>
            </w:r>
            <w:r>
              <w:t>.</w:t>
            </w:r>
            <w:r w:rsidRPr="009C1D3E">
              <w:t>g. clothes line</w:t>
            </w:r>
            <w:r>
              <w:t xml:space="preserve"> with pegs</w:t>
            </w:r>
            <w:r w:rsidRPr="009C1D3E">
              <w:t xml:space="preserve">, line </w:t>
            </w:r>
            <w:r>
              <w:t xml:space="preserve">attached to the </w:t>
            </w:r>
            <w:r w:rsidRPr="009C1D3E">
              <w:t>blackboard</w:t>
            </w:r>
            <w:r>
              <w:t xml:space="preserve"> or the floor.</w:t>
            </w:r>
          </w:p>
          <w:p w:rsidR="000044FF" w:rsidRDefault="000044FF" w:rsidP="005F3097">
            <w:pPr>
              <w:pStyle w:val="Tablebulletslevel1"/>
            </w:pPr>
            <w:r>
              <w:t xml:space="preserve">Add headings of </w:t>
            </w:r>
            <w:r w:rsidR="007E3800">
              <w:t>‘</w:t>
            </w:r>
            <w:r>
              <w:t>Shortest</w:t>
            </w:r>
            <w:r w:rsidR="007E3800">
              <w:t xml:space="preserve">’ </w:t>
            </w:r>
            <w:r>
              <w:t xml:space="preserve">and </w:t>
            </w:r>
            <w:r w:rsidR="007E3800">
              <w:t>‘</w:t>
            </w:r>
            <w:r>
              <w:t>Longest</w:t>
            </w:r>
            <w:r w:rsidR="007E3800">
              <w:t>’.</w:t>
            </w:r>
          </w:p>
          <w:p w:rsidR="000044FF" w:rsidRPr="00453BE3" w:rsidRDefault="000044FF" w:rsidP="005F3097">
            <w:pPr>
              <w:pStyle w:val="Tablebulletslevel1"/>
            </w:pPr>
            <w:r>
              <w:t>While the class is working on another task, give each child time to order the set of foot outlines according to their list, and then to visually check their work.</w:t>
            </w:r>
          </w:p>
        </w:tc>
      </w:tr>
      <w:tr w:rsidR="00581229" w:rsidRPr="00581229" w:rsidTr="00126BC8">
        <w:trPr>
          <w:trHeight w:val="42"/>
        </w:trPr>
        <w:tc>
          <w:tcPr>
            <w:tcW w:w="5000" w:type="pct"/>
            <w:gridSpan w:val="2"/>
            <w:shd w:val="clear" w:color="auto" w:fill="CFE7E6"/>
          </w:tcPr>
          <w:p w:rsidR="00581229" w:rsidRPr="00581229" w:rsidRDefault="00581229" w:rsidP="004500FF">
            <w:pPr>
              <w:pStyle w:val="Tablesubhead"/>
              <w:tabs>
                <w:tab w:val="left" w:pos="1134"/>
              </w:tabs>
              <w:rPr>
                <w:rFonts w:cs="Arial"/>
              </w:rPr>
            </w:pPr>
            <w:r w:rsidRPr="00581229">
              <w:t>Section 2.</w:t>
            </w:r>
            <w:r w:rsidRPr="00581229">
              <w:tab/>
            </w:r>
            <w:r w:rsidR="00B054E4" w:rsidRPr="004E2282">
              <w:t>Displaying data</w:t>
            </w:r>
          </w:p>
        </w:tc>
      </w:tr>
      <w:tr w:rsidR="007A6EA1" w:rsidRPr="00581229" w:rsidTr="007A6EA1">
        <w:trPr>
          <w:trHeight w:val="363"/>
        </w:trPr>
        <w:tc>
          <w:tcPr>
            <w:tcW w:w="2500" w:type="pct"/>
            <w:tcBorders>
              <w:bottom w:val="single" w:sz="4" w:space="0" w:color="00928F"/>
            </w:tcBorders>
          </w:tcPr>
          <w:p w:rsidR="007A6EA1" w:rsidRPr="0052050E" w:rsidRDefault="00C90043" w:rsidP="007A6EA1">
            <w:pPr>
              <w:pStyle w:val="Tabletext"/>
              <w:rPr>
                <w:b/>
              </w:rPr>
            </w:pPr>
            <w:r>
              <w:rPr>
                <w:b/>
              </w:rPr>
              <w:t>Child</w:t>
            </w:r>
            <w:r w:rsidR="007A6EA1">
              <w:rPr>
                <w:b/>
              </w:rPr>
              <w:t xml:space="preserve"> role</w:t>
            </w:r>
          </w:p>
          <w:p w:rsidR="000044FF" w:rsidRDefault="000044FF" w:rsidP="000044FF">
            <w:pPr>
              <w:pStyle w:val="Tabletext"/>
              <w:widowControl w:val="0"/>
            </w:pPr>
            <w:r>
              <w:t xml:space="preserve">Complete </w:t>
            </w:r>
            <w:r w:rsidRPr="00F62716">
              <w:rPr>
                <w:i/>
              </w:rPr>
              <w:t>Graph 1: Class shoe sizes</w:t>
            </w:r>
            <w:r w:rsidR="005F3097">
              <w:t xml:space="preserve"> from </w:t>
            </w:r>
            <w:r w:rsidR="005F3097" w:rsidRPr="00F62716">
              <w:rPr>
                <w:i/>
              </w:rPr>
              <w:t>Assessment resource</w:t>
            </w:r>
            <w:r w:rsidR="00E369AD" w:rsidRPr="00F62716">
              <w:rPr>
                <w:i/>
              </w:rPr>
              <w:t>: Feet</w:t>
            </w:r>
            <w:r>
              <w:t xml:space="preserve"> using the number written on each foot outline. </w:t>
            </w:r>
          </w:p>
          <w:p w:rsidR="000044FF" w:rsidRDefault="000044FF" w:rsidP="000044FF">
            <w:pPr>
              <w:pStyle w:val="Tabletext"/>
              <w:widowControl w:val="0"/>
            </w:pPr>
            <w:r>
              <w:t xml:space="preserve">Complete </w:t>
            </w:r>
            <w:r w:rsidRPr="00F62716">
              <w:rPr>
                <w:i/>
              </w:rPr>
              <w:t>Graph 2: Class foot lengths</w:t>
            </w:r>
            <w:r w:rsidR="005F3097">
              <w:t xml:space="preserve"> from </w:t>
            </w:r>
            <w:r w:rsidR="005F3097" w:rsidRPr="00F62716">
              <w:rPr>
                <w:i/>
              </w:rPr>
              <w:t>Assessment resource</w:t>
            </w:r>
            <w:r w:rsidR="00E369AD" w:rsidRPr="00F62716">
              <w:rPr>
                <w:i/>
              </w:rPr>
              <w:t>:</w:t>
            </w:r>
            <w:r w:rsidR="00E369AD">
              <w:rPr>
                <w:i/>
              </w:rPr>
              <w:t xml:space="preserve"> </w:t>
            </w:r>
            <w:r w:rsidR="00E369AD" w:rsidRPr="00F62716">
              <w:rPr>
                <w:i/>
              </w:rPr>
              <w:t>Feet</w:t>
            </w:r>
            <w:r>
              <w:t>:</w:t>
            </w:r>
          </w:p>
          <w:p w:rsidR="000044FF" w:rsidRDefault="000E535E" w:rsidP="000044FF">
            <w:pPr>
              <w:pStyle w:val="Tablebulletslevel1"/>
            </w:pPr>
            <w:r>
              <w:t>W</w:t>
            </w:r>
            <w:r w:rsidR="000044FF">
              <w:t>rite the uniform informal unit you used beneath your graph</w:t>
            </w:r>
            <w:r>
              <w:t>.</w:t>
            </w:r>
          </w:p>
          <w:p w:rsidR="000044FF" w:rsidRDefault="000E535E" w:rsidP="000044FF">
            <w:pPr>
              <w:pStyle w:val="Tablebulletslevel1"/>
            </w:pPr>
            <w:r>
              <w:t>S</w:t>
            </w:r>
            <w:r w:rsidR="000044FF">
              <w:t>elect two colours, e.g. green for boys, purple for girls</w:t>
            </w:r>
            <w:r>
              <w:t>.</w:t>
            </w:r>
          </w:p>
          <w:p w:rsidR="007A6EA1" w:rsidRPr="00453BE3" w:rsidRDefault="000E535E" w:rsidP="000044FF">
            <w:pPr>
              <w:pStyle w:val="Tablebulletslevel1"/>
            </w:pPr>
            <w:r>
              <w:t>M</w:t>
            </w:r>
            <w:r w:rsidR="000044FF">
              <w:t>ark a cross (</w:t>
            </w:r>
            <w:r w:rsidR="000044FF" w:rsidRPr="00DF5D03">
              <w:rPr>
                <w:rFonts w:ascii="Wingdings" w:hAnsi="Wingdings"/>
              </w:rPr>
              <w:t></w:t>
            </w:r>
            <w:r w:rsidR="000044FF">
              <w:t>) or a foot stamp in the appropriate colour to represent each child’s foot outline on the graph.</w:t>
            </w:r>
          </w:p>
        </w:tc>
        <w:tc>
          <w:tcPr>
            <w:tcW w:w="2500" w:type="pct"/>
            <w:tcBorders>
              <w:bottom w:val="single" w:sz="4" w:space="0" w:color="00928F"/>
            </w:tcBorders>
          </w:tcPr>
          <w:p w:rsidR="00C500CF" w:rsidRPr="0052050E" w:rsidRDefault="00C500CF" w:rsidP="00C500CF">
            <w:pPr>
              <w:pStyle w:val="Tabletext"/>
              <w:rPr>
                <w:b/>
              </w:rPr>
            </w:pPr>
            <w:r>
              <w:rPr>
                <w:b/>
              </w:rPr>
              <w:t>Teacher role</w:t>
            </w:r>
          </w:p>
          <w:p w:rsidR="000044FF" w:rsidRDefault="000044FF" w:rsidP="000044FF">
            <w:pPr>
              <w:pStyle w:val="Tabletext"/>
              <w:widowControl w:val="0"/>
            </w:pPr>
            <w:r>
              <w:t xml:space="preserve">Provide two graph outlines for each child (see </w:t>
            </w:r>
            <w:r w:rsidR="005F3097" w:rsidRPr="00F62716">
              <w:rPr>
                <w:i/>
              </w:rPr>
              <w:t>Assessment resource</w:t>
            </w:r>
            <w:r w:rsidR="00E369AD" w:rsidRPr="00F62716">
              <w:rPr>
                <w:i/>
              </w:rPr>
              <w:t>: Feet</w:t>
            </w:r>
            <w:r>
              <w:t xml:space="preserve">) or have children make their own graphs in their journals. </w:t>
            </w:r>
          </w:p>
          <w:p w:rsidR="007A6EA1" w:rsidRPr="00453BE3" w:rsidRDefault="000044FF" w:rsidP="000044FF">
            <w:pPr>
              <w:widowControl w:val="0"/>
              <w:numPr>
                <w:ilvl w:val="0"/>
                <w:numId w:val="4"/>
              </w:numPr>
            </w:pPr>
            <w:r>
              <w:t>Ask children to select the best scale for each graph based on the data collected.</w:t>
            </w:r>
          </w:p>
        </w:tc>
      </w:tr>
      <w:tr w:rsidR="00581229" w:rsidRPr="00581229" w:rsidTr="00126BC8">
        <w:trPr>
          <w:trHeight w:val="42"/>
        </w:trPr>
        <w:tc>
          <w:tcPr>
            <w:tcW w:w="5000" w:type="pct"/>
            <w:gridSpan w:val="2"/>
            <w:shd w:val="clear" w:color="auto" w:fill="CFE7E6"/>
          </w:tcPr>
          <w:p w:rsidR="00581229" w:rsidRPr="00581229" w:rsidRDefault="00581229" w:rsidP="004500FF">
            <w:pPr>
              <w:pStyle w:val="Tablesubhead"/>
              <w:tabs>
                <w:tab w:val="left" w:pos="1134"/>
              </w:tabs>
            </w:pPr>
            <w:r w:rsidRPr="00581229">
              <w:t>Section 3.</w:t>
            </w:r>
            <w:r w:rsidRPr="00581229">
              <w:tab/>
            </w:r>
            <w:r w:rsidR="00B054E4" w:rsidRPr="004E2282">
              <w:t>Analysing data</w:t>
            </w:r>
          </w:p>
        </w:tc>
      </w:tr>
      <w:tr w:rsidR="007A6EA1" w:rsidRPr="00581229" w:rsidTr="007A6EA1">
        <w:trPr>
          <w:trHeight w:val="363"/>
        </w:trPr>
        <w:tc>
          <w:tcPr>
            <w:tcW w:w="2500" w:type="pct"/>
          </w:tcPr>
          <w:p w:rsidR="00C500CF" w:rsidRPr="0052050E" w:rsidRDefault="00C90043" w:rsidP="00C500CF">
            <w:pPr>
              <w:pStyle w:val="Tabletext"/>
              <w:rPr>
                <w:b/>
              </w:rPr>
            </w:pPr>
            <w:r>
              <w:rPr>
                <w:b/>
              </w:rPr>
              <w:t>Child</w:t>
            </w:r>
            <w:r w:rsidR="00C500CF">
              <w:rPr>
                <w:b/>
              </w:rPr>
              <w:t xml:space="preserve"> role</w:t>
            </w:r>
          </w:p>
          <w:p w:rsidR="007A6EA1" w:rsidRPr="00581229" w:rsidRDefault="000044FF" w:rsidP="000044FF">
            <w:pPr>
              <w:pStyle w:val="Tablebulletslevel1"/>
              <w:numPr>
                <w:ilvl w:val="0"/>
                <w:numId w:val="0"/>
              </w:numPr>
            </w:pPr>
            <w:r>
              <w:t>Answer questions your teacher asks you about the data you have collected.</w:t>
            </w:r>
          </w:p>
        </w:tc>
        <w:tc>
          <w:tcPr>
            <w:tcW w:w="2500" w:type="pct"/>
          </w:tcPr>
          <w:p w:rsidR="00C500CF" w:rsidRPr="0052050E" w:rsidRDefault="00C500CF" w:rsidP="00C500CF">
            <w:pPr>
              <w:pStyle w:val="Tabletext"/>
              <w:rPr>
                <w:b/>
              </w:rPr>
            </w:pPr>
            <w:r>
              <w:rPr>
                <w:b/>
              </w:rPr>
              <w:t>Teacher role</w:t>
            </w:r>
          </w:p>
          <w:p w:rsidR="000044FF" w:rsidRDefault="000044FF" w:rsidP="000044FF">
            <w:pPr>
              <w:pStyle w:val="Tabletext"/>
            </w:pPr>
            <w:r>
              <w:t>Ask children questions about the data collected to gauge their understanding. Make</w:t>
            </w:r>
            <w:r w:rsidR="007E3800">
              <w:t xml:space="preserve"> </w:t>
            </w:r>
            <w:r w:rsidR="00F62716">
              <w:t>observations</w:t>
            </w:r>
            <w:r>
              <w:t xml:space="preserve">. Children can write their answers or give them verbally. </w:t>
            </w:r>
          </w:p>
          <w:p w:rsidR="000044FF" w:rsidRDefault="000044FF" w:rsidP="00E72FE7">
            <w:pPr>
              <w:pStyle w:val="Normallead-in"/>
            </w:pPr>
            <w:r>
              <w:t>Examples of questions you could ask include:</w:t>
            </w:r>
            <w:r w:rsidDel="00487962">
              <w:t xml:space="preserve"> </w:t>
            </w:r>
          </w:p>
          <w:p w:rsidR="000044FF" w:rsidRDefault="000044FF" w:rsidP="000044FF">
            <w:pPr>
              <w:pStyle w:val="Tablebullets"/>
              <w:widowControl w:val="0"/>
              <w:numPr>
                <w:ilvl w:val="0"/>
                <w:numId w:val="4"/>
              </w:numPr>
              <w:spacing w:line="240" w:lineRule="auto"/>
            </w:pPr>
            <w:r>
              <w:t>What uniform informal unit</w:t>
            </w:r>
            <w:r w:rsidDel="00487962">
              <w:t xml:space="preserve"> </w:t>
            </w:r>
            <w:r>
              <w:t>did you choose?</w:t>
            </w:r>
          </w:p>
          <w:p w:rsidR="000044FF" w:rsidRDefault="000044FF" w:rsidP="000044FF">
            <w:pPr>
              <w:pStyle w:val="Tablebullets"/>
              <w:widowControl w:val="0"/>
              <w:numPr>
                <w:ilvl w:val="0"/>
                <w:numId w:val="4"/>
              </w:numPr>
              <w:spacing w:line="240" w:lineRule="auto"/>
            </w:pPr>
            <w:r>
              <w:t>Why did you choose it?</w:t>
            </w:r>
          </w:p>
          <w:p w:rsidR="000044FF" w:rsidRDefault="000044FF" w:rsidP="000044FF">
            <w:pPr>
              <w:pStyle w:val="Tablebullets"/>
              <w:widowControl w:val="0"/>
              <w:numPr>
                <w:ilvl w:val="0"/>
                <w:numId w:val="4"/>
              </w:numPr>
              <w:spacing w:line="240" w:lineRule="auto"/>
            </w:pPr>
            <w:r>
              <w:t xml:space="preserve">Did you have to change the order of your foot outlines when you checked your work? </w:t>
            </w:r>
          </w:p>
          <w:p w:rsidR="000044FF" w:rsidRDefault="000044FF" w:rsidP="000044FF">
            <w:pPr>
              <w:pStyle w:val="Tablebullets"/>
              <w:widowControl w:val="0"/>
              <w:numPr>
                <w:ilvl w:val="0"/>
                <w:numId w:val="4"/>
              </w:numPr>
              <w:spacing w:line="240" w:lineRule="auto"/>
            </w:pPr>
            <w:r>
              <w:t>Explain what you would do to make your answers more accurate.</w:t>
            </w:r>
          </w:p>
          <w:p w:rsidR="000044FF" w:rsidRDefault="000044FF" w:rsidP="000044FF">
            <w:pPr>
              <w:pStyle w:val="Tablebullets"/>
              <w:widowControl w:val="0"/>
              <w:numPr>
                <w:ilvl w:val="0"/>
                <w:numId w:val="4"/>
              </w:numPr>
              <w:spacing w:line="240" w:lineRule="auto"/>
            </w:pPr>
            <w:r>
              <w:t>Which shoe size has the most crosses for the class?</w:t>
            </w:r>
          </w:p>
          <w:p w:rsidR="000044FF" w:rsidRDefault="000044FF" w:rsidP="000044FF">
            <w:pPr>
              <w:pStyle w:val="Tablebullets"/>
              <w:widowControl w:val="0"/>
              <w:numPr>
                <w:ilvl w:val="0"/>
                <w:numId w:val="4"/>
              </w:numPr>
              <w:spacing w:line="240" w:lineRule="auto"/>
            </w:pPr>
            <w:r>
              <w:t>What is the longest shoe size for the boys? For the girls?</w:t>
            </w:r>
          </w:p>
          <w:p w:rsidR="000044FF" w:rsidRDefault="000044FF" w:rsidP="000044FF">
            <w:pPr>
              <w:pStyle w:val="Tablebullets"/>
              <w:widowControl w:val="0"/>
              <w:numPr>
                <w:ilvl w:val="0"/>
                <w:numId w:val="4"/>
              </w:numPr>
              <w:spacing w:line="240" w:lineRule="auto"/>
            </w:pPr>
            <w:r>
              <w:t>Which shoe size has the most crosses for the boys? For the girls?</w:t>
            </w:r>
          </w:p>
          <w:p w:rsidR="000044FF" w:rsidRDefault="000044FF" w:rsidP="000044FF">
            <w:pPr>
              <w:pStyle w:val="Tablebullets"/>
              <w:widowControl w:val="0"/>
              <w:numPr>
                <w:ilvl w:val="0"/>
                <w:numId w:val="4"/>
              </w:numPr>
              <w:spacing w:line="240" w:lineRule="auto"/>
            </w:pPr>
            <w:r>
              <w:t xml:space="preserve">What is something the data tells us about our Year 2 shoe sizes? </w:t>
            </w:r>
          </w:p>
          <w:p w:rsidR="000044FF" w:rsidRDefault="000044FF" w:rsidP="000044FF">
            <w:pPr>
              <w:pStyle w:val="Tablebullets"/>
              <w:widowControl w:val="0"/>
              <w:numPr>
                <w:ilvl w:val="0"/>
                <w:numId w:val="4"/>
              </w:numPr>
              <w:spacing w:line="240" w:lineRule="auto"/>
            </w:pPr>
            <w:r>
              <w:t>How can we be sure that is the case?</w:t>
            </w:r>
          </w:p>
          <w:p w:rsidR="000044FF" w:rsidRDefault="000044FF" w:rsidP="000044FF">
            <w:pPr>
              <w:pStyle w:val="Tablebullets"/>
              <w:widowControl w:val="0"/>
              <w:numPr>
                <w:ilvl w:val="0"/>
                <w:numId w:val="4"/>
              </w:numPr>
              <w:spacing w:line="240" w:lineRule="auto"/>
            </w:pPr>
            <w:r w:rsidRPr="009C2571">
              <w:t>If we measured the feet at a different time of the year</w:t>
            </w:r>
            <w:r>
              <w:t>,</w:t>
            </w:r>
            <w:r w:rsidRPr="009C2571">
              <w:t xml:space="preserve"> what could we expect to see?</w:t>
            </w:r>
          </w:p>
          <w:p w:rsidR="000044FF" w:rsidRDefault="000044FF" w:rsidP="000044FF">
            <w:pPr>
              <w:pStyle w:val="Tablebullets"/>
              <w:widowControl w:val="0"/>
              <w:numPr>
                <w:ilvl w:val="0"/>
                <w:numId w:val="4"/>
              </w:numPr>
              <w:spacing w:line="240" w:lineRule="auto"/>
            </w:pPr>
            <w:r w:rsidRPr="009C2571">
              <w:t xml:space="preserve">Will the </w:t>
            </w:r>
            <w:r>
              <w:t>measurements</w:t>
            </w:r>
            <w:r w:rsidRPr="009C2571">
              <w:t xml:space="preserve"> be the same </w:t>
            </w:r>
            <w:r>
              <w:t>for next year’s Year 2 class? Why do you think that?</w:t>
            </w:r>
          </w:p>
          <w:p w:rsidR="000044FF" w:rsidRDefault="000044FF" w:rsidP="000044FF">
            <w:pPr>
              <w:pStyle w:val="Tablebullets"/>
              <w:widowControl w:val="0"/>
              <w:numPr>
                <w:ilvl w:val="0"/>
                <w:numId w:val="4"/>
              </w:numPr>
              <w:spacing w:line="240" w:lineRule="auto"/>
            </w:pPr>
            <w:r>
              <w:t>Would the measurements be the same if we changed the uniform informal unit? Why do you think that?</w:t>
            </w:r>
          </w:p>
          <w:p w:rsidR="000044FF" w:rsidRDefault="000044FF" w:rsidP="000044FF">
            <w:pPr>
              <w:pStyle w:val="Tablebullets"/>
              <w:widowControl w:val="0"/>
              <w:numPr>
                <w:ilvl w:val="0"/>
                <w:numId w:val="4"/>
              </w:numPr>
              <w:spacing w:line="240" w:lineRule="auto"/>
            </w:pPr>
            <w:r>
              <w:t>What is something the data doesn’t tell us about our Year 2 shoe sizes?</w:t>
            </w:r>
          </w:p>
          <w:p w:rsidR="007A6EA1" w:rsidRPr="00C500CF" w:rsidRDefault="000044FF" w:rsidP="000044FF">
            <w:pPr>
              <w:widowControl w:val="0"/>
              <w:numPr>
                <w:ilvl w:val="0"/>
                <w:numId w:val="4"/>
              </w:numPr>
            </w:pPr>
            <w:r>
              <w:t>Make up your own question about your data. Tell me your answer.</w:t>
            </w:r>
          </w:p>
        </w:tc>
      </w:tr>
    </w:tbl>
    <w:p w:rsidR="00A77A42" w:rsidRPr="008E3B7D" w:rsidRDefault="00A77A42" w:rsidP="00A77A42">
      <w:pPr>
        <w:pStyle w:val="Heading2"/>
      </w:pPr>
      <w:r w:rsidRPr="008E3B7D">
        <w:t>Make judgments</w:t>
      </w:r>
    </w:p>
    <w:p w:rsidR="00A77A42" w:rsidRPr="00C31323" w:rsidRDefault="00A77A42" w:rsidP="00A77A42">
      <w:pPr>
        <w:rPr>
          <w:rStyle w:val="InstructionsChar"/>
        </w:rPr>
      </w:pPr>
      <w:r w:rsidRPr="008E3B7D">
        <w:t xml:space="preserve">When making judgments about the evidence in </w:t>
      </w:r>
      <w:r w:rsidR="00C90043">
        <w:t>children’s</w:t>
      </w:r>
      <w:r w:rsidRPr="008E3B7D">
        <w:t xml:space="preserve"> responses to this assessment, teachers are advised to use the task-specific standards provided. The development of these task-specific standards has been informed by the Queensland Yea</w:t>
      </w:r>
      <w:r w:rsidR="0092155C">
        <w:t>r 2</w:t>
      </w:r>
      <w:r w:rsidRPr="00C31323">
        <w:t xml:space="preserve"> st</w:t>
      </w:r>
      <w:r w:rsidRPr="008E3B7D">
        <w:t>andard elaborations. See</w:t>
      </w:r>
      <w:r w:rsidR="007E3800">
        <w:t xml:space="preserve"> </w:t>
      </w:r>
      <w:hyperlink r:id="rId55" w:history="1">
        <w:r w:rsidR="0092155C" w:rsidRPr="0092155C">
          <w:rPr>
            <w:rStyle w:val="Hyperlink"/>
          </w:rPr>
          <w:t>www.qsa.qld.edu.au/downloads/p_10/ac_math_yr2_se.doc</w:t>
        </w:r>
      </w:hyperlink>
      <w:r w:rsidR="007E3800" w:rsidRPr="00E72FE7">
        <w:t>.</w:t>
      </w:r>
    </w:p>
    <w:p w:rsidR="00A77A42" w:rsidRPr="00C31323" w:rsidRDefault="00A77A42" w:rsidP="00A77A42">
      <w:pPr>
        <w:pStyle w:val="Heading3"/>
      </w:pPr>
      <w:r w:rsidRPr="008E3B7D">
        <w:t xml:space="preserve">The Queensland standard elaborations </w:t>
      </w:r>
      <w:r w:rsidR="0092155C">
        <w:t>for Mathematics</w:t>
      </w:r>
    </w:p>
    <w:p w:rsidR="00A77A42" w:rsidRPr="008E3B7D" w:rsidRDefault="00A77A42" w:rsidP="00A77A42">
      <w:r w:rsidRPr="008E3B7D">
        <w:t>The Queensland Year</w:t>
      </w:r>
      <w:r w:rsidR="0092155C">
        <w:t xml:space="preserve"> 2</w:t>
      </w:r>
      <w:r w:rsidR="00C31323">
        <w:t xml:space="preserve"> s</w:t>
      </w:r>
      <w:r w:rsidRPr="008E3B7D">
        <w:t>tandard elaborations</w:t>
      </w:r>
      <w:r w:rsidR="0092155C">
        <w:t xml:space="preserve"> for Mathematics</w:t>
      </w:r>
      <w:r w:rsidRPr="008E3B7D">
        <w:t xml:space="preserve"> is a resource to assist teachers to make consistent and comparable evidence-based A to E (or equivalent) judgments. It should be used in conjunction with the Australian Curriculum achievement standard and content descriptions for the relevant year level.  </w:t>
      </w:r>
    </w:p>
    <w:p w:rsidR="00A77A42" w:rsidRPr="008E3B7D" w:rsidRDefault="00A77A42" w:rsidP="00A77A42">
      <w:r w:rsidRPr="008E3B7D">
        <w:t>The</w:t>
      </w:r>
      <w:r>
        <w:t xml:space="preserve"> </w:t>
      </w:r>
      <w:r w:rsidR="0092155C">
        <w:t>Queensland Mathematics</w:t>
      </w:r>
      <w:r w:rsidRPr="00C31323">
        <w:t xml:space="preserve"> st</w:t>
      </w:r>
      <w:r w:rsidRPr="008E3B7D">
        <w:t xml:space="preserve">andard elaborations provide a basis for judging </w:t>
      </w:r>
      <w:r w:rsidRPr="008E3B7D">
        <w:rPr>
          <w:i/>
        </w:rPr>
        <w:t>how well</w:t>
      </w:r>
      <w:r w:rsidRPr="008E3B7D">
        <w:t xml:space="preserve"> </w:t>
      </w:r>
      <w:r w:rsidR="00C90043">
        <w:t>children</w:t>
      </w:r>
      <w:r w:rsidRPr="008E3B7D">
        <w:t xml:space="preserve"> have demonstrated what they know, understand and can do using the Australian Curriculum achievement standard.</w:t>
      </w:r>
    </w:p>
    <w:p w:rsidR="00A77A42" w:rsidRPr="008E3B7D" w:rsidRDefault="00A77A42" w:rsidP="00A77A42">
      <w:r w:rsidRPr="008E3B7D">
        <w:t xml:space="preserve">The Australian Curriculum achievement standards dimensions of Understanding and Skills are used to organise the Queensland </w:t>
      </w:r>
      <w:r w:rsidR="0092155C">
        <w:t>Mathematics</w:t>
      </w:r>
      <w:r w:rsidR="0092155C" w:rsidRPr="008E3B7D">
        <w:t xml:space="preserve"> </w:t>
      </w:r>
      <w:r w:rsidRPr="008E3B7D">
        <w:t xml:space="preserve">standard elaborations. Understanding and skills in </w:t>
      </w:r>
      <w:r w:rsidR="0092155C">
        <w:t>Mathematics</w:t>
      </w:r>
      <w:r w:rsidRPr="008E3B7D">
        <w:t xml:space="preserve"> are organised as </w:t>
      </w:r>
      <w:r w:rsidR="0092155C">
        <w:t xml:space="preserve">Understanding </w:t>
      </w:r>
      <w:r w:rsidR="005B5FDB">
        <w:t xml:space="preserve">and </w:t>
      </w:r>
      <w:r w:rsidR="0092155C">
        <w:t>Fluency</w:t>
      </w:r>
      <w:r w:rsidR="007E3800">
        <w:t>,</w:t>
      </w:r>
      <w:r w:rsidR="0092155C">
        <w:t xml:space="preserve"> and Problem Solving </w:t>
      </w:r>
      <w:r w:rsidR="005B5FDB">
        <w:t xml:space="preserve">and </w:t>
      </w:r>
      <w:r w:rsidR="0092155C">
        <w:t>Reasoning.</w:t>
      </w:r>
    </w:p>
    <w:p w:rsidR="00A77A42" w:rsidRPr="008E3B7D" w:rsidRDefault="00A77A42" w:rsidP="00A77A42">
      <w:r w:rsidRPr="008E3B7D">
        <w:t xml:space="preserve">The valued features of </w:t>
      </w:r>
      <w:r w:rsidR="0092155C">
        <w:t>Mathematics</w:t>
      </w:r>
      <w:r w:rsidRPr="008E3B7D">
        <w:t xml:space="preserve"> drawn from the achievement standard a</w:t>
      </w:r>
      <w:r w:rsidR="00DB74F6">
        <w:t xml:space="preserve">nd the content descriptions for Understanding </w:t>
      </w:r>
      <w:r w:rsidR="005B5FDB">
        <w:t xml:space="preserve">and </w:t>
      </w:r>
      <w:r w:rsidR="00DB74F6">
        <w:t>Fluency</w:t>
      </w:r>
      <w:r w:rsidR="007E3800">
        <w:t>,</w:t>
      </w:r>
      <w:r w:rsidR="00DB74F6">
        <w:t xml:space="preserve"> and Problem solving </w:t>
      </w:r>
      <w:r w:rsidR="005B5FDB">
        <w:t xml:space="preserve">and </w:t>
      </w:r>
      <w:r w:rsidR="00DB74F6">
        <w:t>Reasoning</w:t>
      </w:r>
      <w:r w:rsidRPr="008E3B7D">
        <w:t xml:space="preserve"> are organised as: </w:t>
      </w:r>
    </w:p>
    <w:p w:rsidR="00A77A42" w:rsidRPr="00C31323" w:rsidRDefault="00C46E47" w:rsidP="00C31323">
      <w:pPr>
        <w:pStyle w:val="Bulletslevel1"/>
      </w:pPr>
      <w:r>
        <w:t>Using units of measurement</w:t>
      </w:r>
    </w:p>
    <w:p w:rsidR="00A77A42" w:rsidRPr="00C31323" w:rsidRDefault="00C46E47" w:rsidP="00C31323">
      <w:pPr>
        <w:pStyle w:val="Bulletslevel1"/>
      </w:pPr>
      <w:r>
        <w:t>Data representation and interpretation</w:t>
      </w:r>
      <w:r w:rsidR="007E3800">
        <w:t>.</w:t>
      </w:r>
    </w:p>
    <w:p w:rsidR="00A77A42" w:rsidRPr="008E3B7D" w:rsidRDefault="00A77A42" w:rsidP="00A77A42">
      <w:pPr>
        <w:pStyle w:val="Heading4"/>
      </w:pPr>
      <w:r w:rsidRPr="008E3B7D">
        <w:t>Task-specific standards</w:t>
      </w:r>
    </w:p>
    <w:p w:rsidR="00A77A42" w:rsidRPr="008E3B7D" w:rsidRDefault="00A77A42" w:rsidP="00A77A42">
      <w:r w:rsidRPr="008E3B7D">
        <w:t>Task-specific standards give teachers:</w:t>
      </w:r>
    </w:p>
    <w:p w:rsidR="00A77A42" w:rsidRPr="008E3B7D" w:rsidRDefault="00A77A42" w:rsidP="00A77A42">
      <w:pPr>
        <w:pStyle w:val="Bulletslevel1"/>
      </w:pPr>
      <w:r w:rsidRPr="008E3B7D">
        <w:t>a tool for directly matching the evidence of learning in the response to the standards</w:t>
      </w:r>
    </w:p>
    <w:p w:rsidR="00A77A42" w:rsidRPr="008E3B7D" w:rsidRDefault="00A77A42" w:rsidP="00A77A42">
      <w:pPr>
        <w:pStyle w:val="Bulletslevel1"/>
      </w:pPr>
      <w:r w:rsidRPr="008E3B7D">
        <w:t xml:space="preserve">a focal point for discussing </w:t>
      </w:r>
      <w:r w:rsidR="00C90043">
        <w:t>children’s</w:t>
      </w:r>
      <w:r w:rsidRPr="008E3B7D">
        <w:t xml:space="preserve"> responses</w:t>
      </w:r>
    </w:p>
    <w:p w:rsidR="00A77A42" w:rsidRPr="008E3B7D" w:rsidRDefault="00A77A42" w:rsidP="00A77A42">
      <w:pPr>
        <w:pStyle w:val="Bulletslevel1"/>
      </w:pPr>
      <w:r w:rsidRPr="008E3B7D">
        <w:t xml:space="preserve">a tool to help provide feedback to </w:t>
      </w:r>
      <w:r w:rsidR="00C90043">
        <w:t>children</w:t>
      </w:r>
      <w:r w:rsidRPr="008E3B7D">
        <w:t>.</w:t>
      </w:r>
    </w:p>
    <w:p w:rsidR="00A77A42" w:rsidRPr="00A77A42" w:rsidRDefault="00A77A42" w:rsidP="00A77A42">
      <w:r w:rsidRPr="00A77A42">
        <w:t>Task-specific standards are not a checklist; rather they are a guide that:</w:t>
      </w:r>
    </w:p>
    <w:p w:rsidR="00A77A42" w:rsidRPr="008E3B7D" w:rsidRDefault="00A77A42" w:rsidP="00A77A42">
      <w:pPr>
        <w:pStyle w:val="Bulletslevel1"/>
      </w:pPr>
      <w:r w:rsidRPr="008E3B7D">
        <w:t>highlights the valued features that are being targeted in the assessment and the qualities that will inform the overall judgment</w:t>
      </w:r>
    </w:p>
    <w:p w:rsidR="00A77A42" w:rsidRPr="008E3B7D" w:rsidRDefault="00A77A42" w:rsidP="00A77A42">
      <w:pPr>
        <w:pStyle w:val="Bulletslevel1"/>
      </w:pPr>
      <w:r w:rsidRPr="008E3B7D">
        <w:t xml:space="preserve">specifies particular </w:t>
      </w:r>
      <w:r w:rsidRPr="008E3B7D">
        <w:rPr>
          <w:i/>
        </w:rPr>
        <w:t>targeted aspects</w:t>
      </w:r>
      <w:r w:rsidRPr="008E3B7D">
        <w:t xml:space="preserve"> of the curriculum content and achievement standard</w:t>
      </w:r>
    </w:p>
    <w:p w:rsidR="00A77A42" w:rsidRPr="008E3B7D" w:rsidRDefault="00A77A42" w:rsidP="00A77A42">
      <w:pPr>
        <w:pStyle w:val="Bulletslevel1"/>
      </w:pPr>
      <w:r w:rsidRPr="008E3B7D">
        <w:t>aligns the valued feature, task-specific descriptor and assessment</w:t>
      </w:r>
    </w:p>
    <w:p w:rsidR="00A77A42" w:rsidRPr="008E3B7D" w:rsidRDefault="00A77A42" w:rsidP="00A77A42">
      <w:pPr>
        <w:pStyle w:val="Bulletslevel1"/>
      </w:pPr>
      <w:r w:rsidRPr="008E3B7D">
        <w:t xml:space="preserve">allows teachers to make consistent and comparable on-balance judgments about </w:t>
      </w:r>
      <w:r w:rsidR="00C90043">
        <w:t>a child’s</w:t>
      </w:r>
      <w:r w:rsidRPr="008E3B7D">
        <w:t xml:space="preserve"> work by matching the qualities of </w:t>
      </w:r>
      <w:r w:rsidR="00C90043">
        <w:t>children’s</w:t>
      </w:r>
      <w:r w:rsidRPr="008E3B7D">
        <w:t xml:space="preserve"> responses with the descriptors</w:t>
      </w:r>
    </w:p>
    <w:p w:rsidR="00A77A42" w:rsidRPr="008E3B7D" w:rsidRDefault="00A77A42" w:rsidP="00A77A42">
      <w:pPr>
        <w:pStyle w:val="Bulletslevel1"/>
      </w:pPr>
      <w:r w:rsidRPr="008E3B7D">
        <w:t xml:space="preserve">clarifies the curriculum expectations for learning at each of the five grades (A–E or the early years equivalent) </w:t>
      </w:r>
    </w:p>
    <w:p w:rsidR="00A77A42" w:rsidRPr="008E3B7D" w:rsidRDefault="00A77A42" w:rsidP="00A77A42">
      <w:pPr>
        <w:pStyle w:val="Bulletslevel1"/>
      </w:pPr>
      <w:r w:rsidRPr="008E3B7D">
        <w:t xml:space="preserve">shows the connections between what </w:t>
      </w:r>
      <w:r w:rsidR="00C90043">
        <w:t>children</w:t>
      </w:r>
      <w:r w:rsidRPr="008E3B7D">
        <w:t xml:space="preserve"> are expected to know and do, and how their responses will be judged and the qualities that will inform the overall judgment </w:t>
      </w:r>
    </w:p>
    <w:p w:rsidR="00A77A42" w:rsidRPr="008E3B7D" w:rsidRDefault="00A77A42" w:rsidP="00A77A42">
      <w:pPr>
        <w:pStyle w:val="Bulletslevel1"/>
      </w:pPr>
      <w:r w:rsidRPr="008E3B7D">
        <w:t xml:space="preserve">supports evidence-based discussions to help </w:t>
      </w:r>
      <w:r w:rsidR="00C90043">
        <w:t>children</w:t>
      </w:r>
      <w:r w:rsidRPr="008E3B7D">
        <w:t xml:space="preserve"> gain a better understanding of how they can critique their own responses and achievements, and identify the qualities needed to improve </w:t>
      </w:r>
    </w:p>
    <w:p w:rsidR="00A77A42" w:rsidRPr="008E3B7D" w:rsidRDefault="00A77A42" w:rsidP="00A77A42">
      <w:pPr>
        <w:pStyle w:val="Bulletslevel1"/>
      </w:pPr>
      <w:r w:rsidRPr="008E3B7D">
        <w:t xml:space="preserve">encourages and provides the basis for conversations among teachers, </w:t>
      </w:r>
      <w:r w:rsidR="00C90043">
        <w:t>children</w:t>
      </w:r>
      <w:r w:rsidRPr="008E3B7D">
        <w:t xml:space="preserve"> and parents/carers about the quality of </w:t>
      </w:r>
      <w:r w:rsidR="00C90043">
        <w:t>children’s</w:t>
      </w:r>
      <w:r w:rsidRPr="008E3B7D">
        <w:t xml:space="preserve"> work and curriculum expectations and related standards.</w:t>
      </w:r>
    </w:p>
    <w:p w:rsidR="00A77A42" w:rsidRPr="008E3B7D" w:rsidRDefault="00A77A42" w:rsidP="00A77A42">
      <w:pPr>
        <w:pStyle w:val="Heading4"/>
      </w:pPr>
      <w:r w:rsidRPr="008E3B7D">
        <w:t>Task-specific valued features</w:t>
      </w:r>
    </w:p>
    <w:p w:rsidR="00A77A42" w:rsidRPr="00F243E8" w:rsidRDefault="00A77A42" w:rsidP="00F243E8">
      <w:r w:rsidRPr="00A77A42">
        <w:t xml:space="preserve">Task-specific valued features are the discrete aspects of the valued features of </w:t>
      </w:r>
      <w:r w:rsidR="00C46E47">
        <w:t>Mathematics</w:t>
      </w:r>
      <w:r w:rsidR="00C46E47" w:rsidRPr="00A77A42">
        <w:t xml:space="preserve"> </w:t>
      </w:r>
      <w:r w:rsidRPr="00A77A42">
        <w:t xml:space="preserve">targeted in a particular assessment and incorporated into the task-specific standards for that assessment. They are selected from the Queensland </w:t>
      </w:r>
      <w:r w:rsidR="00C46E47">
        <w:t>Mathematics</w:t>
      </w:r>
      <w:r w:rsidR="00C46E47" w:rsidRPr="00A77A42">
        <w:t xml:space="preserve"> </w:t>
      </w:r>
      <w:r w:rsidRPr="00A77A42">
        <w:t xml:space="preserve">standard elaborations valued features drawn from the Australian Curriculum achievement standard and content descriptions. </w:t>
      </w:r>
    </w:p>
    <w:tbl>
      <w:tblPr>
        <w:tblStyle w:val="TableGrid1"/>
        <w:tblW w:w="0" w:type="auto"/>
        <w:tblInd w:w="113" w:type="dxa"/>
        <w:tblLook w:val="04A0" w:firstRow="1" w:lastRow="0" w:firstColumn="1" w:lastColumn="0" w:noHBand="0" w:noVBand="1"/>
      </w:tblPr>
      <w:tblGrid>
        <w:gridCol w:w="1520"/>
        <w:gridCol w:w="1560"/>
        <w:gridCol w:w="3013"/>
        <w:gridCol w:w="3013"/>
      </w:tblGrid>
      <w:tr w:rsidR="007E3800" w:rsidRPr="00E35CD6" w:rsidTr="007E3800">
        <w:trPr>
          <w:trHeight w:val="42"/>
        </w:trPr>
        <w:tc>
          <w:tcPr>
            <w:tcW w:w="9106" w:type="dxa"/>
            <w:gridSpan w:val="4"/>
            <w:tcBorders>
              <w:bottom w:val="single" w:sz="4" w:space="0" w:color="00948D"/>
            </w:tcBorders>
            <w:shd w:val="clear" w:color="auto" w:fill="8CC8C9"/>
            <w:tcMar>
              <w:top w:w="28" w:type="dxa"/>
              <w:bottom w:w="28" w:type="dxa"/>
            </w:tcMar>
          </w:tcPr>
          <w:p w:rsidR="007E3800" w:rsidRPr="0020556D" w:rsidRDefault="007E3800" w:rsidP="00A77A42">
            <w:pPr>
              <w:pStyle w:val="Tablesubhead"/>
              <w:keepNext/>
              <w:keepLines/>
            </w:pPr>
            <w:r w:rsidRPr="002E3AAE">
              <w:t>Task-specific valued features for this assessment</w:t>
            </w:r>
          </w:p>
        </w:tc>
      </w:tr>
      <w:tr w:rsidR="007E3800" w:rsidRPr="00E35CD6" w:rsidTr="007E3800">
        <w:trPr>
          <w:trHeight w:val="42"/>
        </w:trPr>
        <w:tc>
          <w:tcPr>
            <w:tcW w:w="9106" w:type="dxa"/>
            <w:gridSpan w:val="4"/>
            <w:tcBorders>
              <w:bottom w:val="single" w:sz="4" w:space="0" w:color="00948D"/>
            </w:tcBorders>
            <w:shd w:val="clear" w:color="auto" w:fill="CFE7E6"/>
            <w:tcMar>
              <w:top w:w="28" w:type="dxa"/>
              <w:bottom w:w="28" w:type="dxa"/>
            </w:tcMar>
          </w:tcPr>
          <w:p w:rsidR="007E3800" w:rsidRPr="00F243E8" w:rsidRDefault="007E3800" w:rsidP="00E72FE7">
            <w:pPr>
              <w:rPr>
                <w:szCs w:val="21"/>
              </w:rPr>
            </w:pPr>
            <w:r w:rsidRPr="008E3B7D">
              <w:t xml:space="preserve">The following table identifies the valued features for this assessment and makes explicit the understandings and skills that </w:t>
            </w:r>
            <w:r>
              <w:t>children</w:t>
            </w:r>
            <w:r w:rsidRPr="008E3B7D">
              <w:t xml:space="preserve"> will have the opportunity to demonstrate. This ensures that the alignment between what is taught, what is assessed and what is reported is clear.</w:t>
            </w:r>
          </w:p>
        </w:tc>
      </w:tr>
      <w:tr w:rsidR="00FB1EBC" w:rsidRPr="00E35CD6" w:rsidTr="00FB1EBC">
        <w:trPr>
          <w:trHeight w:val="42"/>
        </w:trPr>
        <w:tc>
          <w:tcPr>
            <w:tcW w:w="1521" w:type="dxa"/>
            <w:tcBorders>
              <w:bottom w:val="single" w:sz="4" w:space="0" w:color="00948D"/>
            </w:tcBorders>
            <w:shd w:val="clear" w:color="auto" w:fill="8CC8C9"/>
            <w:tcMar>
              <w:top w:w="28" w:type="dxa"/>
              <w:bottom w:w="28" w:type="dxa"/>
            </w:tcMar>
          </w:tcPr>
          <w:p w:rsidR="000E0C91" w:rsidRPr="00027AF7" w:rsidRDefault="000E0C91" w:rsidP="00A77A42">
            <w:pPr>
              <w:pStyle w:val="Tablesubhead"/>
              <w:keepNext/>
              <w:keepLines/>
            </w:pPr>
            <w:r w:rsidRPr="00027AF7">
              <w:t xml:space="preserve">Australian </w:t>
            </w:r>
            <w:r>
              <w:t>Curriculum achievement standard</w:t>
            </w:r>
            <w:r w:rsidRPr="00027AF7">
              <w:t xml:space="preserve"> </w:t>
            </w:r>
            <w:r>
              <w:t>d</w:t>
            </w:r>
            <w:r w:rsidRPr="00027AF7">
              <w:t>imensions</w:t>
            </w:r>
          </w:p>
        </w:tc>
        <w:tc>
          <w:tcPr>
            <w:tcW w:w="1559" w:type="dxa"/>
            <w:tcBorders>
              <w:bottom w:val="single" w:sz="4" w:space="0" w:color="00948D"/>
            </w:tcBorders>
            <w:shd w:val="clear" w:color="auto" w:fill="8CC8C9"/>
          </w:tcPr>
          <w:p w:rsidR="000E0C91" w:rsidRDefault="000E0C91" w:rsidP="00A77A42">
            <w:pPr>
              <w:pStyle w:val="Tablesubhead"/>
              <w:keepNext/>
              <w:keepLines/>
            </w:pPr>
            <w:r>
              <w:t xml:space="preserve">Australian Curriculum </w:t>
            </w:r>
            <w:r w:rsidR="005B5FDB">
              <w:t>p</w:t>
            </w:r>
            <w:r>
              <w:t>roficiency strands</w:t>
            </w:r>
          </w:p>
        </w:tc>
        <w:tc>
          <w:tcPr>
            <w:tcW w:w="3013" w:type="dxa"/>
            <w:tcBorders>
              <w:bottom w:val="single" w:sz="4" w:space="0" w:color="00948D"/>
            </w:tcBorders>
            <w:shd w:val="clear" w:color="auto" w:fill="8CC8C9"/>
          </w:tcPr>
          <w:p w:rsidR="000E0C91" w:rsidRPr="0020556D" w:rsidRDefault="000E0C91" w:rsidP="00A77A42">
            <w:pPr>
              <w:pStyle w:val="Tablesubhead"/>
              <w:keepNext/>
              <w:keepLines/>
            </w:pPr>
            <w:r>
              <w:t>Queensland standard elaborations v</w:t>
            </w:r>
            <w:r w:rsidRPr="0020556D">
              <w:t>alued features</w:t>
            </w:r>
          </w:p>
        </w:tc>
        <w:tc>
          <w:tcPr>
            <w:tcW w:w="3013" w:type="dxa"/>
            <w:tcBorders>
              <w:bottom w:val="single" w:sz="4" w:space="0" w:color="00948D"/>
            </w:tcBorders>
            <w:shd w:val="clear" w:color="auto" w:fill="8CC8C9"/>
            <w:tcMar>
              <w:top w:w="28" w:type="dxa"/>
              <w:bottom w:w="28" w:type="dxa"/>
            </w:tcMar>
          </w:tcPr>
          <w:p w:rsidR="000E0C91" w:rsidRPr="0020556D" w:rsidRDefault="000E0C91" w:rsidP="00A77A42">
            <w:pPr>
              <w:pStyle w:val="Tablesubhead"/>
              <w:keepNext/>
              <w:keepLines/>
            </w:pPr>
            <w:r w:rsidRPr="0020556D">
              <w:t>Task-specific valued features</w:t>
            </w:r>
          </w:p>
        </w:tc>
      </w:tr>
      <w:tr w:rsidR="00FB1EBC" w:rsidRPr="00E35CD6" w:rsidTr="005B5FDB">
        <w:trPr>
          <w:cantSplit/>
          <w:trHeight w:val="2463"/>
        </w:trPr>
        <w:tc>
          <w:tcPr>
            <w:tcW w:w="1521" w:type="dxa"/>
            <w:vMerge w:val="restart"/>
            <w:shd w:val="clear" w:color="auto" w:fill="CFE7E6"/>
            <w:tcMar>
              <w:top w:w="28" w:type="dxa"/>
              <w:bottom w:w="28" w:type="dxa"/>
            </w:tcMar>
            <w:textDirection w:val="btLr"/>
            <w:vAlign w:val="center"/>
          </w:tcPr>
          <w:p w:rsidR="000E0C91" w:rsidRPr="00027AF7" w:rsidRDefault="000E0C91" w:rsidP="005B5FDB">
            <w:pPr>
              <w:pStyle w:val="Tablesubhead"/>
              <w:keepNext/>
              <w:keepLines/>
              <w:jc w:val="center"/>
              <w:rPr>
                <w:szCs w:val="21"/>
              </w:rPr>
            </w:pPr>
            <w:r w:rsidRPr="00027AF7">
              <w:t>Understanding and Skills</w:t>
            </w:r>
          </w:p>
        </w:tc>
        <w:tc>
          <w:tcPr>
            <w:tcW w:w="1559" w:type="dxa"/>
            <w:shd w:val="clear" w:color="auto" w:fill="FFFFFF" w:themeFill="background1"/>
          </w:tcPr>
          <w:p w:rsidR="000E0C91" w:rsidRPr="00FB1EBC" w:rsidRDefault="000E0C91" w:rsidP="005B5FDB">
            <w:pPr>
              <w:pStyle w:val="Tabletext"/>
              <w:rPr>
                <w:b/>
                <w:szCs w:val="21"/>
                <w:lang w:eastAsia="en-US"/>
              </w:rPr>
            </w:pPr>
            <w:r w:rsidRPr="00FB1EBC">
              <w:rPr>
                <w:b/>
                <w:szCs w:val="20"/>
              </w:rPr>
              <w:t xml:space="preserve">Understanding </w:t>
            </w:r>
            <w:r w:rsidR="005B5FDB">
              <w:rPr>
                <w:b/>
                <w:szCs w:val="20"/>
              </w:rPr>
              <w:t>and</w:t>
            </w:r>
            <w:r w:rsidR="005B5FDB" w:rsidRPr="00FB1EBC">
              <w:rPr>
                <w:b/>
                <w:szCs w:val="20"/>
              </w:rPr>
              <w:t xml:space="preserve"> </w:t>
            </w:r>
            <w:r w:rsidRPr="00FB1EBC">
              <w:rPr>
                <w:b/>
                <w:szCs w:val="20"/>
              </w:rPr>
              <w:t>Fluency</w:t>
            </w:r>
          </w:p>
        </w:tc>
        <w:tc>
          <w:tcPr>
            <w:tcW w:w="3013" w:type="dxa"/>
            <w:shd w:val="clear" w:color="auto" w:fill="FFFFFF" w:themeFill="background1"/>
          </w:tcPr>
          <w:p w:rsidR="00B2385C" w:rsidRPr="00B2385C" w:rsidRDefault="000E535E" w:rsidP="00B2385C">
            <w:pPr>
              <w:pStyle w:val="Tablebulletslevel1"/>
            </w:pPr>
            <w:r>
              <w:t>Procedural fluency — r</w:t>
            </w:r>
            <w:r w:rsidR="00B2385C" w:rsidRPr="00CA267E">
              <w:t>ecall and use of facts, definitions, technologies and procedures</w:t>
            </w:r>
            <w:r>
              <w:t>.</w:t>
            </w:r>
          </w:p>
          <w:p w:rsidR="000E0C91" w:rsidRPr="0020556D" w:rsidRDefault="00F50F92" w:rsidP="00F50F92">
            <w:pPr>
              <w:keepNext/>
              <w:keepLines/>
              <w:numPr>
                <w:ilvl w:val="0"/>
                <w:numId w:val="4"/>
              </w:numPr>
              <w:spacing w:before="40" w:after="40"/>
              <w:rPr>
                <w:b/>
                <w:sz w:val="20"/>
              </w:rPr>
            </w:pPr>
            <w:r>
              <w:rPr>
                <w:sz w:val="20"/>
              </w:rPr>
              <w:t xml:space="preserve">Mathematical language and symbols. </w:t>
            </w:r>
          </w:p>
        </w:tc>
        <w:tc>
          <w:tcPr>
            <w:tcW w:w="3013" w:type="dxa"/>
            <w:shd w:val="clear" w:color="auto" w:fill="FFFFFF" w:themeFill="background1"/>
            <w:tcMar>
              <w:top w:w="28" w:type="dxa"/>
              <w:bottom w:w="28" w:type="dxa"/>
            </w:tcMar>
          </w:tcPr>
          <w:p w:rsidR="007E3800" w:rsidRDefault="002B7566" w:rsidP="002B7566">
            <w:pPr>
              <w:pStyle w:val="Tablebulletslevel1"/>
            </w:pPr>
            <w:r w:rsidRPr="002B7566">
              <w:t>Measurement of foot lengths using uniform informal units.</w:t>
            </w:r>
          </w:p>
          <w:p w:rsidR="002B7566" w:rsidRDefault="002B7566" w:rsidP="002B7566">
            <w:pPr>
              <w:pStyle w:val="Tablebulletslevel1"/>
            </w:pPr>
            <w:r w:rsidRPr="002B7566">
              <w:t>Comparison and ordering of measurements.</w:t>
            </w:r>
          </w:p>
          <w:p w:rsidR="00B2385C" w:rsidRPr="00B5526C" w:rsidRDefault="002B7566" w:rsidP="002B7566">
            <w:pPr>
              <w:pStyle w:val="Tablebulletslevel1"/>
            </w:pPr>
            <w:r w:rsidRPr="002B7566">
              <w:t>Use of mathematical language and symbols when discussing results and organising data</w:t>
            </w:r>
            <w:r>
              <w:t>.</w:t>
            </w:r>
          </w:p>
        </w:tc>
      </w:tr>
      <w:tr w:rsidR="00FB1EBC" w:rsidRPr="00E35CD6" w:rsidTr="005B5FDB">
        <w:trPr>
          <w:cantSplit/>
          <w:trHeight w:val="1551"/>
        </w:trPr>
        <w:tc>
          <w:tcPr>
            <w:tcW w:w="1521" w:type="dxa"/>
            <w:vMerge/>
            <w:tcMar>
              <w:top w:w="28" w:type="dxa"/>
              <w:bottom w:w="28" w:type="dxa"/>
            </w:tcMar>
            <w:vAlign w:val="center"/>
          </w:tcPr>
          <w:p w:rsidR="000E0C91" w:rsidRPr="00E35CD6" w:rsidRDefault="000E0C91" w:rsidP="005B5FDB">
            <w:pPr>
              <w:keepNext/>
              <w:keepLines/>
              <w:spacing w:before="40" w:after="40" w:line="220" w:lineRule="atLeast"/>
              <w:jc w:val="center"/>
              <w:rPr>
                <w:sz w:val="21"/>
                <w:szCs w:val="21"/>
              </w:rPr>
            </w:pPr>
          </w:p>
        </w:tc>
        <w:tc>
          <w:tcPr>
            <w:tcW w:w="1559" w:type="dxa"/>
          </w:tcPr>
          <w:p w:rsidR="000E0C91" w:rsidRPr="005B5FDB" w:rsidRDefault="000E0C91" w:rsidP="005B5FDB">
            <w:pPr>
              <w:pStyle w:val="Tabletext"/>
              <w:rPr>
                <w:b/>
                <w:lang w:eastAsia="en-US"/>
              </w:rPr>
            </w:pPr>
            <w:r w:rsidRPr="005B5FDB">
              <w:rPr>
                <w:b/>
                <w:lang w:eastAsia="en-US"/>
              </w:rPr>
              <w:t xml:space="preserve">Problem solving </w:t>
            </w:r>
            <w:r w:rsidR="005B5FDB">
              <w:rPr>
                <w:b/>
                <w:lang w:eastAsia="en-US"/>
              </w:rPr>
              <w:t xml:space="preserve">and </w:t>
            </w:r>
            <w:r w:rsidRPr="005B5FDB">
              <w:rPr>
                <w:b/>
                <w:lang w:eastAsia="en-US"/>
              </w:rPr>
              <w:t>Reasoning</w:t>
            </w:r>
          </w:p>
        </w:tc>
        <w:tc>
          <w:tcPr>
            <w:tcW w:w="3013" w:type="dxa"/>
          </w:tcPr>
          <w:p w:rsidR="000E0C91" w:rsidRPr="002757C5" w:rsidRDefault="00640585" w:rsidP="00A77A42">
            <w:pPr>
              <w:keepNext/>
              <w:keepLines/>
              <w:numPr>
                <w:ilvl w:val="0"/>
                <w:numId w:val="4"/>
              </w:numPr>
              <w:spacing w:before="40" w:after="40"/>
              <w:rPr>
                <w:sz w:val="20"/>
                <w:szCs w:val="20"/>
              </w:rPr>
            </w:pPr>
            <w:r>
              <w:rPr>
                <w:sz w:val="20"/>
                <w:szCs w:val="20"/>
              </w:rPr>
              <w:t>Reasoning and justification</w:t>
            </w:r>
            <w:r w:rsidR="007E3800">
              <w:rPr>
                <w:sz w:val="20"/>
                <w:szCs w:val="20"/>
              </w:rPr>
              <w:t>.</w:t>
            </w:r>
          </w:p>
        </w:tc>
        <w:tc>
          <w:tcPr>
            <w:tcW w:w="3013" w:type="dxa"/>
            <w:tcMar>
              <w:top w:w="28" w:type="dxa"/>
              <w:bottom w:w="28" w:type="dxa"/>
            </w:tcMar>
          </w:tcPr>
          <w:p w:rsidR="007E3800" w:rsidRDefault="002B7566" w:rsidP="002B7566">
            <w:pPr>
              <w:pStyle w:val="Tablebulletslevel1"/>
              <w:rPr>
                <w:lang w:eastAsia="en-US"/>
              </w:rPr>
            </w:pPr>
            <w:r w:rsidRPr="002B7566">
              <w:t>Explanation of choices and description of results of uniform informal unit measurements.</w:t>
            </w:r>
          </w:p>
          <w:p w:rsidR="000E0C91" w:rsidRPr="00B5526C" w:rsidRDefault="002B7566" w:rsidP="002B7566">
            <w:pPr>
              <w:pStyle w:val="Tablebulletslevel1"/>
              <w:rPr>
                <w:lang w:eastAsia="en-US"/>
              </w:rPr>
            </w:pPr>
            <w:r w:rsidRPr="002B7566">
              <w:t>Inferences from data to answer questions.</w:t>
            </w:r>
          </w:p>
        </w:tc>
      </w:tr>
    </w:tbl>
    <w:p w:rsidR="00A77A42" w:rsidRPr="008E3B7D" w:rsidRDefault="00A77A42" w:rsidP="00A1151F">
      <w:r w:rsidRPr="008E3B7D">
        <w:t>The task-specific standards for this assessment are provided in two models using the same task</w:t>
      </w:r>
      <w:r w:rsidR="005B5FDB">
        <w:noBreakHyphen/>
      </w:r>
      <w:r w:rsidRPr="008E3B7D">
        <w:t>specific valued features:</w:t>
      </w:r>
    </w:p>
    <w:p w:rsidR="00A77A42" w:rsidRPr="008E3B7D" w:rsidRDefault="00A77A42" w:rsidP="00A1151F">
      <w:pPr>
        <w:pStyle w:val="Bulletslevel1"/>
      </w:pPr>
      <w:r w:rsidRPr="008E3B7D">
        <w:t xml:space="preserve">a matrix </w:t>
      </w:r>
    </w:p>
    <w:p w:rsidR="00A77A42" w:rsidRPr="008E3B7D" w:rsidRDefault="00A77A42" w:rsidP="00A1151F">
      <w:pPr>
        <w:pStyle w:val="Bulletslevel1"/>
      </w:pPr>
      <w:proofErr w:type="gramStart"/>
      <w:r w:rsidRPr="008E3B7D">
        <w:t>a</w:t>
      </w:r>
      <w:proofErr w:type="gramEnd"/>
      <w:r w:rsidRPr="008E3B7D">
        <w:t xml:space="preserve"> continua</w:t>
      </w:r>
      <w:r w:rsidR="00F243E8">
        <w:t>.</w:t>
      </w:r>
    </w:p>
    <w:p w:rsidR="00A77A42" w:rsidRPr="008E3B7D" w:rsidRDefault="00A77A42" w:rsidP="00A77A42">
      <w:pPr>
        <w:pStyle w:val="Heading4"/>
      </w:pPr>
      <w:r w:rsidRPr="008E3B7D">
        <w:t xml:space="preserve">Matrix and Continua </w:t>
      </w:r>
    </w:p>
    <w:p w:rsidR="00A77A42" w:rsidRPr="008E3B7D" w:rsidRDefault="00A77A42" w:rsidP="00A1151F">
      <w:r w:rsidRPr="008E3B7D">
        <w:t>Task-specific standards can be prepared as a matrix or continua. Both the continua and the matrix:</w:t>
      </w:r>
    </w:p>
    <w:p w:rsidR="00A77A42" w:rsidRPr="008E3B7D" w:rsidRDefault="00A77A42" w:rsidP="00A1151F">
      <w:pPr>
        <w:pStyle w:val="Bulletslevel1"/>
      </w:pPr>
      <w:r w:rsidRPr="008E3B7D">
        <w:t xml:space="preserve">use the Queensland standard elaborations to develop task-specific descriptors to convey expected qualities in </w:t>
      </w:r>
      <w:r w:rsidR="00C90043">
        <w:t>children’s</w:t>
      </w:r>
      <w:r w:rsidRPr="008E3B7D">
        <w:t xml:space="preserve"> work </w:t>
      </w:r>
      <w:r w:rsidR="00F243E8">
        <w:t>—</w:t>
      </w:r>
      <w:r w:rsidR="00F243E8" w:rsidRPr="008E3B7D">
        <w:t xml:space="preserve"> </w:t>
      </w:r>
      <w:r w:rsidRPr="008E3B7D">
        <w:t>A to E or equivalent</w:t>
      </w:r>
    </w:p>
    <w:p w:rsidR="00A77A42" w:rsidRPr="008E3B7D" w:rsidRDefault="00A77A42" w:rsidP="00A1151F">
      <w:pPr>
        <w:pStyle w:val="Bulletslevel1"/>
      </w:pPr>
      <w:r w:rsidRPr="008E3B7D">
        <w:t>highlight the same valued features from the Queensland standard elaborations that are being targeted in the assessment and the qualities that will inform the overall judgment</w:t>
      </w:r>
    </w:p>
    <w:p w:rsidR="00A77A42" w:rsidRPr="008E3B7D" w:rsidRDefault="00A77A42" w:rsidP="00A1151F">
      <w:pPr>
        <w:pStyle w:val="Bulletslevel1"/>
      </w:pPr>
      <w:r w:rsidRPr="008E3B7D">
        <w:t>incorporate the same task-specific valued features</w:t>
      </w:r>
      <w:r w:rsidR="00C90043">
        <w:t>,</w:t>
      </w:r>
      <w:r w:rsidRPr="008E3B7D">
        <w:t xml:space="preserve"> i.e. make explicit the particular understanding / skills </w:t>
      </w:r>
      <w:r w:rsidR="00C90043">
        <w:t>that children</w:t>
      </w:r>
      <w:r w:rsidRPr="008E3B7D">
        <w:t xml:space="preserve"> have the opportunity to demonstrate for each selected valued feature </w:t>
      </w:r>
    </w:p>
    <w:p w:rsidR="00A77A42" w:rsidRPr="008E3B7D" w:rsidRDefault="00A77A42" w:rsidP="00A1151F">
      <w:pPr>
        <w:pStyle w:val="Bulletslevel1"/>
      </w:pPr>
      <w:r w:rsidRPr="008E3B7D">
        <w:t xml:space="preserve">provide a tool for directly matching the evidence of learning in the </w:t>
      </w:r>
      <w:r w:rsidR="00C90043">
        <w:t>child’s</w:t>
      </w:r>
      <w:r w:rsidRPr="008E3B7D">
        <w:t xml:space="preserve"> response to the standards to make an on-balance judgment about achievement</w:t>
      </w:r>
    </w:p>
    <w:p w:rsidR="00A77A42" w:rsidRPr="008E3B7D" w:rsidRDefault="00A77A42" w:rsidP="00A1151F">
      <w:pPr>
        <w:pStyle w:val="Bulletslevel1"/>
      </w:pPr>
      <w:r w:rsidRPr="008E3B7D">
        <w:t>assist teachers to make consistent and comparable evidence-based A to E or equivalent judgments.</w:t>
      </w:r>
    </w:p>
    <w:p w:rsidR="00A77A42" w:rsidRPr="008E3B7D" w:rsidRDefault="00A77A42" w:rsidP="00A77A42">
      <w:pPr>
        <w:pStyle w:val="Heading5"/>
      </w:pPr>
      <w:r w:rsidRPr="008E3B7D">
        <w:t>Continua</w:t>
      </w:r>
    </w:p>
    <w:p w:rsidR="00A77A42" w:rsidRPr="008E3B7D" w:rsidRDefault="00A77A42" w:rsidP="00E72FE7">
      <w:r w:rsidRPr="008E3B7D">
        <w:t>The continua model of task-specific standards uses the dimensions of the Australian Curriculum achievement standard to organise task-specific valued features and standards as a number of reference points represented progressively along an A</w:t>
      </w:r>
      <w:r w:rsidR="00F243E8">
        <w:t>–</w:t>
      </w:r>
      <w:r w:rsidRPr="008E3B7D">
        <w:t xml:space="preserve">E continuum. The task-specific valued features at each point are described holistically. The task-specific descriptors of the standard use the relevant degrees of quality described in the Queensland standard elaborations. </w:t>
      </w:r>
    </w:p>
    <w:p w:rsidR="00A77A42" w:rsidRPr="008E3B7D" w:rsidRDefault="00A77A42" w:rsidP="00E72FE7">
      <w:r w:rsidRPr="008E3B7D">
        <w:t xml:space="preserve">Teachers determine a position along each continuum that best matches the evidence in the </w:t>
      </w:r>
      <w:r w:rsidR="00C90043">
        <w:t xml:space="preserve">children’s </w:t>
      </w:r>
      <w:r w:rsidRPr="008E3B7D">
        <w:t xml:space="preserve">responses to make an on-balance judgment about achievement on the task. </w:t>
      </w:r>
    </w:p>
    <w:p w:rsidR="00A77A42" w:rsidRPr="008E3B7D" w:rsidRDefault="00A77A42" w:rsidP="00E72FE7">
      <w:r w:rsidRPr="008E3B7D">
        <w:t>The continua model is a tool for making an overall on-balance judgment about the assessment and for providing feedback on task</w:t>
      </w:r>
      <w:r w:rsidR="00F243E8">
        <w:t>-</w:t>
      </w:r>
      <w:r w:rsidRPr="008E3B7D">
        <w:t>specific valued features.</w:t>
      </w:r>
    </w:p>
    <w:p w:rsidR="00A77A42" w:rsidRPr="008E3B7D" w:rsidRDefault="00A77A42" w:rsidP="00A77A42">
      <w:pPr>
        <w:pStyle w:val="Heading5"/>
      </w:pPr>
      <w:r w:rsidRPr="008E3B7D">
        <w:t>Matrix</w:t>
      </w:r>
    </w:p>
    <w:p w:rsidR="00A77A42" w:rsidRPr="008E3B7D" w:rsidRDefault="00A77A42" w:rsidP="00F243E8">
      <w:r w:rsidRPr="008E3B7D">
        <w:t xml:space="preserve">The matrix model of task-specific standards uses the structure of the Queensland standard elaborations to organise the task-specific valued features and standards A to E. The task-specific descriptors of the standard described in the matrix model use the same degrees of quality described in the Queensland standard elaborations.  </w:t>
      </w:r>
    </w:p>
    <w:p w:rsidR="00A77A42" w:rsidRPr="008E3B7D" w:rsidRDefault="00A77A42">
      <w:r w:rsidRPr="008E3B7D">
        <w:t xml:space="preserve">Teachers make a judgment about the task-specific descriptor in the A to E (or equivalent) cell of the matrix that best matches the evidence in the </w:t>
      </w:r>
      <w:r w:rsidR="00C90043">
        <w:t>children’s</w:t>
      </w:r>
      <w:r w:rsidRPr="008E3B7D">
        <w:t xml:space="preserve"> responses in order to make an on</w:t>
      </w:r>
      <w:r w:rsidR="00F243E8">
        <w:noBreakHyphen/>
      </w:r>
      <w:r w:rsidRPr="008E3B7D">
        <w:t>balance judgment about how well the pattern of evidence meets the standard.</w:t>
      </w:r>
    </w:p>
    <w:p w:rsidR="00A77A42" w:rsidRPr="008E3B7D" w:rsidRDefault="00A77A42">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rsidR="00581229" w:rsidRDefault="00581229" w:rsidP="00C6672A">
      <w:pPr>
        <w:pStyle w:val="Heading2"/>
      </w:pPr>
      <w:r w:rsidRPr="00581229">
        <w:t>Use feedback</w:t>
      </w:r>
    </w:p>
    <w:tbl>
      <w:tblPr>
        <w:tblStyle w:val="TableGrid"/>
        <w:tblW w:w="4900" w:type="pct"/>
        <w:tblInd w:w="113" w:type="dxa"/>
        <w:tblLook w:val="04A0" w:firstRow="1" w:lastRow="0" w:firstColumn="1" w:lastColumn="0" w:noHBand="0" w:noVBand="1"/>
      </w:tblPr>
      <w:tblGrid>
        <w:gridCol w:w="1613"/>
        <w:gridCol w:w="7422"/>
      </w:tblGrid>
      <w:tr w:rsidR="002D5324" w:rsidTr="002D5324">
        <w:tc>
          <w:tcPr>
            <w:tcW w:w="1613" w:type="dxa"/>
            <w:shd w:val="clear" w:color="auto" w:fill="CFE7E6"/>
          </w:tcPr>
          <w:p w:rsidR="002D5324" w:rsidRDefault="002D5324" w:rsidP="00C90043">
            <w:pPr>
              <w:pStyle w:val="Tablesubhead"/>
              <w:keepNext/>
            </w:pPr>
            <w:r w:rsidRPr="00581229">
              <w:t xml:space="preserve">Feedback to </w:t>
            </w:r>
            <w:r w:rsidR="00C90043">
              <w:t>children</w:t>
            </w:r>
          </w:p>
        </w:tc>
        <w:tc>
          <w:tcPr>
            <w:tcW w:w="7422" w:type="dxa"/>
          </w:tcPr>
          <w:p w:rsidR="00CC73EE" w:rsidRPr="00CC73EE" w:rsidRDefault="00CC73EE" w:rsidP="00C6672A">
            <w:pPr>
              <w:keepNext/>
              <w:spacing w:before="40" w:after="40" w:line="220" w:lineRule="atLeast"/>
              <w:rPr>
                <w:sz w:val="20"/>
                <w:szCs w:val="20"/>
              </w:rPr>
            </w:pPr>
            <w:r w:rsidRPr="00CC73EE">
              <w:rPr>
                <w:sz w:val="20"/>
                <w:szCs w:val="20"/>
              </w:rPr>
              <w:t xml:space="preserve">Evaluate the information gathered from the assessment to inform teaching and learning strategies. Focus feedback on the </w:t>
            </w:r>
            <w:r w:rsidR="00C90043">
              <w:rPr>
                <w:sz w:val="20"/>
                <w:szCs w:val="20"/>
              </w:rPr>
              <w:t>child</w:t>
            </w:r>
            <w:r w:rsidRPr="00CC73EE">
              <w:rPr>
                <w:sz w:val="20"/>
                <w:szCs w:val="20"/>
              </w:rPr>
              <w:t>’s personal progress and the next steps in the learning journey.</w:t>
            </w:r>
          </w:p>
          <w:p w:rsidR="00CC73EE" w:rsidRDefault="00CC73EE" w:rsidP="00C6672A">
            <w:pPr>
              <w:keepNext/>
              <w:spacing w:before="40" w:after="40" w:line="220" w:lineRule="atLeast"/>
              <w:rPr>
                <w:sz w:val="20"/>
                <w:szCs w:val="20"/>
              </w:rPr>
            </w:pPr>
            <w:r w:rsidRPr="00CC73EE">
              <w:rPr>
                <w:sz w:val="20"/>
                <w:szCs w:val="20"/>
              </w:rPr>
              <w:t>Offer feedbac</w:t>
            </w:r>
            <w:r w:rsidRPr="004145C3">
              <w:rPr>
                <w:sz w:val="20"/>
                <w:szCs w:val="20"/>
              </w:rPr>
              <w:t>k that</w:t>
            </w:r>
            <w:r w:rsidRPr="00027AF7">
              <w:rPr>
                <w:sz w:val="20"/>
                <w:szCs w:val="20"/>
              </w:rPr>
              <w:t>:</w:t>
            </w:r>
          </w:p>
          <w:p w:rsidR="00CC73EE" w:rsidRPr="00027AF7" w:rsidRDefault="00F243E8" w:rsidP="00C6672A">
            <w:pPr>
              <w:pStyle w:val="Tablebulletslevel1"/>
              <w:keepNext/>
            </w:pPr>
            <w:r>
              <w:t xml:space="preserve">focuses </w:t>
            </w:r>
            <w:r w:rsidR="00745EA9">
              <w:t>on the use of mathematical language and conventions</w:t>
            </w:r>
          </w:p>
          <w:p w:rsidR="00CC73EE" w:rsidRPr="00745EA9" w:rsidRDefault="00F243E8" w:rsidP="00745EA9">
            <w:pPr>
              <w:pStyle w:val="Tablebulletslevel1"/>
              <w:keepNext/>
            </w:pPr>
            <w:proofErr w:type="gramStart"/>
            <w:r>
              <w:t>highlights</w:t>
            </w:r>
            <w:proofErr w:type="gramEnd"/>
            <w:r>
              <w:t xml:space="preserve"> </w:t>
            </w:r>
            <w:r w:rsidR="00745EA9">
              <w:t>the importance of interpretation and comparison to draw mathematical conclusions.</w:t>
            </w:r>
          </w:p>
          <w:p w:rsidR="002D5324" w:rsidRDefault="00CC73EE" w:rsidP="00C90043">
            <w:pPr>
              <w:pStyle w:val="Tabletext"/>
              <w:keepNext/>
            </w:pPr>
            <w:r w:rsidRPr="00CC73EE">
              <w:rPr>
                <w:szCs w:val="20"/>
              </w:rPr>
              <w:t xml:space="preserve">The </w:t>
            </w:r>
            <w:r w:rsidR="00BB69CF">
              <w:rPr>
                <w:szCs w:val="20"/>
              </w:rPr>
              <w:t>t</w:t>
            </w:r>
            <w:r w:rsidRPr="00CC73EE">
              <w:rPr>
                <w:szCs w:val="20"/>
              </w:rPr>
              <w:t xml:space="preserve">ask-specific standards for this assessment can be used as a basis for providing feedback to </w:t>
            </w:r>
            <w:r w:rsidR="00C90043">
              <w:rPr>
                <w:szCs w:val="20"/>
              </w:rPr>
              <w:t>children</w:t>
            </w:r>
            <w:r w:rsidRPr="00CC73EE">
              <w:rPr>
                <w:szCs w:val="20"/>
              </w:rPr>
              <w:t>.</w:t>
            </w:r>
          </w:p>
        </w:tc>
      </w:tr>
      <w:tr w:rsidR="002D5324" w:rsidTr="002D5324">
        <w:tc>
          <w:tcPr>
            <w:tcW w:w="1613" w:type="dxa"/>
            <w:shd w:val="clear" w:color="auto" w:fill="CFE7E6"/>
          </w:tcPr>
          <w:p w:rsidR="002D5324" w:rsidRDefault="002D5324" w:rsidP="00C6672A">
            <w:pPr>
              <w:pStyle w:val="Tablesubhead"/>
              <w:keepNext/>
            </w:pPr>
            <w:r w:rsidRPr="00581229">
              <w:t>Resources</w:t>
            </w:r>
          </w:p>
        </w:tc>
        <w:tc>
          <w:tcPr>
            <w:tcW w:w="7422" w:type="dxa"/>
          </w:tcPr>
          <w:p w:rsidR="008B4E49" w:rsidRPr="00581229" w:rsidRDefault="00045580" w:rsidP="00C6672A">
            <w:pPr>
              <w:pStyle w:val="Tabletext"/>
              <w:keepNext/>
            </w:pPr>
            <w:r w:rsidRPr="00581229">
              <w:t>For guidance on providing feedback, see the professional development packages titled</w:t>
            </w:r>
            <w:r w:rsidR="008B4E49">
              <w:t>:</w:t>
            </w:r>
            <w:r w:rsidRPr="00581229">
              <w:t xml:space="preserve"> </w:t>
            </w:r>
          </w:p>
          <w:p w:rsidR="00CC73EE" w:rsidRPr="00CC73EE" w:rsidRDefault="00CC73EE" w:rsidP="00C6672A">
            <w:pPr>
              <w:pStyle w:val="Tablebulletslevel1"/>
              <w:keepNext/>
              <w:rPr>
                <w:rStyle w:val="Hyperlink"/>
                <w:color w:val="auto"/>
              </w:rPr>
            </w:pPr>
            <w:r w:rsidRPr="008B4E49">
              <w:rPr>
                <w:i/>
              </w:rPr>
              <w:t>About feedback</w:t>
            </w:r>
            <w:r w:rsidR="004B706F">
              <w:rPr>
                <w:i/>
              </w:rPr>
              <w:br/>
            </w:r>
            <w:hyperlink r:id="rId56" w:history="1">
              <w:r w:rsidRPr="00047830">
                <w:rPr>
                  <w:rStyle w:val="Hyperlink"/>
                  <w:szCs w:val="21"/>
                </w:rPr>
                <w:t>www.qsa.qld.edu.au/downloads/p_10/as_feedback_about.doc</w:t>
              </w:r>
            </w:hyperlink>
          </w:p>
          <w:p w:rsidR="002D5324" w:rsidRPr="00CC73EE" w:rsidRDefault="008B4E49" w:rsidP="00C6672A">
            <w:pPr>
              <w:pStyle w:val="Tablebulletslevel1"/>
              <w:keepNext/>
            </w:pPr>
            <w:r w:rsidRPr="00581229">
              <w:rPr>
                <w:i/>
              </w:rPr>
              <w:t>Seeking and providing feedback</w:t>
            </w:r>
            <w:r w:rsidRPr="00581229">
              <w:t xml:space="preserve"> </w:t>
            </w:r>
            <w:r>
              <w:t xml:space="preserve"> </w:t>
            </w:r>
            <w:hyperlink r:id="rId57" w:tgtFrame="_blank" w:history="1">
              <w:r>
                <w:rPr>
                  <w:rStyle w:val="Hyperlink"/>
                </w:rPr>
                <w:t>www.qsa.qld.edu.au/downloads/p_10/as_feedback_provide.doc</w:t>
              </w:r>
            </w:hyperlink>
          </w:p>
        </w:tc>
      </w:tr>
    </w:tbl>
    <w:p w:rsidR="00581229" w:rsidRDefault="00581229" w:rsidP="00C6672A">
      <w:pPr>
        <w:keepNext/>
        <w:rPr>
          <w:rFonts w:eastAsia="SimSun"/>
        </w:rPr>
      </w:pPr>
    </w:p>
    <w:sectPr w:rsidR="00581229" w:rsidSect="002D5324">
      <w:headerReference w:type="default" r:id="rId58"/>
      <w:footerReference w:type="even" r:id="rId59"/>
      <w:footerReference w:type="default" r:id="rId60"/>
      <w:headerReference w:type="first" r:id="rId61"/>
      <w:footerReference w:type="first" r:id="rId62"/>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B7B" w:rsidRDefault="00961B7B">
      <w:r>
        <w:separator/>
      </w:r>
    </w:p>
    <w:p w:rsidR="00961B7B" w:rsidRDefault="00961B7B"/>
    <w:p w:rsidR="00961B7B" w:rsidRDefault="00961B7B"/>
  </w:endnote>
  <w:endnote w:type="continuationSeparator" w:id="0">
    <w:p w:rsidR="00961B7B" w:rsidRDefault="00961B7B">
      <w:r>
        <w:continuationSeparator/>
      </w:r>
    </w:p>
    <w:p w:rsidR="00961B7B" w:rsidRDefault="00961B7B"/>
    <w:p w:rsidR="00961B7B" w:rsidRDefault="00961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00" w:rsidRDefault="007E3800"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Pr>
        <w:rStyle w:val="Footerbold"/>
        <w:rFonts w:eastAsia="SimSun"/>
        <w:noProof/>
      </w:rPr>
      <w:t>8</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Pr>
            <w:rStyle w:val="Footerbold"/>
            <w:rFonts w:eastAsia="SimSun"/>
          </w:rPr>
          <w:t>Teacher guidelines P–2</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00" w:rsidRDefault="007E3800"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D15E91">
      <w:rPr>
        <w:rFonts w:eastAsia="SimSun"/>
        <w:noProof/>
      </w:rPr>
      <w:t>April 2014</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Pr>
        <w:rStyle w:val="Footerbold"/>
        <w:noProof/>
      </w:rPr>
      <w:t>8</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00" w:rsidRDefault="007E3800" w:rsidP="00855483">
    <w:pPr>
      <w:pStyle w:val="Footereven"/>
      <w:ind w:left="0"/>
    </w:pPr>
    <w:r>
      <w:rPr>
        <w:noProof/>
        <w:lang w:eastAsia="en-AU"/>
      </w:rPr>
      <w:drawing>
        <wp:anchor distT="0" distB="0" distL="114300" distR="114300" simplePos="0" relativeHeight="251662336" behindDoc="0" locked="0" layoutInCell="1" allowOverlap="1" wp14:anchorId="6BE2E0E6" wp14:editId="79DAC219">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63360" behindDoc="0" locked="0" layoutInCell="1" allowOverlap="1" wp14:anchorId="58554486" wp14:editId="5A32A3DE">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E3800" w:rsidRPr="002B765B" w:rsidRDefault="007E3800"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405"/>
      <w:gridCol w:w="4466"/>
      <w:gridCol w:w="2348"/>
    </w:tblGrid>
    <w:tr w:rsidR="007E3800" w:rsidRPr="00AA051F" w:rsidTr="002E739C">
      <w:tc>
        <w:tcPr>
          <w:tcW w:w="2528" w:type="dxa"/>
          <w:vAlign w:val="center"/>
        </w:tcPr>
        <w:p w:rsidR="007E3800" w:rsidRPr="00AA051F" w:rsidRDefault="007E3800" w:rsidP="00C83A04">
          <w:pPr>
            <w:pStyle w:val="Footerboxed"/>
          </w:pPr>
          <w:r>
            <w:t>Australian Curriculum</w:t>
          </w:r>
          <w:r>
            <w:br/>
            <w:t>Year 2 Mathematics</w:t>
          </w:r>
        </w:p>
      </w:tc>
      <w:tc>
        <w:tcPr>
          <w:tcW w:w="4840" w:type="dxa"/>
          <w:vAlign w:val="center"/>
        </w:tcPr>
        <w:p w:rsidR="007E3800" w:rsidRPr="00AA051F" w:rsidRDefault="007E3800" w:rsidP="00BD7FC5">
          <w:pPr>
            <w:pStyle w:val="Footerboxed"/>
          </w:pPr>
          <w:r>
            <w:t>Feet</w:t>
          </w:r>
          <w:r w:rsidRPr="00AA051F">
            <w:rPr>
              <w:rStyle w:val="InstructionsChar"/>
              <w:sz w:val="18"/>
              <w:szCs w:val="18"/>
            </w:rPr>
            <w:br/>
          </w:r>
          <w:r w:rsidRPr="00AA051F">
            <w:t>Unit:</w:t>
          </w:r>
          <w:r>
            <w:t xml:space="preserve"> Is the whole greater than the sum of its parts?</w:t>
          </w:r>
        </w:p>
      </w:tc>
      <w:tc>
        <w:tcPr>
          <w:tcW w:w="2487" w:type="dxa"/>
          <w:vAlign w:val="center"/>
        </w:tcPr>
        <w:p w:rsidR="007E3800" w:rsidRPr="00AA051F" w:rsidRDefault="007E3800" w:rsidP="00552D47">
          <w:pPr>
            <w:pStyle w:val="Footerboxed"/>
          </w:pPr>
          <w:r w:rsidRPr="00AA051F">
            <w:t>Teacher guidelines</w:t>
          </w:r>
        </w:p>
      </w:tc>
    </w:tr>
  </w:tbl>
  <w:p w:rsidR="007E3800" w:rsidRPr="00581229" w:rsidRDefault="007E3800"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405"/>
      <w:gridCol w:w="4466"/>
      <w:gridCol w:w="2348"/>
    </w:tblGrid>
    <w:tr w:rsidR="007E3800" w:rsidRPr="00AA051F" w:rsidTr="00E25D8A">
      <w:tc>
        <w:tcPr>
          <w:tcW w:w="2528" w:type="dxa"/>
          <w:vAlign w:val="center"/>
        </w:tcPr>
        <w:p w:rsidR="007E3800" w:rsidRPr="00AA051F" w:rsidRDefault="007E3800" w:rsidP="00AA051F">
          <w:pPr>
            <w:spacing w:before="20" w:after="40"/>
            <w:jc w:val="center"/>
            <w:rPr>
              <w:color w:val="00948D"/>
              <w:sz w:val="18"/>
              <w:szCs w:val="18"/>
            </w:rPr>
          </w:pPr>
          <w:r>
            <w:rPr>
              <w:color w:val="00948D"/>
              <w:sz w:val="18"/>
              <w:szCs w:val="18"/>
            </w:rPr>
            <w:t>Australian Curriculum</w:t>
          </w:r>
          <w:r>
            <w:rPr>
              <w:color w:val="00948D"/>
              <w:sz w:val="18"/>
              <w:szCs w:val="18"/>
            </w:rPr>
            <w:br/>
            <w:t>Year 2 Mathematics</w:t>
          </w:r>
        </w:p>
      </w:tc>
      <w:tc>
        <w:tcPr>
          <w:tcW w:w="4840" w:type="dxa"/>
          <w:vAlign w:val="center"/>
        </w:tcPr>
        <w:p w:rsidR="007E3800" w:rsidRDefault="007E3800" w:rsidP="005B7A3F">
          <w:pPr>
            <w:pStyle w:val="Footer"/>
            <w:spacing w:before="20" w:after="40"/>
            <w:jc w:val="center"/>
            <w:rPr>
              <w:sz w:val="18"/>
              <w:szCs w:val="18"/>
            </w:rPr>
          </w:pPr>
          <w:r>
            <w:rPr>
              <w:sz w:val="18"/>
              <w:szCs w:val="18"/>
            </w:rPr>
            <w:t>Feet</w:t>
          </w:r>
        </w:p>
        <w:p w:rsidR="007E3800" w:rsidRPr="00AA051F" w:rsidRDefault="007E3800" w:rsidP="002D7E94">
          <w:pPr>
            <w:pStyle w:val="Footer"/>
            <w:spacing w:before="20" w:after="40"/>
            <w:jc w:val="center"/>
            <w:rPr>
              <w:sz w:val="18"/>
              <w:szCs w:val="18"/>
            </w:rPr>
          </w:pPr>
          <w:r>
            <w:rPr>
              <w:sz w:val="18"/>
              <w:szCs w:val="18"/>
            </w:rPr>
            <w:t>Unit: Is the whole greater than the sum of its parts?</w:t>
          </w:r>
        </w:p>
      </w:tc>
      <w:tc>
        <w:tcPr>
          <w:tcW w:w="2487" w:type="dxa"/>
          <w:vAlign w:val="center"/>
        </w:tcPr>
        <w:p w:rsidR="007E3800" w:rsidRPr="00AA051F" w:rsidRDefault="007E3800" w:rsidP="00E25D8A">
          <w:pPr>
            <w:pStyle w:val="Footer"/>
            <w:spacing w:before="20" w:after="40"/>
            <w:jc w:val="center"/>
            <w:rPr>
              <w:sz w:val="18"/>
              <w:szCs w:val="18"/>
            </w:rPr>
          </w:pPr>
          <w:r w:rsidRPr="00AA051F">
            <w:rPr>
              <w:sz w:val="18"/>
              <w:szCs w:val="18"/>
            </w:rPr>
            <w:t>Teacher guidelines</w:t>
          </w:r>
        </w:p>
      </w:tc>
    </w:tr>
  </w:tbl>
  <w:p w:rsidR="007E3800" w:rsidRDefault="007E3800"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00" w:rsidRDefault="007E3800" w:rsidP="00855483">
    <w:pPr>
      <w:pStyle w:val="Footereven"/>
      <w:ind w:left="0"/>
    </w:pPr>
    <w:r>
      <w:rPr>
        <w:noProof/>
        <w:lang w:eastAsia="en-AU"/>
      </w:rPr>
      <w:drawing>
        <wp:anchor distT="0" distB="0" distL="114300" distR="114300" simplePos="0" relativeHeight="251660288" behindDoc="0" locked="0" layoutInCell="1" allowOverlap="1" wp14:anchorId="25FADC0D" wp14:editId="23D8A4C8">
          <wp:simplePos x="180975" y="9267825"/>
          <wp:positionH relativeFrom="page">
            <wp:align>right</wp:align>
          </wp:positionH>
          <wp:positionV relativeFrom="page">
            <wp:align>bottom</wp:align>
          </wp:positionV>
          <wp:extent cx="3304800" cy="954000"/>
          <wp:effectExtent l="0" t="0" r="0" b="0"/>
          <wp:wrapSquare wrapText="bothSides"/>
          <wp:docPr id="5" name="Picture 5"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59264" behindDoc="0" locked="0" layoutInCell="1" allowOverlap="1" wp14:anchorId="49366020" wp14:editId="461292CD">
          <wp:simplePos x="180975" y="9267825"/>
          <wp:positionH relativeFrom="page">
            <wp:align>left</wp:align>
          </wp:positionH>
          <wp:positionV relativeFrom="page">
            <wp:align>bottom</wp:align>
          </wp:positionV>
          <wp:extent cx="2343600" cy="954000"/>
          <wp:effectExtent l="0" t="0" r="0" b="0"/>
          <wp:wrapSquare wrapText="bothSides"/>
          <wp:docPr id="6" name="Picture 6"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E3800" w:rsidRPr="002B765B" w:rsidRDefault="007E3800"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B7B" w:rsidRDefault="00961B7B">
      <w:r>
        <w:separator/>
      </w:r>
    </w:p>
    <w:p w:rsidR="00961B7B" w:rsidRDefault="00961B7B"/>
    <w:p w:rsidR="00961B7B" w:rsidRDefault="00961B7B"/>
  </w:footnote>
  <w:footnote w:type="continuationSeparator" w:id="0">
    <w:p w:rsidR="00961B7B" w:rsidRDefault="00961B7B">
      <w:r>
        <w:continuationSeparator/>
      </w:r>
    </w:p>
    <w:p w:rsidR="00961B7B" w:rsidRDefault="00961B7B"/>
    <w:p w:rsidR="00961B7B" w:rsidRDefault="00961B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00" w:rsidRPr="0084277D" w:rsidRDefault="007E3800" w:rsidP="0084277D">
    <w:pPr>
      <w:pStyle w:val="smallspace0"/>
    </w:pPr>
    <w:r>
      <w:rPr>
        <w:noProof/>
      </w:rPr>
      <w:drawing>
        <wp:anchor distT="0" distB="0" distL="114300" distR="114300" simplePos="0" relativeHeight="251664384" behindDoc="1" locked="0" layoutInCell="1" allowOverlap="1" wp14:anchorId="304D2868" wp14:editId="1B13F17B">
          <wp:simplePos x="0" y="0"/>
          <wp:positionH relativeFrom="page">
            <wp:align>left</wp:align>
          </wp:positionH>
          <wp:positionV relativeFrom="page">
            <wp:align>top</wp:align>
          </wp:positionV>
          <wp:extent cx="7581900" cy="1263650"/>
          <wp:effectExtent l="0" t="0" r="0"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263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00" w:rsidRPr="004A7976" w:rsidRDefault="007E3800" w:rsidP="004A79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7E3800" w:rsidTr="00855483">
      <w:trPr>
        <w:trHeight w:hRule="exact" w:val="1418"/>
      </w:trPr>
      <w:tc>
        <w:tcPr>
          <w:tcW w:w="7169" w:type="dxa"/>
          <w:shd w:val="clear" w:color="auto" w:fill="00948D"/>
          <w:vAlign w:val="center"/>
        </w:tcPr>
        <w:sdt>
          <w:sdtPr>
            <w:rPr>
              <w:color w:val="auto"/>
            </w:rPr>
            <w:alias w:val="Title"/>
            <w:tag w:val="Title"/>
            <w:id w:val="-1121831366"/>
            <w:showingPlcHdr/>
            <w:text/>
          </w:sdtPr>
          <w:sdtEndPr/>
          <w:sdtContent>
            <w:p w:rsidR="007E3800" w:rsidRPr="00A6572F" w:rsidRDefault="007E3800" w:rsidP="00855483">
              <w:pPr>
                <w:pStyle w:val="Title"/>
              </w:pPr>
              <w:r>
                <w:rPr>
                  <w:color w:val="auto"/>
                </w:rPr>
                <w:t xml:space="preserve">     </w:t>
              </w:r>
            </w:p>
          </w:sdtContent>
        </w:sdt>
        <w:p w:rsidR="007E3800" w:rsidRPr="00A6572F" w:rsidRDefault="007E3800" w:rsidP="00855483">
          <w:pPr>
            <w:pStyle w:val="Subtitle"/>
          </w:pPr>
          <w:r>
            <w:fldChar w:fldCharType="begin"/>
          </w:r>
          <w:r>
            <w:instrText xml:space="preserve"> MACROBUTTON  InsertAutoText </w:instrText>
          </w:r>
          <w:r>
            <w:fldChar w:fldCharType="end"/>
          </w:r>
          <w:sdt>
            <w:sdtPr>
              <w:rPr>
                <w:rStyle w:val="SubtitleChar"/>
              </w:rPr>
              <w:alias w:val="Subtitle"/>
              <w:tag w:val="Subtitle"/>
              <w:id w:val="-1537112516"/>
              <w:text/>
            </w:sdtPr>
            <w:sdtEndPr>
              <w:rPr>
                <w:rStyle w:val="SubtitleChar"/>
              </w:rPr>
            </w:sdtEndPr>
            <w:sdtContent>
              <w:r>
                <w:rPr>
                  <w:rStyle w:val="SubtitleChar"/>
                </w:rPr>
                <w:t>Assessment name</w:t>
              </w:r>
            </w:sdtContent>
          </w:sdt>
        </w:p>
      </w:tc>
      <w:tc>
        <w:tcPr>
          <w:tcW w:w="1925" w:type="dxa"/>
          <w:shd w:val="clear" w:color="auto" w:fill="00948D"/>
          <w:noWrap/>
          <w:tcMar>
            <w:top w:w="0" w:type="dxa"/>
            <w:left w:w="0" w:type="dxa"/>
            <w:bottom w:w="0" w:type="dxa"/>
            <w:right w:w="0" w:type="dxa"/>
          </w:tcMar>
        </w:tcPr>
        <w:p w:rsidR="007E3800" w:rsidRPr="003360F9" w:rsidRDefault="007E3800" w:rsidP="002B765B">
          <w:pPr>
            <w:spacing w:before="0"/>
            <w:jc w:val="right"/>
          </w:pPr>
          <w:r>
            <w:rPr>
              <w:noProof/>
            </w:rPr>
            <w:drawing>
              <wp:inline distT="0" distB="0" distL="0" distR="0" wp14:anchorId="3DE41F77" wp14:editId="7397EA0D">
                <wp:extent cx="1050925" cy="896747"/>
                <wp:effectExtent l="0" t="0" r="0" b="0"/>
                <wp:docPr id="4" name="Picture 4"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7E3800" w:rsidRPr="002B765B" w:rsidRDefault="007E3800"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C44"/>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6034776"/>
    <w:multiLevelType w:val="hybridMultilevel"/>
    <w:tmpl w:val="D8C6A444"/>
    <w:lvl w:ilvl="0" w:tplc="2C30878C">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4A66776"/>
    <w:multiLevelType w:val="multilevel"/>
    <w:tmpl w:val="D03C0D98"/>
    <w:numStyleLink w:val="BulletsList"/>
  </w:abstractNum>
  <w:abstractNum w:abstractNumId="4">
    <w:nsid w:val="1522746D"/>
    <w:multiLevelType w:val="hybridMultilevel"/>
    <w:tmpl w:val="DA7EA7F0"/>
    <w:lvl w:ilvl="0" w:tplc="7AE4156A">
      <w:start w:val="1"/>
      <w:numFmt w:val="bullet"/>
      <w:lvlText w:val=""/>
      <w:lvlJc w:val="left"/>
      <w:pPr>
        <w:ind w:left="360" w:hanging="36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1CE36357"/>
    <w:multiLevelType w:val="hybridMultilevel"/>
    <w:tmpl w:val="B07AA3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5C83230"/>
    <w:multiLevelType w:val="hybridMultilevel"/>
    <w:tmpl w:val="1E82C620"/>
    <w:lvl w:ilvl="0" w:tplc="0C090001">
      <w:start w:val="1"/>
      <w:numFmt w:val="bullet"/>
      <w:lvlText w:val=""/>
      <w:lvlJc w:val="left"/>
      <w:pPr>
        <w:ind w:left="775" w:hanging="360"/>
      </w:pPr>
      <w:rPr>
        <w:rFonts w:ascii="Symbol" w:hAnsi="Symbol"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8">
    <w:nsid w:val="306B3286"/>
    <w:multiLevelType w:val="hybridMultilevel"/>
    <w:tmpl w:val="9E583DE6"/>
    <w:lvl w:ilvl="0" w:tplc="F4A40030">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9">
    <w:nsid w:val="38DA36C8"/>
    <w:multiLevelType w:val="hybridMultilevel"/>
    <w:tmpl w:val="076648E8"/>
    <w:lvl w:ilvl="0" w:tplc="FFFFFFFF">
      <w:start w:val="1"/>
      <w:numFmt w:val="bullet"/>
      <w:pStyle w:val="Tablebulletssmaller"/>
      <w:lvlText w:val=""/>
      <w:lvlJc w:val="left"/>
      <w:pPr>
        <w:tabs>
          <w:tab w:val="num" w:pos="397"/>
        </w:tabs>
        <w:ind w:left="397" w:hanging="397"/>
      </w:pPr>
      <w:rPr>
        <w:rFonts w:ascii="Symbol" w:hAnsi="Symbol" w:hint="default"/>
        <w:color w:val="00948D"/>
        <w:sz w:val="20"/>
        <w:szCs w:val="20"/>
      </w:rPr>
    </w:lvl>
    <w:lvl w:ilvl="1" w:tplc="FFFFFFFF">
      <w:start w:val="1"/>
      <w:numFmt w:val="bullet"/>
      <w:lvlText w:val="o"/>
      <w:lvlJc w:val="left"/>
      <w:pPr>
        <w:tabs>
          <w:tab w:val="num" w:pos="1820"/>
        </w:tabs>
        <w:ind w:left="1820" w:hanging="360"/>
      </w:pPr>
      <w:rPr>
        <w:rFonts w:ascii="Courier New" w:hAnsi="Courier New" w:cs="Courier New" w:hint="default"/>
      </w:rPr>
    </w:lvl>
    <w:lvl w:ilvl="2" w:tplc="FFFFFFFF">
      <w:start w:val="2"/>
      <w:numFmt w:val="bullet"/>
      <w:lvlText w:val="-"/>
      <w:lvlJc w:val="left"/>
      <w:pPr>
        <w:tabs>
          <w:tab w:val="num" w:pos="2540"/>
        </w:tabs>
        <w:ind w:left="2540" w:hanging="360"/>
      </w:pPr>
      <w:rPr>
        <w:rFonts w:ascii="Arial" w:eastAsia="Times New Roman" w:hAnsi="Arial" w:cs="Arial" w:hint="default"/>
      </w:rPr>
    </w:lvl>
    <w:lvl w:ilvl="3" w:tplc="FFFFFFFF" w:tentative="1">
      <w:start w:val="1"/>
      <w:numFmt w:val="bullet"/>
      <w:lvlText w:val=""/>
      <w:lvlJc w:val="left"/>
      <w:pPr>
        <w:tabs>
          <w:tab w:val="num" w:pos="3260"/>
        </w:tabs>
        <w:ind w:left="3260" w:hanging="360"/>
      </w:pPr>
      <w:rPr>
        <w:rFonts w:ascii="Symbol" w:hAnsi="Symbol" w:hint="default"/>
      </w:rPr>
    </w:lvl>
    <w:lvl w:ilvl="4" w:tplc="FFFFFFFF" w:tentative="1">
      <w:start w:val="1"/>
      <w:numFmt w:val="bullet"/>
      <w:lvlText w:val="o"/>
      <w:lvlJc w:val="left"/>
      <w:pPr>
        <w:tabs>
          <w:tab w:val="num" w:pos="3980"/>
        </w:tabs>
        <w:ind w:left="3980" w:hanging="360"/>
      </w:pPr>
      <w:rPr>
        <w:rFonts w:ascii="Courier New" w:hAnsi="Courier New" w:cs="Courier New" w:hint="default"/>
      </w:rPr>
    </w:lvl>
    <w:lvl w:ilvl="5" w:tplc="FFFFFFFF" w:tentative="1">
      <w:start w:val="1"/>
      <w:numFmt w:val="bullet"/>
      <w:lvlText w:val=""/>
      <w:lvlJc w:val="left"/>
      <w:pPr>
        <w:tabs>
          <w:tab w:val="num" w:pos="4700"/>
        </w:tabs>
        <w:ind w:left="4700" w:hanging="360"/>
      </w:pPr>
      <w:rPr>
        <w:rFonts w:ascii="Wingdings" w:hAnsi="Wingdings" w:hint="default"/>
      </w:rPr>
    </w:lvl>
    <w:lvl w:ilvl="6" w:tplc="FFFFFFFF" w:tentative="1">
      <w:start w:val="1"/>
      <w:numFmt w:val="bullet"/>
      <w:lvlText w:val=""/>
      <w:lvlJc w:val="left"/>
      <w:pPr>
        <w:tabs>
          <w:tab w:val="num" w:pos="5420"/>
        </w:tabs>
        <w:ind w:left="5420" w:hanging="360"/>
      </w:pPr>
      <w:rPr>
        <w:rFonts w:ascii="Symbol" w:hAnsi="Symbol" w:hint="default"/>
      </w:rPr>
    </w:lvl>
    <w:lvl w:ilvl="7" w:tplc="FFFFFFFF" w:tentative="1">
      <w:start w:val="1"/>
      <w:numFmt w:val="bullet"/>
      <w:lvlText w:val="o"/>
      <w:lvlJc w:val="left"/>
      <w:pPr>
        <w:tabs>
          <w:tab w:val="num" w:pos="6140"/>
        </w:tabs>
        <w:ind w:left="6140" w:hanging="360"/>
      </w:pPr>
      <w:rPr>
        <w:rFonts w:ascii="Courier New" w:hAnsi="Courier New" w:cs="Courier New" w:hint="default"/>
      </w:rPr>
    </w:lvl>
    <w:lvl w:ilvl="8" w:tplc="FFFFFFFF" w:tentative="1">
      <w:start w:val="1"/>
      <w:numFmt w:val="bullet"/>
      <w:lvlText w:val=""/>
      <w:lvlJc w:val="left"/>
      <w:pPr>
        <w:tabs>
          <w:tab w:val="num" w:pos="6860"/>
        </w:tabs>
        <w:ind w:left="6860" w:hanging="360"/>
      </w:pPr>
      <w:rPr>
        <w:rFonts w:ascii="Wingdings" w:hAnsi="Wingdings" w:hint="default"/>
      </w:rPr>
    </w:lvl>
  </w:abstractNum>
  <w:abstractNum w:abstractNumId="10">
    <w:nsid w:val="42365A71"/>
    <w:multiLevelType w:val="hybridMultilevel"/>
    <w:tmpl w:val="E2CC52FE"/>
    <w:lvl w:ilvl="0" w:tplc="2F54267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544407F6"/>
    <w:multiLevelType w:val="hybridMultilevel"/>
    <w:tmpl w:val="554CDA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9195B9C"/>
    <w:multiLevelType w:val="hybridMultilevel"/>
    <w:tmpl w:val="8CB69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5">
    <w:nsid w:val="61EC5378"/>
    <w:multiLevelType w:val="hybridMultilevel"/>
    <w:tmpl w:val="BE3CB7F8"/>
    <w:lvl w:ilvl="0" w:tplc="E50CC136">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4AC7255"/>
    <w:multiLevelType w:val="hybridMultilevel"/>
    <w:tmpl w:val="322047E0"/>
    <w:lvl w:ilvl="0" w:tplc="FBB26DA8">
      <w:start w:val="1"/>
      <w:numFmt w:val="bullet"/>
      <w:lvlText w:val="▪"/>
      <w:lvlJc w:val="left"/>
      <w:pPr>
        <w:tabs>
          <w:tab w:val="num" w:pos="1191"/>
        </w:tabs>
        <w:ind w:left="1191" w:hanging="397"/>
      </w:pPr>
      <w:rPr>
        <w:rFonts w:ascii="Arial" w:hAnsi="Arial" w:hint="default"/>
        <w:b w:val="0"/>
        <w:i w:val="0"/>
        <w:caps w:val="0"/>
        <w:strike w:val="0"/>
        <w:dstrike w:val="0"/>
        <w:vanish w:val="0"/>
        <w:color w:val="00948D"/>
        <w:sz w:val="22"/>
        <w:szCs w:val="22"/>
        <w:vertAlign w:val="base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65594CFB"/>
    <w:multiLevelType w:val="hybridMultilevel"/>
    <w:tmpl w:val="EDB60E24"/>
    <w:lvl w:ilvl="0" w:tplc="0C090001">
      <w:start w:val="1"/>
      <w:numFmt w:val="bullet"/>
      <w:lvlText w:val=""/>
      <w:lvlJc w:val="left"/>
      <w:pPr>
        <w:ind w:left="720" w:hanging="360"/>
      </w:pPr>
      <w:rPr>
        <w:rFonts w:ascii="Symbol" w:hAnsi="Symbol" w:hint="default"/>
      </w:rPr>
    </w:lvl>
    <w:lvl w:ilvl="1" w:tplc="4A88D7B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19">
    <w:nsid w:val="78261626"/>
    <w:multiLevelType w:val="hybridMultilevel"/>
    <w:tmpl w:val="B30C859A"/>
    <w:lvl w:ilvl="0" w:tplc="599AE4CC">
      <w:start w:val="1"/>
      <w:numFmt w:val="lowerRoman"/>
      <w:lvlText w:val="%1."/>
      <w:lvlJc w:val="left"/>
      <w:pPr>
        <w:tabs>
          <w:tab w:val="num" w:pos="1191"/>
        </w:tabs>
        <w:ind w:left="1191"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F3430B4"/>
    <w:multiLevelType w:val="multilevel"/>
    <w:tmpl w:val="D03C0D98"/>
    <w:numStyleLink w:val="BulletsList"/>
  </w:abstractNum>
  <w:num w:numId="1">
    <w:abstractNumId w:val="14"/>
  </w:num>
  <w:num w:numId="2">
    <w:abstractNumId w:val="11"/>
  </w:num>
  <w:num w:numId="3">
    <w:abstractNumId w:val="0"/>
  </w:num>
  <w:num w:numId="4">
    <w:abstractNumId w:val="8"/>
  </w:num>
  <w:num w:numId="5">
    <w:abstractNumId w:val="4"/>
  </w:num>
  <w:num w:numId="6">
    <w:abstractNumId w:val="15"/>
  </w:num>
  <w:num w:numId="7">
    <w:abstractNumId w:val="1"/>
  </w:num>
  <w:num w:numId="8">
    <w:abstractNumId w:val="19"/>
  </w:num>
  <w:num w:numId="9">
    <w:abstractNumId w:val="5"/>
  </w:num>
  <w:num w:numId="10">
    <w:abstractNumId w:val="8"/>
  </w:num>
  <w:num w:numId="11">
    <w:abstractNumId w:val="18"/>
  </w:num>
  <w:num w:numId="12">
    <w:abstractNumId w:val="2"/>
  </w:num>
  <w:num w:numId="13">
    <w:abstractNumId w:val="20"/>
  </w:num>
  <w:num w:numId="14">
    <w:abstractNumId w:val="21"/>
    <w:lvlOverride w:ilvl="0">
      <w:lvl w:ilvl="0">
        <w:start w:val="1"/>
        <w:numFmt w:val="bullet"/>
        <w:lvlText w:val=""/>
        <w:lvlJc w:val="left"/>
        <w:pPr>
          <w:tabs>
            <w:tab w:val="num" w:pos="284"/>
          </w:tabs>
          <w:ind w:left="284" w:hanging="284"/>
        </w:pPr>
        <w:rPr>
          <w:rFonts w:ascii="Symbol" w:hAnsi="Symbol" w:hint="default"/>
          <w:color w:val="00948D"/>
        </w:rPr>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15">
    <w:abstractNumId w:val="11"/>
  </w:num>
  <w:num w:numId="16">
    <w:abstractNumId w:val="20"/>
  </w:num>
  <w:num w:numId="17">
    <w:abstractNumId w:val="3"/>
  </w:num>
  <w:num w:numId="18">
    <w:abstractNumId w:val="12"/>
  </w:num>
  <w:num w:numId="19">
    <w:abstractNumId w:val="13"/>
  </w:num>
  <w:num w:numId="20">
    <w:abstractNumId w:val="7"/>
  </w:num>
  <w:num w:numId="21">
    <w:abstractNumId w:val="6"/>
  </w:num>
  <w:num w:numId="22">
    <w:abstractNumId w:val="17"/>
  </w:num>
  <w:num w:numId="23">
    <w:abstractNumId w:val="8"/>
  </w:num>
  <w:num w:numId="24">
    <w:abstractNumId w:val="10"/>
  </w:num>
  <w:num w:numId="25">
    <w:abstractNumId w:val="8"/>
  </w:num>
  <w:num w:numId="26">
    <w:abstractNumId w:val="9"/>
  </w:num>
  <w:num w:numId="27">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evenAndOddHeaders/>
  <w:drawingGridHorizontalSpacing w:val="110"/>
  <w:drawingGridVerticalSpacing w:val="299"/>
  <w:displayHorizont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5C1"/>
    <w:rsid w:val="00001DE7"/>
    <w:rsid w:val="000025C1"/>
    <w:rsid w:val="000031A4"/>
    <w:rsid w:val="000044FF"/>
    <w:rsid w:val="0000651C"/>
    <w:rsid w:val="00010FBE"/>
    <w:rsid w:val="00014040"/>
    <w:rsid w:val="0001588C"/>
    <w:rsid w:val="00025D91"/>
    <w:rsid w:val="00026388"/>
    <w:rsid w:val="00026842"/>
    <w:rsid w:val="00027AF7"/>
    <w:rsid w:val="00030DAB"/>
    <w:rsid w:val="00032344"/>
    <w:rsid w:val="00032413"/>
    <w:rsid w:val="0003252B"/>
    <w:rsid w:val="00032A99"/>
    <w:rsid w:val="00033A02"/>
    <w:rsid w:val="00033DBD"/>
    <w:rsid w:val="00035203"/>
    <w:rsid w:val="00042417"/>
    <w:rsid w:val="00042CCA"/>
    <w:rsid w:val="00043015"/>
    <w:rsid w:val="0004461A"/>
    <w:rsid w:val="00045580"/>
    <w:rsid w:val="00046924"/>
    <w:rsid w:val="000543DE"/>
    <w:rsid w:val="00061F57"/>
    <w:rsid w:val="0006205A"/>
    <w:rsid w:val="000658BE"/>
    <w:rsid w:val="000670CC"/>
    <w:rsid w:val="00067264"/>
    <w:rsid w:val="00074284"/>
    <w:rsid w:val="0007560B"/>
    <w:rsid w:val="00076922"/>
    <w:rsid w:val="00083F6D"/>
    <w:rsid w:val="0008572E"/>
    <w:rsid w:val="000869F0"/>
    <w:rsid w:val="00095CC0"/>
    <w:rsid w:val="000964DF"/>
    <w:rsid w:val="000A041A"/>
    <w:rsid w:val="000A0941"/>
    <w:rsid w:val="000A1078"/>
    <w:rsid w:val="000A1E86"/>
    <w:rsid w:val="000A5738"/>
    <w:rsid w:val="000A6B3B"/>
    <w:rsid w:val="000A704A"/>
    <w:rsid w:val="000B2A1B"/>
    <w:rsid w:val="000B2F97"/>
    <w:rsid w:val="000C7031"/>
    <w:rsid w:val="000C76A5"/>
    <w:rsid w:val="000C7E57"/>
    <w:rsid w:val="000D2B55"/>
    <w:rsid w:val="000D2D55"/>
    <w:rsid w:val="000D4545"/>
    <w:rsid w:val="000D4D91"/>
    <w:rsid w:val="000D7398"/>
    <w:rsid w:val="000E0C91"/>
    <w:rsid w:val="000E1FFE"/>
    <w:rsid w:val="000E30B3"/>
    <w:rsid w:val="000E3F33"/>
    <w:rsid w:val="000E49E2"/>
    <w:rsid w:val="000E535E"/>
    <w:rsid w:val="000E7C57"/>
    <w:rsid w:val="000F1EC4"/>
    <w:rsid w:val="000F5B5E"/>
    <w:rsid w:val="000F76B4"/>
    <w:rsid w:val="000F76EF"/>
    <w:rsid w:val="001029DB"/>
    <w:rsid w:val="001036F2"/>
    <w:rsid w:val="00103B53"/>
    <w:rsid w:val="00103E73"/>
    <w:rsid w:val="0010639F"/>
    <w:rsid w:val="001065FB"/>
    <w:rsid w:val="00107966"/>
    <w:rsid w:val="001148F8"/>
    <w:rsid w:val="001171E5"/>
    <w:rsid w:val="00122937"/>
    <w:rsid w:val="00124A32"/>
    <w:rsid w:val="00125EF7"/>
    <w:rsid w:val="00126BC8"/>
    <w:rsid w:val="00130772"/>
    <w:rsid w:val="00135475"/>
    <w:rsid w:val="00135C0D"/>
    <w:rsid w:val="00140672"/>
    <w:rsid w:val="00141C43"/>
    <w:rsid w:val="00145391"/>
    <w:rsid w:val="00145412"/>
    <w:rsid w:val="00145904"/>
    <w:rsid w:val="00145C6C"/>
    <w:rsid w:val="00147170"/>
    <w:rsid w:val="0015354A"/>
    <w:rsid w:val="001548ED"/>
    <w:rsid w:val="001551A7"/>
    <w:rsid w:val="001703E9"/>
    <w:rsid w:val="001739A8"/>
    <w:rsid w:val="00174891"/>
    <w:rsid w:val="00177597"/>
    <w:rsid w:val="00177A03"/>
    <w:rsid w:val="001826BD"/>
    <w:rsid w:val="0018407F"/>
    <w:rsid w:val="00190A27"/>
    <w:rsid w:val="00193ED0"/>
    <w:rsid w:val="001947AE"/>
    <w:rsid w:val="00196445"/>
    <w:rsid w:val="001A0222"/>
    <w:rsid w:val="001A3E7D"/>
    <w:rsid w:val="001A51A3"/>
    <w:rsid w:val="001A7D7B"/>
    <w:rsid w:val="001C4039"/>
    <w:rsid w:val="001C546A"/>
    <w:rsid w:val="001C6D32"/>
    <w:rsid w:val="001C6DF4"/>
    <w:rsid w:val="001C7FCA"/>
    <w:rsid w:val="001D24DA"/>
    <w:rsid w:val="001D367F"/>
    <w:rsid w:val="001D6C85"/>
    <w:rsid w:val="001E1961"/>
    <w:rsid w:val="001E2984"/>
    <w:rsid w:val="001F0042"/>
    <w:rsid w:val="001F12B6"/>
    <w:rsid w:val="001F1CE1"/>
    <w:rsid w:val="001F2178"/>
    <w:rsid w:val="001F601E"/>
    <w:rsid w:val="00200478"/>
    <w:rsid w:val="002008B6"/>
    <w:rsid w:val="0020301A"/>
    <w:rsid w:val="00205D87"/>
    <w:rsid w:val="00205D97"/>
    <w:rsid w:val="002075A4"/>
    <w:rsid w:val="00207832"/>
    <w:rsid w:val="00210577"/>
    <w:rsid w:val="0021356D"/>
    <w:rsid w:val="002153B1"/>
    <w:rsid w:val="00221C9C"/>
    <w:rsid w:val="00227B1B"/>
    <w:rsid w:val="00233BB5"/>
    <w:rsid w:val="00240CA5"/>
    <w:rsid w:val="00246563"/>
    <w:rsid w:val="002544FC"/>
    <w:rsid w:val="002603CE"/>
    <w:rsid w:val="00261676"/>
    <w:rsid w:val="00263E4C"/>
    <w:rsid w:val="002656FF"/>
    <w:rsid w:val="00272E7C"/>
    <w:rsid w:val="00274EBE"/>
    <w:rsid w:val="002757C5"/>
    <w:rsid w:val="00286A7F"/>
    <w:rsid w:val="00292FF4"/>
    <w:rsid w:val="00294298"/>
    <w:rsid w:val="002956F6"/>
    <w:rsid w:val="0029649B"/>
    <w:rsid w:val="002A67D6"/>
    <w:rsid w:val="002B259B"/>
    <w:rsid w:val="002B61E8"/>
    <w:rsid w:val="002B66CD"/>
    <w:rsid w:val="002B7566"/>
    <w:rsid w:val="002B765B"/>
    <w:rsid w:val="002B7D96"/>
    <w:rsid w:val="002C1F67"/>
    <w:rsid w:val="002C3949"/>
    <w:rsid w:val="002C6890"/>
    <w:rsid w:val="002D132A"/>
    <w:rsid w:val="002D173C"/>
    <w:rsid w:val="002D290F"/>
    <w:rsid w:val="002D2EB1"/>
    <w:rsid w:val="002D3E26"/>
    <w:rsid w:val="002D5324"/>
    <w:rsid w:val="002D7673"/>
    <w:rsid w:val="002D7859"/>
    <w:rsid w:val="002D78A5"/>
    <w:rsid w:val="002D7E94"/>
    <w:rsid w:val="002E33DE"/>
    <w:rsid w:val="002E4C72"/>
    <w:rsid w:val="002E739C"/>
    <w:rsid w:val="002F25CE"/>
    <w:rsid w:val="002F33A4"/>
    <w:rsid w:val="002F3B4B"/>
    <w:rsid w:val="0030281B"/>
    <w:rsid w:val="003044FC"/>
    <w:rsid w:val="00304C72"/>
    <w:rsid w:val="00322B93"/>
    <w:rsid w:val="003266CD"/>
    <w:rsid w:val="00330CF7"/>
    <w:rsid w:val="00335ADE"/>
    <w:rsid w:val="003406AC"/>
    <w:rsid w:val="003425AB"/>
    <w:rsid w:val="00345A5C"/>
    <w:rsid w:val="003465AA"/>
    <w:rsid w:val="00346E9C"/>
    <w:rsid w:val="003547DB"/>
    <w:rsid w:val="0035700C"/>
    <w:rsid w:val="00362472"/>
    <w:rsid w:val="0036333C"/>
    <w:rsid w:val="003636A6"/>
    <w:rsid w:val="0036522C"/>
    <w:rsid w:val="003664A3"/>
    <w:rsid w:val="003701E0"/>
    <w:rsid w:val="00372E92"/>
    <w:rsid w:val="00374361"/>
    <w:rsid w:val="00374483"/>
    <w:rsid w:val="00384F3B"/>
    <w:rsid w:val="00386638"/>
    <w:rsid w:val="00393E8B"/>
    <w:rsid w:val="00396C14"/>
    <w:rsid w:val="003A1A44"/>
    <w:rsid w:val="003A2F5E"/>
    <w:rsid w:val="003A3484"/>
    <w:rsid w:val="003A3B32"/>
    <w:rsid w:val="003B07B0"/>
    <w:rsid w:val="003B7762"/>
    <w:rsid w:val="003D4F91"/>
    <w:rsid w:val="003D73D8"/>
    <w:rsid w:val="003D7CEA"/>
    <w:rsid w:val="003E0A5E"/>
    <w:rsid w:val="003E0E83"/>
    <w:rsid w:val="003E62B0"/>
    <w:rsid w:val="003F1A88"/>
    <w:rsid w:val="003F1B1C"/>
    <w:rsid w:val="003F6AB9"/>
    <w:rsid w:val="004005C2"/>
    <w:rsid w:val="00401FC1"/>
    <w:rsid w:val="00402392"/>
    <w:rsid w:val="00407B37"/>
    <w:rsid w:val="00411FD8"/>
    <w:rsid w:val="0041250C"/>
    <w:rsid w:val="00412D11"/>
    <w:rsid w:val="004145C3"/>
    <w:rsid w:val="00415241"/>
    <w:rsid w:val="00415B31"/>
    <w:rsid w:val="004167A6"/>
    <w:rsid w:val="00417E9D"/>
    <w:rsid w:val="00421B16"/>
    <w:rsid w:val="00423A60"/>
    <w:rsid w:val="00423B46"/>
    <w:rsid w:val="004262FC"/>
    <w:rsid w:val="00437349"/>
    <w:rsid w:val="004419DA"/>
    <w:rsid w:val="00443FB3"/>
    <w:rsid w:val="00444725"/>
    <w:rsid w:val="004456BE"/>
    <w:rsid w:val="0044746A"/>
    <w:rsid w:val="004500FF"/>
    <w:rsid w:val="00450711"/>
    <w:rsid w:val="0045135A"/>
    <w:rsid w:val="004535A9"/>
    <w:rsid w:val="00453BE3"/>
    <w:rsid w:val="00455177"/>
    <w:rsid w:val="00455603"/>
    <w:rsid w:val="004564EB"/>
    <w:rsid w:val="00456DE6"/>
    <w:rsid w:val="00460455"/>
    <w:rsid w:val="00461A0E"/>
    <w:rsid w:val="0046262C"/>
    <w:rsid w:val="00466A76"/>
    <w:rsid w:val="00470904"/>
    <w:rsid w:val="00472DDE"/>
    <w:rsid w:val="004730FF"/>
    <w:rsid w:val="00473D71"/>
    <w:rsid w:val="00474CDB"/>
    <w:rsid w:val="00475EF5"/>
    <w:rsid w:val="00477D9C"/>
    <w:rsid w:val="0048197A"/>
    <w:rsid w:val="00482F79"/>
    <w:rsid w:val="00483F3B"/>
    <w:rsid w:val="00487176"/>
    <w:rsid w:val="00493356"/>
    <w:rsid w:val="004A10E1"/>
    <w:rsid w:val="004A2506"/>
    <w:rsid w:val="004A3149"/>
    <w:rsid w:val="004A36BB"/>
    <w:rsid w:val="004A60BB"/>
    <w:rsid w:val="004A63FF"/>
    <w:rsid w:val="004A68F4"/>
    <w:rsid w:val="004A6B37"/>
    <w:rsid w:val="004A7976"/>
    <w:rsid w:val="004B2147"/>
    <w:rsid w:val="004B706F"/>
    <w:rsid w:val="004C146C"/>
    <w:rsid w:val="004C3081"/>
    <w:rsid w:val="004C38B9"/>
    <w:rsid w:val="004C3954"/>
    <w:rsid w:val="004C43C1"/>
    <w:rsid w:val="004C7384"/>
    <w:rsid w:val="004D04F0"/>
    <w:rsid w:val="004D19DD"/>
    <w:rsid w:val="004D24DE"/>
    <w:rsid w:val="004D6709"/>
    <w:rsid w:val="004E5C44"/>
    <w:rsid w:val="004F313E"/>
    <w:rsid w:val="004F36D4"/>
    <w:rsid w:val="004F3B8B"/>
    <w:rsid w:val="004F6801"/>
    <w:rsid w:val="004F6974"/>
    <w:rsid w:val="0050387B"/>
    <w:rsid w:val="00503E19"/>
    <w:rsid w:val="005052ED"/>
    <w:rsid w:val="00506708"/>
    <w:rsid w:val="005070E0"/>
    <w:rsid w:val="005112E5"/>
    <w:rsid w:val="00517FB8"/>
    <w:rsid w:val="0052010F"/>
    <w:rsid w:val="0052050E"/>
    <w:rsid w:val="0052313B"/>
    <w:rsid w:val="00523E3F"/>
    <w:rsid w:val="0052459A"/>
    <w:rsid w:val="00537D1B"/>
    <w:rsid w:val="005471A7"/>
    <w:rsid w:val="0055092E"/>
    <w:rsid w:val="00552D47"/>
    <w:rsid w:val="0056076A"/>
    <w:rsid w:val="005632AE"/>
    <w:rsid w:val="00565CC8"/>
    <w:rsid w:val="005678C2"/>
    <w:rsid w:val="00570C83"/>
    <w:rsid w:val="00576206"/>
    <w:rsid w:val="00577B53"/>
    <w:rsid w:val="00581229"/>
    <w:rsid w:val="0058169E"/>
    <w:rsid w:val="00582D36"/>
    <w:rsid w:val="00583BD5"/>
    <w:rsid w:val="00586220"/>
    <w:rsid w:val="00587ED4"/>
    <w:rsid w:val="005928D6"/>
    <w:rsid w:val="005A29D0"/>
    <w:rsid w:val="005A54C4"/>
    <w:rsid w:val="005A6DDB"/>
    <w:rsid w:val="005B0F3B"/>
    <w:rsid w:val="005B5FDB"/>
    <w:rsid w:val="005B7A3F"/>
    <w:rsid w:val="005B7EBD"/>
    <w:rsid w:val="005C0BC3"/>
    <w:rsid w:val="005C0F27"/>
    <w:rsid w:val="005C38EE"/>
    <w:rsid w:val="005C4B63"/>
    <w:rsid w:val="005C4F84"/>
    <w:rsid w:val="005C5B93"/>
    <w:rsid w:val="005C68F1"/>
    <w:rsid w:val="005D3480"/>
    <w:rsid w:val="005D605E"/>
    <w:rsid w:val="005D767A"/>
    <w:rsid w:val="005E1659"/>
    <w:rsid w:val="005E1AD6"/>
    <w:rsid w:val="005E6236"/>
    <w:rsid w:val="005E6790"/>
    <w:rsid w:val="005E70B4"/>
    <w:rsid w:val="005F0EE4"/>
    <w:rsid w:val="005F1C74"/>
    <w:rsid w:val="005F3097"/>
    <w:rsid w:val="005F4F5C"/>
    <w:rsid w:val="005F688E"/>
    <w:rsid w:val="005F7BF6"/>
    <w:rsid w:val="00617FEA"/>
    <w:rsid w:val="00622542"/>
    <w:rsid w:val="00622EEE"/>
    <w:rsid w:val="00626613"/>
    <w:rsid w:val="006350A4"/>
    <w:rsid w:val="00640585"/>
    <w:rsid w:val="00640B61"/>
    <w:rsid w:val="006431BA"/>
    <w:rsid w:val="00643C1B"/>
    <w:rsid w:val="00643FEC"/>
    <w:rsid w:val="00644EF5"/>
    <w:rsid w:val="00652626"/>
    <w:rsid w:val="00657FF4"/>
    <w:rsid w:val="00660414"/>
    <w:rsid w:val="00660BE9"/>
    <w:rsid w:val="006649ED"/>
    <w:rsid w:val="00666420"/>
    <w:rsid w:val="006733E3"/>
    <w:rsid w:val="00675426"/>
    <w:rsid w:val="00677F9B"/>
    <w:rsid w:val="00680FA3"/>
    <w:rsid w:val="00683898"/>
    <w:rsid w:val="00686DF2"/>
    <w:rsid w:val="00687891"/>
    <w:rsid w:val="00687F39"/>
    <w:rsid w:val="00690B41"/>
    <w:rsid w:val="00696083"/>
    <w:rsid w:val="006A03B7"/>
    <w:rsid w:val="006A0C43"/>
    <w:rsid w:val="006A5222"/>
    <w:rsid w:val="006A5E2B"/>
    <w:rsid w:val="006A651A"/>
    <w:rsid w:val="006B22CB"/>
    <w:rsid w:val="006B57D6"/>
    <w:rsid w:val="006B6B74"/>
    <w:rsid w:val="006B708E"/>
    <w:rsid w:val="006C3CF4"/>
    <w:rsid w:val="006C7B26"/>
    <w:rsid w:val="006D25EB"/>
    <w:rsid w:val="006D27FB"/>
    <w:rsid w:val="006D2954"/>
    <w:rsid w:val="006E229B"/>
    <w:rsid w:val="006E6F88"/>
    <w:rsid w:val="006F1232"/>
    <w:rsid w:val="006F4556"/>
    <w:rsid w:val="006F6BFB"/>
    <w:rsid w:val="00705986"/>
    <w:rsid w:val="0070744C"/>
    <w:rsid w:val="00707D7E"/>
    <w:rsid w:val="00711051"/>
    <w:rsid w:val="0071289B"/>
    <w:rsid w:val="00713C79"/>
    <w:rsid w:val="007211E7"/>
    <w:rsid w:val="00722885"/>
    <w:rsid w:val="00726039"/>
    <w:rsid w:val="007322C6"/>
    <w:rsid w:val="00737522"/>
    <w:rsid w:val="00745EA9"/>
    <w:rsid w:val="00746A42"/>
    <w:rsid w:val="007549F9"/>
    <w:rsid w:val="0076171C"/>
    <w:rsid w:val="007633B9"/>
    <w:rsid w:val="00774078"/>
    <w:rsid w:val="007828A0"/>
    <w:rsid w:val="00783EF7"/>
    <w:rsid w:val="00791E9D"/>
    <w:rsid w:val="00795430"/>
    <w:rsid w:val="00797106"/>
    <w:rsid w:val="007A53E8"/>
    <w:rsid w:val="007A570B"/>
    <w:rsid w:val="007A6A6F"/>
    <w:rsid w:val="007A6EA1"/>
    <w:rsid w:val="007B1478"/>
    <w:rsid w:val="007B1E7A"/>
    <w:rsid w:val="007B407B"/>
    <w:rsid w:val="007C0595"/>
    <w:rsid w:val="007C129E"/>
    <w:rsid w:val="007C3CF3"/>
    <w:rsid w:val="007C5347"/>
    <w:rsid w:val="007C6610"/>
    <w:rsid w:val="007D00B9"/>
    <w:rsid w:val="007D2174"/>
    <w:rsid w:val="007E14E8"/>
    <w:rsid w:val="007E1FB5"/>
    <w:rsid w:val="007E3800"/>
    <w:rsid w:val="007E467E"/>
    <w:rsid w:val="007F1239"/>
    <w:rsid w:val="007F49F6"/>
    <w:rsid w:val="007F7FE9"/>
    <w:rsid w:val="008108D8"/>
    <w:rsid w:val="008207CD"/>
    <w:rsid w:val="00825079"/>
    <w:rsid w:val="00827653"/>
    <w:rsid w:val="00831B60"/>
    <w:rsid w:val="008331B9"/>
    <w:rsid w:val="00837EE0"/>
    <w:rsid w:val="008406A0"/>
    <w:rsid w:val="0084204D"/>
    <w:rsid w:val="00842772"/>
    <w:rsid w:val="0084277D"/>
    <w:rsid w:val="00842D41"/>
    <w:rsid w:val="0084713D"/>
    <w:rsid w:val="008543B9"/>
    <w:rsid w:val="00855483"/>
    <w:rsid w:val="00863D9B"/>
    <w:rsid w:val="008641B0"/>
    <w:rsid w:val="008671C0"/>
    <w:rsid w:val="00871287"/>
    <w:rsid w:val="008721B3"/>
    <w:rsid w:val="00875983"/>
    <w:rsid w:val="00881EFD"/>
    <w:rsid w:val="0088630F"/>
    <w:rsid w:val="0089026E"/>
    <w:rsid w:val="00892BDE"/>
    <w:rsid w:val="00893B6D"/>
    <w:rsid w:val="008A12B0"/>
    <w:rsid w:val="008A1957"/>
    <w:rsid w:val="008A31C9"/>
    <w:rsid w:val="008A3ADA"/>
    <w:rsid w:val="008A5AEB"/>
    <w:rsid w:val="008A6D1A"/>
    <w:rsid w:val="008B0A6A"/>
    <w:rsid w:val="008B1236"/>
    <w:rsid w:val="008B33F2"/>
    <w:rsid w:val="008B43D0"/>
    <w:rsid w:val="008B4E49"/>
    <w:rsid w:val="008C1980"/>
    <w:rsid w:val="008C4F74"/>
    <w:rsid w:val="008C617B"/>
    <w:rsid w:val="008C7857"/>
    <w:rsid w:val="008C78DF"/>
    <w:rsid w:val="008D0E30"/>
    <w:rsid w:val="008D55A1"/>
    <w:rsid w:val="008D7C48"/>
    <w:rsid w:val="008E05BD"/>
    <w:rsid w:val="008E1D6A"/>
    <w:rsid w:val="008E67BA"/>
    <w:rsid w:val="008F2064"/>
    <w:rsid w:val="008F2C5C"/>
    <w:rsid w:val="008F5B60"/>
    <w:rsid w:val="008F5E1C"/>
    <w:rsid w:val="008F6F2A"/>
    <w:rsid w:val="00902F1C"/>
    <w:rsid w:val="00903406"/>
    <w:rsid w:val="00905E95"/>
    <w:rsid w:val="00906568"/>
    <w:rsid w:val="00907A41"/>
    <w:rsid w:val="009126E0"/>
    <w:rsid w:val="00912EE6"/>
    <w:rsid w:val="00917E4B"/>
    <w:rsid w:val="0092155C"/>
    <w:rsid w:val="0092220E"/>
    <w:rsid w:val="00927B91"/>
    <w:rsid w:val="009315C5"/>
    <w:rsid w:val="00931B2E"/>
    <w:rsid w:val="00932DF4"/>
    <w:rsid w:val="00933AC0"/>
    <w:rsid w:val="009365F4"/>
    <w:rsid w:val="00942E82"/>
    <w:rsid w:val="0094556A"/>
    <w:rsid w:val="00945A05"/>
    <w:rsid w:val="0094644D"/>
    <w:rsid w:val="00947255"/>
    <w:rsid w:val="00954490"/>
    <w:rsid w:val="00954542"/>
    <w:rsid w:val="0095680B"/>
    <w:rsid w:val="00961B7B"/>
    <w:rsid w:val="00962C2E"/>
    <w:rsid w:val="00962F1D"/>
    <w:rsid w:val="009747FE"/>
    <w:rsid w:val="00980DE3"/>
    <w:rsid w:val="00981390"/>
    <w:rsid w:val="00982365"/>
    <w:rsid w:val="00985391"/>
    <w:rsid w:val="00990074"/>
    <w:rsid w:val="009915CF"/>
    <w:rsid w:val="00993BCB"/>
    <w:rsid w:val="0099456A"/>
    <w:rsid w:val="0099497D"/>
    <w:rsid w:val="0099576A"/>
    <w:rsid w:val="00997970"/>
    <w:rsid w:val="00997F6F"/>
    <w:rsid w:val="009A27C6"/>
    <w:rsid w:val="009A2E8A"/>
    <w:rsid w:val="009A789C"/>
    <w:rsid w:val="009B25E8"/>
    <w:rsid w:val="009B5B3B"/>
    <w:rsid w:val="009C258C"/>
    <w:rsid w:val="009C39B5"/>
    <w:rsid w:val="009C4175"/>
    <w:rsid w:val="009E0C80"/>
    <w:rsid w:val="009E5523"/>
    <w:rsid w:val="009E7A73"/>
    <w:rsid w:val="009F0CDF"/>
    <w:rsid w:val="009F3B2A"/>
    <w:rsid w:val="009F6B3E"/>
    <w:rsid w:val="00A002C7"/>
    <w:rsid w:val="00A01B55"/>
    <w:rsid w:val="00A1151F"/>
    <w:rsid w:val="00A1382A"/>
    <w:rsid w:val="00A1505C"/>
    <w:rsid w:val="00A17CED"/>
    <w:rsid w:val="00A20D15"/>
    <w:rsid w:val="00A21585"/>
    <w:rsid w:val="00A2191A"/>
    <w:rsid w:val="00A224CD"/>
    <w:rsid w:val="00A23112"/>
    <w:rsid w:val="00A25984"/>
    <w:rsid w:val="00A3109F"/>
    <w:rsid w:val="00A3143A"/>
    <w:rsid w:val="00A3396F"/>
    <w:rsid w:val="00A33AE0"/>
    <w:rsid w:val="00A35D3B"/>
    <w:rsid w:val="00A44C54"/>
    <w:rsid w:val="00A508A9"/>
    <w:rsid w:val="00A5506A"/>
    <w:rsid w:val="00A552F0"/>
    <w:rsid w:val="00A55FB3"/>
    <w:rsid w:val="00A56E0D"/>
    <w:rsid w:val="00A57ACC"/>
    <w:rsid w:val="00A57ED4"/>
    <w:rsid w:val="00A62ECB"/>
    <w:rsid w:val="00A63230"/>
    <w:rsid w:val="00A6791A"/>
    <w:rsid w:val="00A72C38"/>
    <w:rsid w:val="00A74640"/>
    <w:rsid w:val="00A758CA"/>
    <w:rsid w:val="00A763A1"/>
    <w:rsid w:val="00A77A42"/>
    <w:rsid w:val="00A80197"/>
    <w:rsid w:val="00A84B3A"/>
    <w:rsid w:val="00A84EFE"/>
    <w:rsid w:val="00A93A2E"/>
    <w:rsid w:val="00A9716F"/>
    <w:rsid w:val="00AA051F"/>
    <w:rsid w:val="00AA1612"/>
    <w:rsid w:val="00AB70C8"/>
    <w:rsid w:val="00AB7E76"/>
    <w:rsid w:val="00AC332E"/>
    <w:rsid w:val="00AD05B1"/>
    <w:rsid w:val="00AD284F"/>
    <w:rsid w:val="00AD52D9"/>
    <w:rsid w:val="00AD736C"/>
    <w:rsid w:val="00AE2D4C"/>
    <w:rsid w:val="00AE470C"/>
    <w:rsid w:val="00AE7F34"/>
    <w:rsid w:val="00AF07E3"/>
    <w:rsid w:val="00AF39B0"/>
    <w:rsid w:val="00AF5074"/>
    <w:rsid w:val="00AF543B"/>
    <w:rsid w:val="00AF5C0B"/>
    <w:rsid w:val="00B0121E"/>
    <w:rsid w:val="00B02A7A"/>
    <w:rsid w:val="00B04CEE"/>
    <w:rsid w:val="00B05173"/>
    <w:rsid w:val="00B054E4"/>
    <w:rsid w:val="00B101E4"/>
    <w:rsid w:val="00B1084C"/>
    <w:rsid w:val="00B119DF"/>
    <w:rsid w:val="00B13144"/>
    <w:rsid w:val="00B16CD9"/>
    <w:rsid w:val="00B2385C"/>
    <w:rsid w:val="00B315B6"/>
    <w:rsid w:val="00B3261F"/>
    <w:rsid w:val="00B32A15"/>
    <w:rsid w:val="00B34144"/>
    <w:rsid w:val="00B42805"/>
    <w:rsid w:val="00B431FD"/>
    <w:rsid w:val="00B4591B"/>
    <w:rsid w:val="00B51B3C"/>
    <w:rsid w:val="00B5526C"/>
    <w:rsid w:val="00B57D25"/>
    <w:rsid w:val="00B62E37"/>
    <w:rsid w:val="00B643B5"/>
    <w:rsid w:val="00B64E3D"/>
    <w:rsid w:val="00B656AD"/>
    <w:rsid w:val="00B675F6"/>
    <w:rsid w:val="00B73480"/>
    <w:rsid w:val="00B75D50"/>
    <w:rsid w:val="00B84A97"/>
    <w:rsid w:val="00B8634B"/>
    <w:rsid w:val="00B94A92"/>
    <w:rsid w:val="00B96164"/>
    <w:rsid w:val="00B96348"/>
    <w:rsid w:val="00B96411"/>
    <w:rsid w:val="00B96A7D"/>
    <w:rsid w:val="00BA5999"/>
    <w:rsid w:val="00BA5AF0"/>
    <w:rsid w:val="00BB0E44"/>
    <w:rsid w:val="00BB200B"/>
    <w:rsid w:val="00BB2CB1"/>
    <w:rsid w:val="00BB650E"/>
    <w:rsid w:val="00BB69CF"/>
    <w:rsid w:val="00BC0BD9"/>
    <w:rsid w:val="00BC3210"/>
    <w:rsid w:val="00BC4962"/>
    <w:rsid w:val="00BC6005"/>
    <w:rsid w:val="00BC7A1D"/>
    <w:rsid w:val="00BD1472"/>
    <w:rsid w:val="00BD7002"/>
    <w:rsid w:val="00BD7FC5"/>
    <w:rsid w:val="00BE042C"/>
    <w:rsid w:val="00BE1105"/>
    <w:rsid w:val="00BE34F9"/>
    <w:rsid w:val="00BE5FDA"/>
    <w:rsid w:val="00BE6DA1"/>
    <w:rsid w:val="00BF5D9A"/>
    <w:rsid w:val="00C032ED"/>
    <w:rsid w:val="00C04C9E"/>
    <w:rsid w:val="00C0510B"/>
    <w:rsid w:val="00C06B50"/>
    <w:rsid w:val="00C13373"/>
    <w:rsid w:val="00C15956"/>
    <w:rsid w:val="00C176C1"/>
    <w:rsid w:val="00C17C5D"/>
    <w:rsid w:val="00C31323"/>
    <w:rsid w:val="00C313F2"/>
    <w:rsid w:val="00C31DBB"/>
    <w:rsid w:val="00C32150"/>
    <w:rsid w:val="00C34854"/>
    <w:rsid w:val="00C4086D"/>
    <w:rsid w:val="00C42C86"/>
    <w:rsid w:val="00C44783"/>
    <w:rsid w:val="00C46E47"/>
    <w:rsid w:val="00C500CF"/>
    <w:rsid w:val="00C518D4"/>
    <w:rsid w:val="00C52CEF"/>
    <w:rsid w:val="00C55786"/>
    <w:rsid w:val="00C575C3"/>
    <w:rsid w:val="00C61DBF"/>
    <w:rsid w:val="00C64244"/>
    <w:rsid w:val="00C65786"/>
    <w:rsid w:val="00C6672A"/>
    <w:rsid w:val="00C66DDE"/>
    <w:rsid w:val="00C710F5"/>
    <w:rsid w:val="00C75BF3"/>
    <w:rsid w:val="00C80AA2"/>
    <w:rsid w:val="00C832FB"/>
    <w:rsid w:val="00C83A04"/>
    <w:rsid w:val="00C8500A"/>
    <w:rsid w:val="00C86A6D"/>
    <w:rsid w:val="00C90043"/>
    <w:rsid w:val="00C90DCF"/>
    <w:rsid w:val="00C90FE0"/>
    <w:rsid w:val="00C93059"/>
    <w:rsid w:val="00CA11A8"/>
    <w:rsid w:val="00CA3D1F"/>
    <w:rsid w:val="00CA62B6"/>
    <w:rsid w:val="00CB2FD6"/>
    <w:rsid w:val="00CC1119"/>
    <w:rsid w:val="00CC1967"/>
    <w:rsid w:val="00CC1BEC"/>
    <w:rsid w:val="00CC3162"/>
    <w:rsid w:val="00CC31A9"/>
    <w:rsid w:val="00CC3D59"/>
    <w:rsid w:val="00CC73EE"/>
    <w:rsid w:val="00CC76F5"/>
    <w:rsid w:val="00CD553C"/>
    <w:rsid w:val="00CD7584"/>
    <w:rsid w:val="00CE028D"/>
    <w:rsid w:val="00CE1AC5"/>
    <w:rsid w:val="00CF1348"/>
    <w:rsid w:val="00CF3501"/>
    <w:rsid w:val="00CF566E"/>
    <w:rsid w:val="00CF66D1"/>
    <w:rsid w:val="00D00F57"/>
    <w:rsid w:val="00D02E2F"/>
    <w:rsid w:val="00D1265B"/>
    <w:rsid w:val="00D14799"/>
    <w:rsid w:val="00D14D37"/>
    <w:rsid w:val="00D15107"/>
    <w:rsid w:val="00D15E91"/>
    <w:rsid w:val="00D1758B"/>
    <w:rsid w:val="00D22E27"/>
    <w:rsid w:val="00D22FF0"/>
    <w:rsid w:val="00D256AF"/>
    <w:rsid w:val="00D32FF2"/>
    <w:rsid w:val="00D3575B"/>
    <w:rsid w:val="00D368B1"/>
    <w:rsid w:val="00D41726"/>
    <w:rsid w:val="00D43C31"/>
    <w:rsid w:val="00D44DBA"/>
    <w:rsid w:val="00D60634"/>
    <w:rsid w:val="00D6503F"/>
    <w:rsid w:val="00D65AD7"/>
    <w:rsid w:val="00D71542"/>
    <w:rsid w:val="00D71B49"/>
    <w:rsid w:val="00D75580"/>
    <w:rsid w:val="00D7560B"/>
    <w:rsid w:val="00D77150"/>
    <w:rsid w:val="00D819F7"/>
    <w:rsid w:val="00D8768B"/>
    <w:rsid w:val="00D87F03"/>
    <w:rsid w:val="00D90209"/>
    <w:rsid w:val="00D968D0"/>
    <w:rsid w:val="00DA05CF"/>
    <w:rsid w:val="00DA0E48"/>
    <w:rsid w:val="00DA13A4"/>
    <w:rsid w:val="00DA1F91"/>
    <w:rsid w:val="00DA2605"/>
    <w:rsid w:val="00DA3F5B"/>
    <w:rsid w:val="00DA4B94"/>
    <w:rsid w:val="00DB0D98"/>
    <w:rsid w:val="00DB5734"/>
    <w:rsid w:val="00DB5E2A"/>
    <w:rsid w:val="00DB74F6"/>
    <w:rsid w:val="00DB7B18"/>
    <w:rsid w:val="00DC0B7F"/>
    <w:rsid w:val="00DC1384"/>
    <w:rsid w:val="00DC1961"/>
    <w:rsid w:val="00DC2DC8"/>
    <w:rsid w:val="00DC4258"/>
    <w:rsid w:val="00DC69C5"/>
    <w:rsid w:val="00DC7E44"/>
    <w:rsid w:val="00DD73DB"/>
    <w:rsid w:val="00DD75F1"/>
    <w:rsid w:val="00DE2DC2"/>
    <w:rsid w:val="00DE3D0D"/>
    <w:rsid w:val="00DE3E6E"/>
    <w:rsid w:val="00DE4579"/>
    <w:rsid w:val="00DE4B3F"/>
    <w:rsid w:val="00DE7B47"/>
    <w:rsid w:val="00DF08A9"/>
    <w:rsid w:val="00DF2D72"/>
    <w:rsid w:val="00E018D4"/>
    <w:rsid w:val="00E06E5D"/>
    <w:rsid w:val="00E14A79"/>
    <w:rsid w:val="00E1552A"/>
    <w:rsid w:val="00E2355E"/>
    <w:rsid w:val="00E24044"/>
    <w:rsid w:val="00E24553"/>
    <w:rsid w:val="00E24DA5"/>
    <w:rsid w:val="00E25D8A"/>
    <w:rsid w:val="00E35CD6"/>
    <w:rsid w:val="00E369AD"/>
    <w:rsid w:val="00E37EC9"/>
    <w:rsid w:val="00E40497"/>
    <w:rsid w:val="00E411C4"/>
    <w:rsid w:val="00E4148E"/>
    <w:rsid w:val="00E43E7D"/>
    <w:rsid w:val="00E450BE"/>
    <w:rsid w:val="00E45D49"/>
    <w:rsid w:val="00E511A5"/>
    <w:rsid w:val="00E5782E"/>
    <w:rsid w:val="00E60AE0"/>
    <w:rsid w:val="00E62256"/>
    <w:rsid w:val="00E65F68"/>
    <w:rsid w:val="00E71123"/>
    <w:rsid w:val="00E71855"/>
    <w:rsid w:val="00E72FE7"/>
    <w:rsid w:val="00E80F35"/>
    <w:rsid w:val="00E825FE"/>
    <w:rsid w:val="00E83BAD"/>
    <w:rsid w:val="00E867CE"/>
    <w:rsid w:val="00E87E71"/>
    <w:rsid w:val="00E96274"/>
    <w:rsid w:val="00E965F1"/>
    <w:rsid w:val="00EA06E5"/>
    <w:rsid w:val="00EA1796"/>
    <w:rsid w:val="00EA2AEC"/>
    <w:rsid w:val="00EB4E34"/>
    <w:rsid w:val="00EB7994"/>
    <w:rsid w:val="00EC22F9"/>
    <w:rsid w:val="00EC46AF"/>
    <w:rsid w:val="00EC6F49"/>
    <w:rsid w:val="00EC7874"/>
    <w:rsid w:val="00EC7E25"/>
    <w:rsid w:val="00ED24F3"/>
    <w:rsid w:val="00ED6C05"/>
    <w:rsid w:val="00EE0AFE"/>
    <w:rsid w:val="00EE15F5"/>
    <w:rsid w:val="00EE2DC7"/>
    <w:rsid w:val="00EE3FF8"/>
    <w:rsid w:val="00EF12C0"/>
    <w:rsid w:val="00F07038"/>
    <w:rsid w:val="00F10465"/>
    <w:rsid w:val="00F11918"/>
    <w:rsid w:val="00F142C3"/>
    <w:rsid w:val="00F14D9C"/>
    <w:rsid w:val="00F15CA5"/>
    <w:rsid w:val="00F16EBF"/>
    <w:rsid w:val="00F243E8"/>
    <w:rsid w:val="00F245EB"/>
    <w:rsid w:val="00F24A94"/>
    <w:rsid w:val="00F25591"/>
    <w:rsid w:val="00F30500"/>
    <w:rsid w:val="00F3327C"/>
    <w:rsid w:val="00F4206B"/>
    <w:rsid w:val="00F43651"/>
    <w:rsid w:val="00F50ED8"/>
    <w:rsid w:val="00F50F92"/>
    <w:rsid w:val="00F551FC"/>
    <w:rsid w:val="00F555A1"/>
    <w:rsid w:val="00F55890"/>
    <w:rsid w:val="00F561C0"/>
    <w:rsid w:val="00F62716"/>
    <w:rsid w:val="00F662FF"/>
    <w:rsid w:val="00F6724A"/>
    <w:rsid w:val="00F70789"/>
    <w:rsid w:val="00F7378C"/>
    <w:rsid w:val="00F744DD"/>
    <w:rsid w:val="00F77464"/>
    <w:rsid w:val="00F8272A"/>
    <w:rsid w:val="00F83B0A"/>
    <w:rsid w:val="00F84BCA"/>
    <w:rsid w:val="00F858B5"/>
    <w:rsid w:val="00F91E54"/>
    <w:rsid w:val="00F94067"/>
    <w:rsid w:val="00F95E3F"/>
    <w:rsid w:val="00F96E23"/>
    <w:rsid w:val="00F97316"/>
    <w:rsid w:val="00F97B1E"/>
    <w:rsid w:val="00FA0595"/>
    <w:rsid w:val="00FA449E"/>
    <w:rsid w:val="00FA771A"/>
    <w:rsid w:val="00FB00F1"/>
    <w:rsid w:val="00FB1D8F"/>
    <w:rsid w:val="00FB1EBC"/>
    <w:rsid w:val="00FB3688"/>
    <w:rsid w:val="00FC195A"/>
    <w:rsid w:val="00FC4958"/>
    <w:rsid w:val="00FD01ED"/>
    <w:rsid w:val="00FD4236"/>
    <w:rsid w:val="00FD6CF5"/>
    <w:rsid w:val="00FD6F17"/>
    <w:rsid w:val="00FE09CB"/>
    <w:rsid w:val="00FE7F08"/>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DC196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rsid w:val="00DC1961"/>
  </w:style>
  <w:style w:type="paragraph" w:customStyle="1" w:styleId="Tablebulletssmaller">
    <w:name w:val="Table bullets smaller"/>
    <w:basedOn w:val="Tablebullets"/>
    <w:link w:val="TablebulletssmallerChar"/>
    <w:rsid w:val="00AD52D9"/>
    <w:pPr>
      <w:widowControl w:val="0"/>
      <w:numPr>
        <w:numId w:val="26"/>
      </w:numPr>
      <w:spacing w:after="80" w:line="240" w:lineRule="auto"/>
    </w:pPr>
    <w:rPr>
      <w:szCs w:val="21"/>
      <w:lang w:eastAsia="en-AU"/>
    </w:rPr>
  </w:style>
  <w:style w:type="character" w:customStyle="1" w:styleId="TablebulletssmallerChar">
    <w:name w:val="Table bullets smaller Char"/>
    <w:link w:val="Tablebulletssmaller"/>
    <w:rsid w:val="00AD52D9"/>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DC196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rsid w:val="00DC1961"/>
  </w:style>
  <w:style w:type="paragraph" w:customStyle="1" w:styleId="Tablebulletssmaller">
    <w:name w:val="Table bullets smaller"/>
    <w:basedOn w:val="Tablebullets"/>
    <w:link w:val="TablebulletssmallerChar"/>
    <w:rsid w:val="00AD52D9"/>
    <w:pPr>
      <w:widowControl w:val="0"/>
      <w:numPr>
        <w:numId w:val="26"/>
      </w:numPr>
      <w:spacing w:after="80" w:line="240" w:lineRule="auto"/>
    </w:pPr>
    <w:rPr>
      <w:szCs w:val="21"/>
      <w:lang w:eastAsia="en-AU"/>
    </w:rPr>
  </w:style>
  <w:style w:type="character" w:customStyle="1" w:styleId="TablebulletssmallerChar">
    <w:name w:val="Table bullets smaller Char"/>
    <w:link w:val="Tablebulletssmaller"/>
    <w:rsid w:val="00AD52D9"/>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960842098">
      <w:bodyDiv w:val="1"/>
      <w:marLeft w:val="0"/>
      <w:marRight w:val="0"/>
      <w:marTop w:val="0"/>
      <w:marBottom w:val="0"/>
      <w:divBdr>
        <w:top w:val="none" w:sz="0" w:space="0" w:color="auto"/>
        <w:left w:val="none" w:sz="0" w:space="0" w:color="auto"/>
        <w:bottom w:val="none" w:sz="0" w:space="0" w:color="auto"/>
        <w:right w:val="none" w:sz="0" w:space="0" w:color="auto"/>
      </w:divBdr>
    </w:div>
    <w:div w:id="1448499471">
      <w:bodyDiv w:val="1"/>
      <w:marLeft w:val="0"/>
      <w:marRight w:val="0"/>
      <w:marTop w:val="0"/>
      <w:marBottom w:val="0"/>
      <w:divBdr>
        <w:top w:val="none" w:sz="0" w:space="0" w:color="auto"/>
        <w:left w:val="none" w:sz="0" w:space="0" w:color="auto"/>
        <w:bottom w:val="none" w:sz="0" w:space="0" w:color="auto"/>
        <w:right w:val="none" w:sz="0" w:space="0" w:color="auto"/>
      </w:divBdr>
    </w:div>
    <w:div w:id="192807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qsa.qld.edu.au/yr2-maths-resources.html" TargetMode="External"/><Relationship Id="rId26" Type="http://schemas.openxmlformats.org/officeDocument/2006/relationships/hyperlink" Target="http://www.australiancurriculum.edu.au/Curriculum/ContentDescription/ACMSP050" TargetMode="External"/><Relationship Id="rId39" Type="http://schemas.openxmlformats.org/officeDocument/2006/relationships/image" Target="media/image14.png"/><Relationship Id="rId21" Type="http://schemas.openxmlformats.org/officeDocument/2006/relationships/hyperlink" Target="http://www.australiancurriculum.edu.au/Curriculum/ContentDescription/ACMMG037" TargetMode="External"/><Relationship Id="rId34" Type="http://schemas.openxmlformats.org/officeDocument/2006/relationships/image" Target="media/image10.png"/><Relationship Id="rId42" Type="http://schemas.openxmlformats.org/officeDocument/2006/relationships/hyperlink" Target="http://www.australiancurriculum.edu.au/Glossary?a=&amp;t=Identify" TargetMode="External"/><Relationship Id="rId47" Type="http://schemas.openxmlformats.org/officeDocument/2006/relationships/hyperlink" Target="http://www.australiancurriculum.edu.au/Glossary?a=&amp;t=Identify" TargetMode="External"/><Relationship Id="rId50" Type="http://schemas.openxmlformats.org/officeDocument/2006/relationships/hyperlink" Target="http://www.qsa.qld.edu.au/yr2-maths-overview.html" TargetMode="External"/><Relationship Id="rId55" Type="http://schemas.openxmlformats.org/officeDocument/2006/relationships/hyperlink" Target="file:///C:\Users\esan\AppData\Local\Microsoft\Windows\Temporary%20Internet%20Files\Content.Outlook\M7JS2H2T\www.qsa.qld.edu.au\downloads\p_10\ac_math_yr2_se.doc" TargetMode="Externa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qsa.qld.edu.au/downloads/p_10/ac_math_yr2_se.doc" TargetMode="External"/><Relationship Id="rId20" Type="http://schemas.openxmlformats.org/officeDocument/2006/relationships/hyperlink" Target="http://www.australiancurriculum.edu.au/Glossary?a=M&amp;t=Capacity" TargetMode="External"/><Relationship Id="rId29" Type="http://schemas.openxmlformats.org/officeDocument/2006/relationships/image" Target="media/image5.png"/><Relationship Id="rId41" Type="http://schemas.openxmlformats.org/officeDocument/2006/relationships/hyperlink" Target="http://www.australiancurriculum.edu.au/Glossary?a=&amp;t=Represent" TargetMode="External"/><Relationship Id="rId54" Type="http://schemas.openxmlformats.org/officeDocument/2006/relationships/hyperlink" Target="http://www.ag.gov.au" TargetMode="External"/><Relationship Id="rId62"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yperlink" Target="http://www.australiancurriculum.edu.au/Glossary?a=M&amp;t=Data" TargetMode="External"/><Relationship Id="rId32" Type="http://schemas.openxmlformats.org/officeDocument/2006/relationships/image" Target="media/image8.png"/><Relationship Id="rId40" Type="http://schemas.openxmlformats.org/officeDocument/2006/relationships/hyperlink" Target="http://www.australiancurriculum.edu.au/Glossary?a=&amp;t=Recognise" TargetMode="External"/><Relationship Id="rId45" Type="http://schemas.openxmlformats.org/officeDocument/2006/relationships/hyperlink" Target="http://www.australiancurriculum.edu.au/Glossary?a=&amp;t=Familiar" TargetMode="External"/><Relationship Id="rId53" Type="http://schemas.openxmlformats.org/officeDocument/2006/relationships/hyperlink" Target="http://www.mceecdya.edu.au/mceecdya/melbourne_declaration,25979.html" TargetMode="External"/><Relationship Id="rId58"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yperlink" Target="http://www.australiancurriculum.edu.au" TargetMode="External"/><Relationship Id="rId23" Type="http://schemas.openxmlformats.org/officeDocument/2006/relationships/hyperlink" Target="http://www.australiancurriculum.edu.au/Curriculum/ContentDescription/ACMSP049" TargetMode="External"/><Relationship Id="rId28" Type="http://schemas.openxmlformats.org/officeDocument/2006/relationships/image" Target="media/image4.png"/><Relationship Id="rId49" Type="http://schemas.openxmlformats.org/officeDocument/2006/relationships/hyperlink" Target="http://www.australiancurriculum.edu.au" TargetMode="External"/><Relationship Id="rId57" Type="http://schemas.openxmlformats.org/officeDocument/2006/relationships/hyperlink" Target="http://www.qsa.qld.edu.au/downloads/p_10/as_feedback_provide.doc" TargetMode="External"/><Relationship Id="rId61" Type="http://schemas.openxmlformats.org/officeDocument/2006/relationships/header" Target="header3.xml"/><Relationship Id="rId10" Type="http://schemas.openxmlformats.org/officeDocument/2006/relationships/footer" Target="footer1.xml"/><Relationship Id="rId19" Type="http://schemas.openxmlformats.org/officeDocument/2006/relationships/hyperlink" Target="http://www.australiancurriculum.edu.au/Glossary?a=M&amp;t=Volume" TargetMode="External"/><Relationship Id="rId31" Type="http://schemas.openxmlformats.org/officeDocument/2006/relationships/image" Target="media/image7.png"/><Relationship Id="rId44" Type="http://schemas.openxmlformats.org/officeDocument/2006/relationships/hyperlink" Target="http://www.australiancurriculum.edu.au/Glossary?a=&amp;t=Recognise" TargetMode="External"/><Relationship Id="rId52" Type="http://schemas.openxmlformats.org/officeDocument/2006/relationships/hyperlink" Target="http://www.australiancurriculum.edu.au/StudentDiversity/Overview" TargetMode="External"/><Relationship Id="rId60"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australiancurriculum.edu.au/CurriculumHistory" TargetMode="External"/><Relationship Id="rId22" Type="http://schemas.openxmlformats.org/officeDocument/2006/relationships/hyperlink" Target="http://www.australiancurriculum.edu.au/Glossary?a=M&amp;t=Data" TargetMode="External"/><Relationship Id="rId27" Type="http://schemas.openxmlformats.org/officeDocument/2006/relationships/hyperlink" Target="http://www.qsa.qld.edu.au/13656.html" TargetMode="External"/><Relationship Id="rId30" Type="http://schemas.openxmlformats.org/officeDocument/2006/relationships/image" Target="media/image6.png"/><Relationship Id="rId43" Type="http://schemas.openxmlformats.org/officeDocument/2006/relationships/hyperlink" Target="http://www.australiancurriculum.edu.au/Glossary?a=&amp;t=Sequence" TargetMode="External"/><Relationship Id="rId48" Type="http://schemas.openxmlformats.org/officeDocument/2006/relationships/hyperlink" Target="http://www.australiancurriculum.edu.au/Glossary?a=&amp;t=Describe" TargetMode="External"/><Relationship Id="rId56" Type="http://schemas.openxmlformats.org/officeDocument/2006/relationships/hyperlink" Target="http://www.qsa.qld.edu.au/downloads/p_10/as_feedback_about.doc" TargetMode="External"/><Relationship Id="rId64"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www.qsa.qld.edu.au/10188.html" TargetMode="Externa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yperlink" Target="http://www.qsa.qld.edu.au/yr2-maths-overview.html" TargetMode="External"/><Relationship Id="rId25" Type="http://schemas.openxmlformats.org/officeDocument/2006/relationships/hyperlink" Target="http://www.australiancurriculum.edu.au/Glossary?a=M&amp;t=Picture%20graphs" TargetMode="External"/><Relationship Id="rId33" Type="http://schemas.openxmlformats.org/officeDocument/2006/relationships/image" Target="media/image9.png"/><Relationship Id="rId38" Type="http://schemas.openxmlformats.org/officeDocument/2006/relationships/image" Target="media/image13.png"/><Relationship Id="rId46" Type="http://schemas.openxmlformats.org/officeDocument/2006/relationships/hyperlink" Target="http://www.australiancurriculum.edu.au/Glossary?a=&amp;t=Explain" TargetMode="External"/><Relationship Id="rId59" Type="http://schemas.openxmlformats.org/officeDocument/2006/relationships/footer" Target="footer4.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1.wmf"/></Relationships>
</file>

<file path=word/_rels/settings.xml.rels><?xml version="1.0" encoding="UTF-8" standalone="yes"?>
<Relationships xmlns="http://schemas.openxmlformats.org/package/2006/relationships"><Relationship Id="rId1" Type="http://schemas.openxmlformats.org/officeDocument/2006/relationships/attachedTemplate" Target="file:///E:\2013_USB\QSA%202013\Templates\ac_assmt_sum_P-2_tg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Australian Curriculum  Year 1  History Assessment</Title>
  <Subtitle>Assessment name</Subtitle>
</root>
</file>

<file path=customXml/item2.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4A7EC87A-8E8B-46D5-B9B1-5C205B7E6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ac_assmt_sum_P-2_tg_v20.dotx</Template>
  <TotalTime>55</TotalTime>
  <Pages>9</Pages>
  <Words>2694</Words>
  <Characters>19425</Characters>
  <Application>Microsoft Office Word</Application>
  <DocSecurity>0</DocSecurity>
  <Lines>161</Lines>
  <Paragraphs>44</Paragraphs>
  <ScaleCrop>false</ScaleCrop>
  <HeadingPairs>
    <vt:vector size="2" baseType="variant">
      <vt:variant>
        <vt:lpstr>Title</vt:lpstr>
      </vt:variant>
      <vt:variant>
        <vt:i4>1</vt:i4>
      </vt:variant>
    </vt:vector>
  </HeadingPairs>
  <TitlesOfParts>
    <vt:vector size="1" baseType="lpstr">
      <vt:lpstr>Teacher guidelines P–2</vt:lpstr>
    </vt:vector>
  </TitlesOfParts>
  <Company>Queensland Studies Authority</Company>
  <LinksUpToDate>false</LinksUpToDate>
  <CharactersWithSpaces>22075</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guidelines P–2</dc:title>
  <dc:subject>Australian Curriculum Year 2 Mathematics</dc:subject>
  <dc:creator>Queensland Studies Authority</dc:creator>
  <cp:keywords>Sample assessment</cp:keywords>
  <cp:lastModifiedBy>Clare Murphy</cp:lastModifiedBy>
  <cp:revision>10</cp:revision>
  <cp:lastPrinted>2014-04-29T00:22:00Z</cp:lastPrinted>
  <dcterms:created xsi:type="dcterms:W3CDTF">2014-03-27T06:22:00Z</dcterms:created>
  <dcterms:modified xsi:type="dcterms:W3CDTF">2014-04-29T00:25:00Z</dcterms:modified>
  <cp:category>Australian Curriculum</cp:category>
</cp:coreProperties>
</file>