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8BEBC3CC34554C42ADDFE57CC7F1CF5B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110A44">
                  <w:t>5</w:t>
                </w:r>
              </w:sdtContent>
            </w:sdt>
            <w:r>
              <w:t xml:space="preserve"> </w:t>
            </w:r>
            <w:r w:rsidR="00C65176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61FEB3EC68FB4AC88790F7CC08F4A284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56600F0AFFE64FD2B3D78A4460B50A4B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110A44" w:rsidP="00590952">
                <w:pPr>
                  <w:pStyle w:val="Title"/>
                </w:pPr>
                <w:r>
                  <w:t>Investigating natural hazards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bookmarkEnd w:id="1"/>
    <w:bookmarkEnd w:id="2"/>
    <w:bookmarkEnd w:id="3"/>
    <w:bookmarkEnd w:id="4"/>
    <w:p w:rsidR="00950CB6" w:rsidRDefault="00950CB6" w:rsidP="00C24DD5">
      <w:pPr>
        <w:pStyle w:val="Heading1"/>
        <w:spacing w:before="720"/>
        <w:sectPr w:rsidR="00950CB6" w:rsidSect="00A316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 All web links</w:t>
      </w:r>
      <w:r w:rsidR="00037388">
        <w:t xml:space="preserve"> correct at time of publication</w:t>
      </w:r>
      <w:r w:rsidRPr="008134D0">
        <w:t>.</w:t>
      </w:r>
    </w:p>
    <w:p w:rsidR="00EF191A" w:rsidRDefault="008B3836" w:rsidP="00AF5444">
      <w:pPr>
        <w:pStyle w:val="Heading2"/>
      </w:pPr>
      <w:bookmarkStart w:id="5" w:name="_Toc381954907"/>
      <w:r>
        <w:t>Cartographic</w:t>
      </w:r>
      <w:r w:rsidR="00EF191A">
        <w:t xml:space="preserve"> conventions</w:t>
      </w:r>
      <w:bookmarkStart w:id="6" w:name="_GoBack"/>
      <w:bookmarkEnd w:id="6"/>
    </w:p>
    <w:p w:rsidR="00EF191A" w:rsidRPr="00EF191A" w:rsidRDefault="00EF191A" w:rsidP="00AF5444">
      <w:pPr>
        <w:pStyle w:val="BodyText"/>
      </w:pPr>
      <w:r w:rsidRPr="00EF191A">
        <w:t xml:space="preserve">It is important that students know and understand </w:t>
      </w:r>
      <w:r>
        <w:t xml:space="preserve">cartographic </w:t>
      </w:r>
      <w:r w:rsidRPr="00EF191A">
        <w:t xml:space="preserve">conventions </w:t>
      </w:r>
      <w:r>
        <w:t xml:space="preserve">for </w:t>
      </w:r>
      <w:r w:rsidRPr="00EF191A">
        <w:t xml:space="preserve">representing geographic </w:t>
      </w:r>
      <w:r>
        <w:t xml:space="preserve">data and </w:t>
      </w:r>
      <w:r w:rsidRPr="00EF191A">
        <w:t>information</w:t>
      </w:r>
      <w:r>
        <w:t xml:space="preserve"> on small-scale and large-scale</w:t>
      </w:r>
      <w:r w:rsidR="00301458">
        <w:t xml:space="preserve"> maps</w:t>
      </w:r>
      <w:r w:rsidRPr="00EF191A">
        <w:t>.</w:t>
      </w:r>
    </w:p>
    <w:tbl>
      <w:tblPr>
        <w:tblStyle w:val="QCAAtablestyle1"/>
        <w:tblW w:w="4900" w:type="pct"/>
        <w:tblLook w:val="04A0" w:firstRow="1" w:lastRow="0" w:firstColumn="1" w:lastColumn="0" w:noHBand="0" w:noVBand="1"/>
      </w:tblPr>
      <w:tblGrid>
        <w:gridCol w:w="3024"/>
        <w:gridCol w:w="6077"/>
      </w:tblGrid>
      <w:tr w:rsidR="006A676A" w:rsidRPr="00AF5444" w:rsidTr="006A6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tcW w:w="3024" w:type="dxa"/>
          </w:tcPr>
          <w:p w:rsidR="006A676A" w:rsidRPr="00AF5444" w:rsidRDefault="00EF191A" w:rsidP="00AF5444">
            <w:pPr>
              <w:pStyle w:val="TableHeading"/>
            </w:pPr>
            <w:r w:rsidRPr="00AF5444">
              <w:t>Cartographic convention</w:t>
            </w:r>
          </w:p>
        </w:tc>
        <w:tc>
          <w:tcPr>
            <w:tcW w:w="6077" w:type="dxa"/>
          </w:tcPr>
          <w:p w:rsidR="006A676A" w:rsidRPr="00AF5444" w:rsidRDefault="00EF191A" w:rsidP="00AF5444">
            <w:pPr>
              <w:pStyle w:val="TableHeading"/>
            </w:pPr>
            <w:r w:rsidRPr="00AF5444">
              <w:t>Explanation</w:t>
            </w:r>
          </w:p>
        </w:tc>
      </w:tr>
      <w:tr w:rsidR="006A676A" w:rsidTr="006A676A">
        <w:tc>
          <w:tcPr>
            <w:tcW w:w="3024" w:type="dxa"/>
          </w:tcPr>
          <w:p w:rsidR="006A676A" w:rsidRPr="00AF5444" w:rsidRDefault="006A676A" w:rsidP="00AF5444">
            <w:pPr>
              <w:pStyle w:val="TableText"/>
            </w:pPr>
            <w:r w:rsidRPr="00AF5444">
              <w:t>Border</w:t>
            </w:r>
          </w:p>
        </w:tc>
        <w:tc>
          <w:tcPr>
            <w:tcW w:w="6077" w:type="dxa"/>
          </w:tcPr>
          <w:p w:rsidR="006A676A" w:rsidRDefault="006A676A" w:rsidP="006A676A">
            <w:pPr>
              <w:pStyle w:val="TableBullet"/>
            </w:pPr>
            <w:r>
              <w:t>Positions the map within the white space of the page</w:t>
            </w:r>
            <w:r w:rsidR="00BD2E1B">
              <w:t>.</w:t>
            </w:r>
          </w:p>
          <w:p w:rsidR="006A676A" w:rsidRDefault="00DC69FA" w:rsidP="006A676A">
            <w:pPr>
              <w:pStyle w:val="TableBullet"/>
            </w:pPr>
            <w:r>
              <w:t>D</w:t>
            </w:r>
            <w:r w:rsidR="006A676A">
              <w:t>efine</w:t>
            </w:r>
            <w:r>
              <w:t>s</w:t>
            </w:r>
            <w:r w:rsidR="006A676A">
              <w:t xml:space="preserve"> the extent of the map</w:t>
            </w:r>
            <w:r w:rsidR="00BD2E1B">
              <w:t>.</w:t>
            </w:r>
          </w:p>
        </w:tc>
      </w:tr>
      <w:tr w:rsidR="006A676A" w:rsidTr="006A676A">
        <w:tc>
          <w:tcPr>
            <w:tcW w:w="3024" w:type="dxa"/>
          </w:tcPr>
          <w:p w:rsidR="006A676A" w:rsidRPr="00AF5444" w:rsidRDefault="006A676A" w:rsidP="00AF5444">
            <w:pPr>
              <w:pStyle w:val="TableText"/>
            </w:pPr>
            <w:r w:rsidRPr="00AF5444">
              <w:t>Orientation</w:t>
            </w:r>
          </w:p>
        </w:tc>
        <w:tc>
          <w:tcPr>
            <w:tcW w:w="6077" w:type="dxa"/>
          </w:tcPr>
          <w:p w:rsidR="006A676A" w:rsidRDefault="006A676A" w:rsidP="00AF5444">
            <w:pPr>
              <w:pStyle w:val="TableText"/>
            </w:pPr>
            <w:r>
              <w:t>North point</w:t>
            </w:r>
          </w:p>
        </w:tc>
      </w:tr>
      <w:tr w:rsidR="006A676A" w:rsidTr="006A676A">
        <w:tc>
          <w:tcPr>
            <w:tcW w:w="3024" w:type="dxa"/>
          </w:tcPr>
          <w:p w:rsidR="006A676A" w:rsidRPr="00AF5444" w:rsidRDefault="006A676A" w:rsidP="00AF5444">
            <w:pPr>
              <w:pStyle w:val="TableText"/>
            </w:pPr>
            <w:r w:rsidRPr="00AF5444">
              <w:t>Legend (or key)</w:t>
            </w:r>
          </w:p>
        </w:tc>
        <w:tc>
          <w:tcPr>
            <w:tcW w:w="6077" w:type="dxa"/>
          </w:tcPr>
          <w:p w:rsidR="006A676A" w:rsidRDefault="006A676A" w:rsidP="00AF5444">
            <w:pPr>
              <w:pStyle w:val="TableText"/>
            </w:pPr>
            <w:r>
              <w:t>List of the symbols and colours used:</w:t>
            </w:r>
          </w:p>
          <w:p w:rsidR="006A676A" w:rsidRPr="00DC69FA" w:rsidRDefault="006A676A" w:rsidP="00DC69FA">
            <w:pPr>
              <w:pStyle w:val="TableBullet"/>
              <w:ind w:left="170" w:hanging="170"/>
            </w:pPr>
            <w:r w:rsidRPr="006A676A">
              <w:t>usually</w:t>
            </w:r>
            <w:r w:rsidR="00DC69FA">
              <w:t xml:space="preserve"> located in the bottom left- or </w:t>
            </w:r>
            <w:r w:rsidRPr="00DC69FA">
              <w:rPr>
                <w:rFonts w:eastAsiaTheme="minorHAnsi" w:cstheme="minorBidi"/>
                <w:szCs w:val="22"/>
              </w:rPr>
              <w:t>right-hand corner</w:t>
            </w:r>
          </w:p>
          <w:p w:rsidR="006A676A" w:rsidRPr="006A676A" w:rsidRDefault="006A676A" w:rsidP="006A676A">
            <w:pPr>
              <w:pStyle w:val="TableBullet"/>
              <w:rPr>
                <w:rFonts w:eastAsiaTheme="minorHAnsi"/>
              </w:rPr>
            </w:pPr>
            <w:r w:rsidRPr="006A676A">
              <w:rPr>
                <w:rFonts w:eastAsiaTheme="minorHAnsi"/>
              </w:rPr>
              <w:t>uses shading</w:t>
            </w:r>
          </w:p>
          <w:p w:rsidR="006A676A" w:rsidRPr="00DC69FA" w:rsidRDefault="006A676A" w:rsidP="00DC69FA">
            <w:pPr>
              <w:pStyle w:val="TableBullet"/>
              <w:rPr>
                <w:rFonts w:eastAsiaTheme="minorHAnsi"/>
              </w:rPr>
            </w:pPr>
            <w:proofErr w:type="gramStart"/>
            <w:r>
              <w:rPr>
                <w:rFonts w:eastAsiaTheme="minorHAnsi"/>
              </w:rPr>
              <w:t>identifies</w:t>
            </w:r>
            <w:proofErr w:type="gramEnd"/>
            <w:r>
              <w:rPr>
                <w:rFonts w:eastAsiaTheme="minorHAnsi"/>
              </w:rPr>
              <w:t xml:space="preserve"> the </w:t>
            </w:r>
            <w:r w:rsidR="00DC69FA">
              <w:rPr>
                <w:rFonts w:eastAsiaTheme="minorHAnsi"/>
              </w:rPr>
              <w:t>symbols used</w:t>
            </w:r>
            <w:r w:rsidR="00301458">
              <w:rPr>
                <w:rFonts w:eastAsiaTheme="minorHAnsi"/>
              </w:rPr>
              <w:t>,</w:t>
            </w:r>
            <w:r w:rsidR="00DC69FA">
              <w:rPr>
                <w:rFonts w:eastAsiaTheme="minorHAnsi"/>
              </w:rPr>
              <w:t xml:space="preserve"> e.g. towns, </w:t>
            </w:r>
            <w:r>
              <w:rPr>
                <w:rFonts w:eastAsiaTheme="minorHAnsi"/>
              </w:rPr>
              <w:t xml:space="preserve"> railways, national parks</w:t>
            </w:r>
            <w:r w:rsidR="00BD2E1B">
              <w:rPr>
                <w:rFonts w:eastAsiaTheme="minorHAnsi"/>
              </w:rPr>
              <w:t>.</w:t>
            </w:r>
          </w:p>
        </w:tc>
      </w:tr>
      <w:tr w:rsidR="006A676A" w:rsidTr="006A676A">
        <w:tc>
          <w:tcPr>
            <w:tcW w:w="3024" w:type="dxa"/>
          </w:tcPr>
          <w:p w:rsidR="006A676A" w:rsidRPr="00AF5444" w:rsidRDefault="006A676A" w:rsidP="00AF5444">
            <w:pPr>
              <w:pStyle w:val="TableText"/>
            </w:pPr>
            <w:r w:rsidRPr="00AF5444">
              <w:t>Title</w:t>
            </w:r>
          </w:p>
        </w:tc>
        <w:tc>
          <w:tcPr>
            <w:tcW w:w="6077" w:type="dxa"/>
          </w:tcPr>
          <w:p w:rsidR="006A676A" w:rsidRDefault="00DC69FA" w:rsidP="00AF5444">
            <w:pPr>
              <w:pStyle w:val="TableText"/>
            </w:pPr>
            <w:r>
              <w:t>Defines the map’s location and its purpose</w:t>
            </w:r>
            <w:r w:rsidR="00BD2E1B">
              <w:t>.</w:t>
            </w:r>
          </w:p>
        </w:tc>
      </w:tr>
      <w:tr w:rsidR="006A676A" w:rsidTr="006A676A">
        <w:tc>
          <w:tcPr>
            <w:tcW w:w="3024" w:type="dxa"/>
          </w:tcPr>
          <w:p w:rsidR="006A676A" w:rsidRPr="00AF5444" w:rsidRDefault="006A676A" w:rsidP="00AF5444">
            <w:pPr>
              <w:pStyle w:val="TableText"/>
            </w:pPr>
            <w:r w:rsidRPr="00AF5444">
              <w:t>Scale</w:t>
            </w:r>
          </w:p>
        </w:tc>
        <w:tc>
          <w:tcPr>
            <w:tcW w:w="6077" w:type="dxa"/>
          </w:tcPr>
          <w:p w:rsidR="00301458" w:rsidRDefault="00DC69FA" w:rsidP="00AF5444">
            <w:pPr>
              <w:pStyle w:val="TableText"/>
            </w:pPr>
            <w:r>
              <w:t xml:space="preserve">The relationship (or ratio) between distance on a </w:t>
            </w:r>
            <w:r>
              <w:rPr>
                <w:b/>
                <w:bCs/>
              </w:rPr>
              <w:t>map</w:t>
            </w:r>
            <w:r>
              <w:t xml:space="preserve"> and the corresponding distance on the ground. </w:t>
            </w:r>
          </w:p>
          <w:p w:rsidR="006A676A" w:rsidRDefault="00DC69FA" w:rsidP="00AF5444">
            <w:pPr>
              <w:pStyle w:val="TableText"/>
            </w:pPr>
            <w:r>
              <w:t>For example, on a 1:100</w:t>
            </w:r>
            <w:r w:rsidR="00301458">
              <w:t xml:space="preserve"> </w:t>
            </w:r>
            <w:r>
              <w:t xml:space="preserve">000 </w:t>
            </w:r>
            <w:r>
              <w:rPr>
                <w:b/>
                <w:bCs/>
              </w:rPr>
              <w:t>scale map</w:t>
            </w:r>
            <w:r>
              <w:t>, 1</w:t>
            </w:r>
            <w:r w:rsidR="00301458">
              <w:t xml:space="preserve"> </w:t>
            </w:r>
            <w:r>
              <w:t xml:space="preserve">cm on the </w:t>
            </w:r>
            <w:r>
              <w:rPr>
                <w:b/>
                <w:bCs/>
              </w:rPr>
              <w:t>map</w:t>
            </w:r>
            <w:r>
              <w:t xml:space="preserve"> equals </w:t>
            </w:r>
            <w:r w:rsidR="00301458">
              <w:br/>
            </w:r>
            <w:r>
              <w:t>1</w:t>
            </w:r>
            <w:r w:rsidR="00301458">
              <w:t xml:space="preserve"> </w:t>
            </w:r>
            <w:r>
              <w:t>km on the ground</w:t>
            </w:r>
            <w:r w:rsidR="00BD2E1B">
              <w:t>.</w:t>
            </w:r>
          </w:p>
        </w:tc>
      </w:tr>
      <w:tr w:rsidR="006A676A" w:rsidTr="006A676A">
        <w:tc>
          <w:tcPr>
            <w:tcW w:w="3024" w:type="dxa"/>
          </w:tcPr>
          <w:p w:rsidR="006A676A" w:rsidRPr="00AF5444" w:rsidRDefault="006A676A" w:rsidP="00AF5444">
            <w:pPr>
              <w:pStyle w:val="TableText"/>
            </w:pPr>
            <w:r w:rsidRPr="00AF5444">
              <w:t>Source</w:t>
            </w:r>
          </w:p>
        </w:tc>
        <w:tc>
          <w:tcPr>
            <w:tcW w:w="6077" w:type="dxa"/>
          </w:tcPr>
          <w:p w:rsidR="006A676A" w:rsidRDefault="00DC69FA" w:rsidP="000B36C6">
            <w:pPr>
              <w:pStyle w:val="TableText"/>
            </w:pPr>
            <w:r>
              <w:t>Where possible the source of the map should be acknowledged using an accepted referencing system such as author</w:t>
            </w:r>
            <w:r w:rsidR="000B36C6">
              <w:t>–</w:t>
            </w:r>
            <w:r>
              <w:t>date</w:t>
            </w:r>
            <w:r w:rsidR="000B36C6">
              <w:t>.</w:t>
            </w:r>
          </w:p>
        </w:tc>
      </w:tr>
    </w:tbl>
    <w:p w:rsidR="00EF191A" w:rsidRPr="00AF5444" w:rsidRDefault="00EF191A" w:rsidP="006A676A">
      <w:pPr>
        <w:autoSpaceDE w:val="0"/>
        <w:autoSpaceDN w:val="0"/>
        <w:adjustRightInd w:val="0"/>
        <w:spacing w:line="240" w:lineRule="auto"/>
        <w:rPr>
          <w:noProof/>
        </w:rPr>
      </w:pPr>
    </w:p>
    <w:tbl>
      <w:tblPr>
        <w:tblStyle w:val="QCAAtablestyle3"/>
        <w:tblW w:w="4900" w:type="pct"/>
        <w:tblLook w:val="0600" w:firstRow="0" w:lastRow="0" w:firstColumn="0" w:lastColumn="0" w:noHBand="1" w:noVBand="1"/>
      </w:tblPr>
      <w:tblGrid>
        <w:gridCol w:w="9174"/>
      </w:tblGrid>
      <w:tr w:rsidR="000B36C6" w:rsidTr="000B36C6">
        <w:tc>
          <w:tcPr>
            <w:tcW w:w="9174" w:type="dxa"/>
          </w:tcPr>
          <w:p w:rsidR="000B36C6" w:rsidRDefault="000B36C6" w:rsidP="00AF5444">
            <w:pPr>
              <w:pStyle w:val="BodyText"/>
              <w:spacing w:before="240"/>
            </w:pPr>
            <w:r>
              <w:rPr>
                <w:noProof/>
              </w:rPr>
              <w:lastRenderedPageBreak/>
              <w:drawing>
                <wp:inline distT="0" distB="0" distL="0" distR="0" wp14:anchorId="0F8BB2CC" wp14:editId="7D56FC65">
                  <wp:extent cx="5760085" cy="501115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5011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36C6" w:rsidTr="000B36C6">
        <w:tc>
          <w:tcPr>
            <w:tcW w:w="9174" w:type="dxa"/>
          </w:tcPr>
          <w:p w:rsidR="000B36C6" w:rsidRDefault="000B36C6" w:rsidP="000B36C6">
            <w:pPr>
              <w:pStyle w:val="CCattribution"/>
            </w:pPr>
            <w:r w:rsidRPr="00AF5444">
              <w:t>This content and image has been adapted from QCAA resource:</w:t>
            </w:r>
            <w:r>
              <w:t xml:space="preserve"> </w:t>
            </w:r>
            <w:hyperlink r:id="rId21" w:history="1">
              <w:r w:rsidRPr="00AF5444">
                <w:rPr>
                  <w:rStyle w:val="Hyperlink"/>
                </w:rPr>
                <w:t>https://www.qcaa.qld.edu.au/downloads/senior/snr_geography_07_adv_ass_geog_conv.pdf</w:t>
              </w:r>
            </w:hyperlink>
          </w:p>
        </w:tc>
      </w:tr>
    </w:tbl>
    <w:p w:rsidR="000B36C6" w:rsidRDefault="000B36C6" w:rsidP="00AF5444">
      <w:pPr>
        <w:pStyle w:val="BodyText"/>
        <w:spacing w:before="240"/>
      </w:pPr>
    </w:p>
    <w:bookmarkEnd w:id="5"/>
    <w:p w:rsidR="000B36C6" w:rsidRPr="00AF5444" w:rsidRDefault="000B36C6">
      <w:pPr>
        <w:pStyle w:val="BodyText"/>
      </w:pPr>
    </w:p>
    <w:sectPr w:rsidR="000B36C6" w:rsidRPr="00AF5444" w:rsidSect="00FF067C">
      <w:footerReference w:type="default" r:id="rId22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EE3" w:rsidRDefault="006A5EE3">
      <w:r>
        <w:separator/>
      </w:r>
    </w:p>
    <w:p w:rsidR="006A5EE3" w:rsidRDefault="006A5EE3"/>
  </w:endnote>
  <w:endnote w:type="continuationSeparator" w:id="0">
    <w:p w:rsidR="006A5EE3" w:rsidRDefault="006A5EE3">
      <w:r>
        <w:continuationSeparator/>
      </w:r>
    </w:p>
    <w:p w:rsidR="006A5EE3" w:rsidRDefault="006A5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6A5EE3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8BEBC3CC34554C42ADDFE57CC7F1CF5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6A5EE3" w:rsidRDefault="006A5EE3" w:rsidP="0093255E">
              <w:pPr>
                <w:pStyle w:val="Footer"/>
              </w:pPr>
              <w:r>
                <w:t>Investigating natural hazards Cartographic Conventions: Assessment resource Investigating natural hazards</w:t>
              </w:r>
            </w:p>
          </w:sdtContent>
        </w:sdt>
        <w:p w:rsidR="006A5EE3" w:rsidRPr="00FD561F" w:rsidRDefault="00137EA9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02E81A4EE2D7413FB0EC02A438B0DF9A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6A5EE3">
                <w:t>Year 5 Geography</w:t>
              </w:r>
            </w:sdtContent>
          </w:sdt>
          <w:r w:rsidR="006A5EE3">
            <w:tab/>
          </w:r>
        </w:p>
      </w:tc>
      <w:tc>
        <w:tcPr>
          <w:tcW w:w="2911" w:type="pct"/>
        </w:tcPr>
        <w:p w:rsidR="006A5EE3" w:rsidRDefault="006A5EE3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6A5EE3" w:rsidRPr="000F044B" w:rsidRDefault="00137EA9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61FEB3EC68FB4AC88790F7CC08F4A284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6A5EE3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6A5EE3" w:rsidRPr="000F044B">
            <w:t xml:space="preserve"> </w:t>
          </w:r>
        </w:p>
      </w:tc>
    </w:tr>
    <w:tr w:rsidR="006A5EE3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6A5EE3" w:rsidRPr="00914504" w:rsidRDefault="006A5EE3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293007"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6A5EE3" w:rsidRPr="0085726A" w:rsidRDefault="006A5EE3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EE3" w:rsidRDefault="006A5EE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65885" wp14:editId="7A1EA374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5EE3" w:rsidRDefault="00137EA9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6A5EE3">
                                <w:t>14631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B019F6" w:rsidRDefault="009A4078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t>14631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0471A1BD" wp14:editId="1656883C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EE3" w:rsidRDefault="006A5EE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6A5EE3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6A5EE3" w:rsidRPr="004C49F2" w:rsidRDefault="006A5EE3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6A5EE3" w:rsidRPr="000F044B" w:rsidRDefault="006A5EE3" w:rsidP="00094415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5</w:t>
              </w:r>
            </w:sdtContent>
          </w:sdt>
          <w:r>
            <w:t xml:space="preserve"> Geography</w:t>
          </w:r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6A5EE3" w:rsidRDefault="006A5EE3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Investigating natural hazards</w:t>
              </w:r>
            </w:p>
          </w:sdtContent>
        </w:sdt>
        <w:p w:rsidR="006A5EE3" w:rsidRPr="000F044B" w:rsidRDefault="006A5EE3" w:rsidP="00590952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0B36C6">
                <w:t>Investigating the effects of natural hazards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6A5EE3" w:rsidRPr="000F044B" w:rsidRDefault="00137EA9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6A5EE3">
                <w:t>Assessment resource</w:t>
              </w:r>
            </w:sdtContent>
          </w:sdt>
        </w:p>
      </w:tc>
    </w:tr>
  </w:tbl>
  <w:p w:rsidR="006A5EE3" w:rsidRDefault="006A5EE3" w:rsidP="0085726A">
    <w:pPr>
      <w:pStyle w:val="Smallspace"/>
    </w:pPr>
  </w:p>
  <w:p w:rsidR="006A5EE3" w:rsidRDefault="006A5EE3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EE3" w:rsidRPr="00E95E3F" w:rsidRDefault="006A5EE3" w:rsidP="00B3438C">
      <w:pPr>
        <w:pStyle w:val="footnoteseparator"/>
      </w:pPr>
    </w:p>
  </w:footnote>
  <w:footnote w:type="continuationSeparator" w:id="0">
    <w:p w:rsidR="006A5EE3" w:rsidRDefault="006A5EE3">
      <w:r>
        <w:continuationSeparator/>
      </w:r>
    </w:p>
    <w:p w:rsidR="006A5EE3" w:rsidRDefault="006A5E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EE3" w:rsidRDefault="006A5E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EE3" w:rsidRDefault="006A5EE3">
    <w:pPr>
      <w:pStyle w:val="Header"/>
    </w:pPr>
  </w:p>
  <w:p w:rsidR="006A5EE3" w:rsidRDefault="006A5EE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EE3" w:rsidRDefault="006A5E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2A845AE"/>
    <w:multiLevelType w:val="hybridMultilevel"/>
    <w:tmpl w:val="E3ACF7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5F7C5177"/>
    <w:multiLevelType w:val="hybridMultilevel"/>
    <w:tmpl w:val="FF922E36"/>
    <w:lvl w:ilvl="0" w:tplc="1FC8B2D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017CF1"/>
    <w:multiLevelType w:val="hybridMultilevel"/>
    <w:tmpl w:val="83327D92"/>
    <w:lvl w:ilvl="0" w:tplc="BE3CBF7C">
      <w:start w:val="1"/>
      <w:numFmt w:val="bulle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134050"/>
    <w:multiLevelType w:val="hybridMultilevel"/>
    <w:tmpl w:val="147892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2454E"/>
    <w:multiLevelType w:val="multilevel"/>
    <w:tmpl w:val="2D50BC1C"/>
    <w:numStyleLink w:val="ListHeadings"/>
  </w:abstractNum>
  <w:num w:numId="1">
    <w:abstractNumId w:val="12"/>
  </w:num>
  <w:num w:numId="2">
    <w:abstractNumId w:val="24"/>
  </w:num>
  <w:num w:numId="3">
    <w:abstractNumId w:val="26"/>
  </w:num>
  <w:num w:numId="4">
    <w:abstractNumId w:val="18"/>
  </w:num>
  <w:num w:numId="5">
    <w:abstractNumId w:val="9"/>
  </w:num>
  <w:num w:numId="6">
    <w:abstractNumId w:val="13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4"/>
  </w:num>
  <w:num w:numId="17">
    <w:abstractNumId w:val="22"/>
  </w:num>
  <w:num w:numId="18">
    <w:abstractNumId w:val="16"/>
  </w:num>
  <w:num w:numId="19">
    <w:abstractNumId w:val="19"/>
  </w:num>
  <w:num w:numId="20">
    <w:abstractNumId w:val="15"/>
  </w:num>
  <w:num w:numId="21">
    <w:abstractNumId w:val="4"/>
  </w:num>
  <w:num w:numId="22">
    <w:abstractNumId w:val="11"/>
  </w:num>
  <w:num w:numId="23">
    <w:abstractNumId w:val="5"/>
  </w:num>
  <w:num w:numId="24">
    <w:abstractNumId w:val="27"/>
  </w:num>
  <w:num w:numId="25">
    <w:abstractNumId w:val="12"/>
  </w:num>
  <w:num w:numId="26">
    <w:abstractNumId w:val="24"/>
  </w:num>
  <w:num w:numId="27">
    <w:abstractNumId w:val="26"/>
  </w:num>
  <w:num w:numId="28">
    <w:abstractNumId w:val="18"/>
  </w:num>
  <w:num w:numId="29">
    <w:abstractNumId w:val="17"/>
  </w:num>
  <w:num w:numId="30">
    <w:abstractNumId w:val="23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0"/>
  </w:num>
  <w:num w:numId="34">
    <w:abstractNumId w:val="25"/>
  </w:num>
  <w:num w:numId="35">
    <w:abstractNumId w:val="10"/>
  </w:num>
  <w:num w:numId="36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867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76A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46C41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415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36C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0A44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37EA9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007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20F1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458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8E6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2A4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52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A5EE3"/>
    <w:rsid w:val="006A676A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17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3836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27CFD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2BF"/>
    <w:rsid w:val="00996745"/>
    <w:rsid w:val="009A1FA0"/>
    <w:rsid w:val="009A4078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277B"/>
    <w:rsid w:val="00AF3F1E"/>
    <w:rsid w:val="00AF403B"/>
    <w:rsid w:val="00AF4730"/>
    <w:rsid w:val="00AF543B"/>
    <w:rsid w:val="00AF5444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3BFB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1B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5176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6F26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49F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69FA"/>
    <w:rsid w:val="00DC703C"/>
    <w:rsid w:val="00DC775E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191A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qcaa.qld.edu.au/downloads/senior/snr_geography_07_adv_ass_geog_conv.pdf" TargetMode="Externa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EBC3CC34554C42ADDFE57CC7F1C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B4E45-6D6D-4149-9658-0D69FCBD9916}"/>
      </w:docPartPr>
      <w:docPartBody>
        <w:p w:rsidR="00542A13" w:rsidRDefault="00542A13">
          <w:pPr>
            <w:pStyle w:val="8BEBC3CC34554C42ADDFE57CC7F1CF5B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02E81A4EE2D7413FB0EC02A438B0D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4A772-46E0-49B6-89FF-2CC285E01BEE}"/>
      </w:docPartPr>
      <w:docPartBody>
        <w:p w:rsidR="00542A13" w:rsidRDefault="00542A13">
          <w:pPr>
            <w:pStyle w:val="02E81A4EE2D7413FB0EC02A438B0DF9A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61FEB3EC68FB4AC88790F7CC08F4A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BB2B2-46FF-4AED-A960-FAFC599134E6}"/>
      </w:docPartPr>
      <w:docPartBody>
        <w:p w:rsidR="00542A13" w:rsidRDefault="00542A13">
          <w:pPr>
            <w:pStyle w:val="61FEB3EC68FB4AC88790F7CC08F4A284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56600F0AFFE64FD2B3D78A4460B50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181B3-2497-4081-AB3E-DEC8D23AA975}"/>
      </w:docPartPr>
      <w:docPartBody>
        <w:p w:rsidR="00542A13" w:rsidRDefault="00542A13">
          <w:pPr>
            <w:pStyle w:val="56600F0AFFE64FD2B3D78A4460B50A4B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13"/>
    <w:rsid w:val="0014342C"/>
    <w:rsid w:val="005101C7"/>
    <w:rsid w:val="00542A13"/>
    <w:rsid w:val="0069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EBC3CC34554C42ADDFE57CC7F1CF5B">
    <w:name w:val="8BEBC3CC34554C42ADDFE57CC7F1CF5B"/>
  </w:style>
  <w:style w:type="paragraph" w:customStyle="1" w:styleId="02E81A4EE2D7413FB0EC02A438B0DF9A">
    <w:name w:val="02E81A4EE2D7413FB0EC02A438B0DF9A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61FEB3EC68FB4AC88790F7CC08F4A284">
    <w:name w:val="61FEB3EC68FB4AC88790F7CC08F4A284"/>
  </w:style>
  <w:style w:type="paragraph" w:customStyle="1" w:styleId="56600F0AFFE64FD2B3D78A4460B50A4B">
    <w:name w:val="56600F0AFFE64FD2B3D78A4460B50A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EBC3CC34554C42ADDFE57CC7F1CF5B">
    <w:name w:val="8BEBC3CC34554C42ADDFE57CC7F1CF5B"/>
  </w:style>
  <w:style w:type="paragraph" w:customStyle="1" w:styleId="02E81A4EE2D7413FB0EC02A438B0DF9A">
    <w:name w:val="02E81A4EE2D7413FB0EC02A438B0DF9A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61FEB3EC68FB4AC88790F7CC08F4A284">
    <w:name w:val="61FEB3EC68FB4AC88790F7CC08F4A284"/>
  </w:style>
  <w:style w:type="paragraph" w:customStyle="1" w:styleId="56600F0AFFE64FD2B3D78A4460B50A4B">
    <w:name w:val="56600F0AFFE64FD2B3D78A4460B50A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Investigating natural hazards</CompanyPhone>
  <CompanyFax>5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A27BEC99-BA3A-4E10-90AE-FA259755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5</TotalTime>
  <Pages>2</Pages>
  <Words>184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natural hazards Cartographic Conventions: Assessment resource Investigating natural hazards</vt:lpstr>
    </vt:vector>
  </TitlesOfParts>
  <Company>Queensland Curriculum and Assessment Authority</Company>
  <LinksUpToDate>false</LinksUpToDate>
  <CharactersWithSpaces>1416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5 Geography sample assessment: Investigating natural hazards - Assessment resource: Cartographic conventions</dc:title>
  <dc:subject>Year 5 Geography</dc:subject>
  <dc:creator>Queensland Curriculum and Assessment Authority</dc:creator>
  <cp:lastModifiedBy>CMED</cp:lastModifiedBy>
  <cp:revision>9</cp:revision>
  <cp:lastPrinted>2014-10-09T06:31:00Z</cp:lastPrinted>
  <dcterms:created xsi:type="dcterms:W3CDTF">2014-10-08T22:41:00Z</dcterms:created>
  <dcterms:modified xsi:type="dcterms:W3CDTF">2014-10-21T05:44:00Z</dcterms:modified>
  <cp:category>14631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