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CF0F03" w:rsidP="005213F2">
      <w:pPr>
        <w:pStyle w:val="Heading1TOP"/>
        <w:tabs>
          <w:tab w:val="right" w:pos="14520"/>
        </w:tabs>
      </w:pPr>
      <w:bookmarkStart w:id="0" w:name="_GoBack"/>
      <w:bookmarkEnd w:id="0"/>
      <w:r>
        <w:t xml:space="preserve">Year </w:t>
      </w:r>
      <w:r w:rsidR="004D3E1B">
        <w:t>10/10a</w:t>
      </w:r>
      <w:r>
        <w:t xml:space="preserve"> </w:t>
      </w:r>
      <w:r w:rsidR="00F502AA">
        <w:t>u</w:t>
      </w:r>
      <w:r w:rsidR="008300AE">
        <w:t>nit overview</w:t>
      </w:r>
      <w:r>
        <w:t xml:space="preserve"> — Australian Curriculum</w:t>
      </w:r>
      <w:r w:rsidRPr="00414AA6">
        <w:t>:</w:t>
      </w:r>
      <w:r w:rsidR="008300AE">
        <w:t xml:space="preserve"> </w:t>
      </w:r>
      <w:r w:rsidR="000B5758">
        <w:t>Mathematics</w:t>
      </w:r>
    </w:p>
    <w:p w:rsidR="00F71A88" w:rsidRPr="00F71A88" w:rsidRDefault="00F71A88" w:rsidP="00F71A88">
      <w:pPr>
        <w:pStyle w:val="ACversionline"/>
      </w:pPr>
      <w:r w:rsidRPr="00F71A88">
        <w:t>Source</w:t>
      </w:r>
      <w:r w:rsidRPr="007A7FF0">
        <w:t xml:space="preserve">: Australian Curriculum, Assessment and Reporting Authority (ACARA), </w:t>
      </w:r>
      <w:r w:rsidR="00A7126D">
        <w:rPr>
          <w:i/>
        </w:rPr>
        <w:t>Australian Curriculum v</w:t>
      </w:r>
      <w:r w:rsidR="00A009B9">
        <w:rPr>
          <w:i/>
        </w:rPr>
        <w:t>3</w:t>
      </w:r>
      <w:r>
        <w:rPr>
          <w:i/>
        </w:rPr>
        <w:t>.0</w:t>
      </w:r>
      <w:r w:rsidRPr="007A7FF0">
        <w:rPr>
          <w:i/>
        </w:rPr>
        <w:t xml:space="preserve">: </w:t>
      </w:r>
      <w:r>
        <w:rPr>
          <w:i/>
        </w:rPr>
        <w:t>Mathematics</w:t>
      </w:r>
      <w:r w:rsidRPr="007A7FF0">
        <w:rPr>
          <w:i/>
        </w:rPr>
        <w:t xml:space="preserve"> for Foundation–10</w:t>
      </w:r>
      <w:r w:rsidRPr="007A7FF0">
        <w:t>, &lt;www.australiancurriculum.edu.au/</w:t>
      </w:r>
      <w:r>
        <w:t>Mathematics</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71A88">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8D28C8" w:rsidRPr="00BC1996" w:rsidTr="005213F2">
        <w:trPr>
          <w:jc w:val="center"/>
        </w:trPr>
        <w:tc>
          <w:tcPr>
            <w:tcW w:w="1208" w:type="pct"/>
            <w:shd w:val="clear" w:color="auto" w:fill="auto"/>
          </w:tcPr>
          <w:p w:rsidR="008D28C8" w:rsidRPr="00B549BE" w:rsidRDefault="00837F56" w:rsidP="008300AE">
            <w:pPr>
              <w:pStyle w:val="Tabletext"/>
            </w:pPr>
            <w:r>
              <w:t>Our School</w:t>
            </w:r>
          </w:p>
        </w:tc>
        <w:tc>
          <w:tcPr>
            <w:tcW w:w="2572" w:type="pct"/>
            <w:shd w:val="clear" w:color="auto" w:fill="auto"/>
          </w:tcPr>
          <w:p w:rsidR="008D28C8" w:rsidRPr="00B549BE" w:rsidRDefault="00DB0685" w:rsidP="008300AE">
            <w:pPr>
              <w:pStyle w:val="Tabletext"/>
            </w:pPr>
            <w:r w:rsidRPr="00DB0685">
              <w:t>Mathematics and sport</w:t>
            </w:r>
          </w:p>
        </w:tc>
        <w:tc>
          <w:tcPr>
            <w:tcW w:w="1220" w:type="pct"/>
            <w:shd w:val="clear" w:color="auto" w:fill="auto"/>
          </w:tcPr>
          <w:p w:rsidR="008D28C8" w:rsidRPr="00B549BE" w:rsidRDefault="00FE3B42" w:rsidP="008300AE">
            <w:pPr>
              <w:pStyle w:val="Tabletext"/>
            </w:pPr>
            <w:r>
              <w:t>10 weeks</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71A88">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FE3B42" w:rsidRPr="00BC1996" w:rsidTr="005213F2">
        <w:trPr>
          <w:jc w:val="center"/>
        </w:trPr>
        <w:tc>
          <w:tcPr>
            <w:tcW w:w="5000" w:type="pct"/>
            <w:shd w:val="clear" w:color="auto" w:fill="auto"/>
          </w:tcPr>
          <w:p w:rsidR="00837F56" w:rsidRDefault="00FE3B42" w:rsidP="00FE3B42">
            <w:pPr>
              <w:pStyle w:val="Tabletext"/>
            </w:pPr>
            <w:r>
              <w:t>S</w:t>
            </w:r>
            <w:r w:rsidRPr="00884419">
              <w:t xml:space="preserve">tudents </w:t>
            </w:r>
            <w:r>
              <w:t xml:space="preserve">develop an understanding of the </w:t>
            </w:r>
            <w:r w:rsidRPr="00884419">
              <w:t xml:space="preserve">mathematics </w:t>
            </w:r>
            <w:r>
              <w:t xml:space="preserve">that can be applied in </w:t>
            </w:r>
            <w:r w:rsidRPr="00884419">
              <w:t>sports</w:t>
            </w:r>
            <w:r>
              <w:t xml:space="preserve">, including: </w:t>
            </w:r>
          </w:p>
          <w:p w:rsidR="00837F56" w:rsidRDefault="00FE3B42" w:rsidP="004C56AC">
            <w:pPr>
              <w:pStyle w:val="Tablebullets"/>
            </w:pPr>
            <w:r w:rsidRPr="00884419">
              <w:t>statistic</w:t>
            </w:r>
            <w:r>
              <w:t>s</w:t>
            </w:r>
            <w:r w:rsidRPr="00884419">
              <w:t xml:space="preserve"> </w:t>
            </w:r>
            <w:r>
              <w:t xml:space="preserve">and </w:t>
            </w:r>
            <w:r w:rsidRPr="00884419">
              <w:t>probability</w:t>
            </w:r>
            <w:r>
              <w:t xml:space="preserve"> </w:t>
            </w:r>
          </w:p>
          <w:p w:rsidR="00837F56" w:rsidRDefault="00FE3B42" w:rsidP="004C56AC">
            <w:pPr>
              <w:pStyle w:val="Tablebullets"/>
            </w:pPr>
            <w:r>
              <w:t xml:space="preserve">measurement and geometry </w:t>
            </w:r>
          </w:p>
          <w:p w:rsidR="00837F56" w:rsidRDefault="00FE3B42" w:rsidP="004C56AC">
            <w:pPr>
              <w:pStyle w:val="Tablebullets"/>
            </w:pPr>
            <w:r>
              <w:t xml:space="preserve">ratio and proportion. </w:t>
            </w:r>
          </w:p>
          <w:p w:rsidR="00FE3B42" w:rsidRDefault="00FE3B42" w:rsidP="00FE3B42">
            <w:pPr>
              <w:pStyle w:val="Tabletext"/>
            </w:pPr>
            <w:r w:rsidRPr="00884419">
              <w:t xml:space="preserve">Students apply mathematical reasoning and problem solving to </w:t>
            </w:r>
            <w:r>
              <w:t xml:space="preserve">claims that are made about sport. They analyse scenarios in sports such as </w:t>
            </w:r>
            <w:r w:rsidRPr="00884419">
              <w:t>orienteering, archery</w:t>
            </w:r>
            <w:r>
              <w:t>, basketball, netball and darts.</w:t>
            </w:r>
          </w:p>
          <w:p w:rsidR="00FE3B42" w:rsidRPr="000D4044" w:rsidRDefault="00FE3B42" w:rsidP="00FE3B42">
            <w:pPr>
              <w:pStyle w:val="Tabletext"/>
              <w:rPr>
                <w:b/>
              </w:rPr>
            </w:pPr>
            <w:r>
              <w:t>The big ideas of the unit include:</w:t>
            </w:r>
          </w:p>
          <w:p w:rsidR="00FE3B42" w:rsidRPr="00286511" w:rsidRDefault="00FE3B42" w:rsidP="00313839">
            <w:pPr>
              <w:pStyle w:val="Tablebullets"/>
              <w:numPr>
                <w:ilvl w:val="0"/>
                <w:numId w:val="2"/>
              </w:numPr>
              <w:ind w:left="283" w:hanging="283"/>
            </w:pPr>
            <w:r w:rsidRPr="00286511">
              <w:t>real-world problems can be analysed through statistics, algebraic processes and modelling</w:t>
            </w:r>
          </w:p>
          <w:p w:rsidR="00FE3B42" w:rsidRPr="00286511" w:rsidRDefault="00FE3B42" w:rsidP="00313839">
            <w:pPr>
              <w:pStyle w:val="Tablebullets"/>
              <w:numPr>
                <w:ilvl w:val="0"/>
                <w:numId w:val="2"/>
              </w:numPr>
              <w:ind w:left="283" w:hanging="283"/>
            </w:pPr>
            <w:r w:rsidRPr="00286511">
              <w:t>the application of mathematics can generate an accurate assessment of a situation that is often counter to our initial intuition.</w:t>
            </w:r>
          </w:p>
          <w:p w:rsidR="00FE3B42" w:rsidRDefault="00FE3B42" w:rsidP="00FE3B42">
            <w:pPr>
              <w:pStyle w:val="Tabletext"/>
            </w:pPr>
            <w:r>
              <w:t xml:space="preserve">Inquiry questions for the unit include: </w:t>
            </w:r>
          </w:p>
          <w:p w:rsidR="00FE3B42" w:rsidRPr="000D4044" w:rsidRDefault="00FE3B42" w:rsidP="00313839">
            <w:pPr>
              <w:pStyle w:val="Tablebullets"/>
              <w:numPr>
                <w:ilvl w:val="0"/>
                <w:numId w:val="2"/>
              </w:numPr>
              <w:ind w:left="283" w:hanging="283"/>
            </w:pPr>
            <w:r w:rsidRPr="000D4044">
              <w:t xml:space="preserve">A feature of sports commentary is frequent reference to data and statistics. Do the commentators make mathematically valid claims? </w:t>
            </w:r>
          </w:p>
          <w:p w:rsidR="00FE3B42" w:rsidRPr="000D4044" w:rsidRDefault="00FE3B42" w:rsidP="00313839">
            <w:pPr>
              <w:pStyle w:val="Tablebullets"/>
              <w:numPr>
                <w:ilvl w:val="0"/>
                <w:numId w:val="2"/>
              </w:numPr>
              <w:ind w:left="283" w:hanging="283"/>
            </w:pPr>
            <w:r w:rsidRPr="000D4044">
              <w:t xml:space="preserve">When testing a claim using data and mathematical techniques, how can data and probability be </w:t>
            </w:r>
            <w:r>
              <w:t>applied</w:t>
            </w:r>
            <w:r w:rsidRPr="000D4044">
              <w:t>?</w:t>
            </w:r>
          </w:p>
          <w:p w:rsidR="00FE3B42" w:rsidRPr="000D4044" w:rsidRDefault="00FE3B42" w:rsidP="00313839">
            <w:pPr>
              <w:pStyle w:val="Tablebullets"/>
              <w:numPr>
                <w:ilvl w:val="0"/>
                <w:numId w:val="2"/>
              </w:numPr>
              <w:ind w:left="283" w:hanging="283"/>
            </w:pPr>
            <w:r w:rsidRPr="000D4044">
              <w:t>How can models be used to assist in solving problems?</w:t>
            </w:r>
          </w:p>
          <w:p w:rsidR="00FE3B42" w:rsidRPr="000D4044" w:rsidRDefault="00FE3B42" w:rsidP="00313839">
            <w:pPr>
              <w:pStyle w:val="Tablebullets"/>
              <w:numPr>
                <w:ilvl w:val="0"/>
                <w:numId w:val="2"/>
              </w:numPr>
              <w:ind w:left="283" w:hanging="283"/>
            </w:pPr>
            <w:r w:rsidRPr="000D4044">
              <w:t xml:space="preserve">What elements of trigonometry and geometry could be helpful in </w:t>
            </w:r>
            <w:r>
              <w:t xml:space="preserve">a sporting context, e.g. </w:t>
            </w:r>
            <w:r w:rsidRPr="000D4044">
              <w:t>planning tactics in orienteering?</w:t>
            </w:r>
          </w:p>
          <w:p w:rsidR="00FE3B42" w:rsidRPr="00030551" w:rsidRDefault="00FE3B42" w:rsidP="00313839">
            <w:pPr>
              <w:pStyle w:val="Tablebullets"/>
              <w:numPr>
                <w:ilvl w:val="0"/>
                <w:numId w:val="2"/>
              </w:numPr>
              <w:ind w:left="283" w:hanging="283"/>
            </w:pPr>
            <w:r>
              <w:t>How can we decide who the most valuable player (MVP) in a team is in different sports? Why is identifying this person tactically important?</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2"/>
        <w:gridCol w:w="3631"/>
        <w:gridCol w:w="23"/>
        <w:gridCol w:w="3608"/>
        <w:gridCol w:w="3678"/>
      </w:tblGrid>
      <w:tr w:rsidR="005D333E" w:rsidRPr="00561E58" w:rsidTr="00EB0690">
        <w:trPr>
          <w:tblHeader/>
          <w:jc w:val="center"/>
        </w:trPr>
        <w:tc>
          <w:tcPr>
            <w:tcW w:w="5000" w:type="pct"/>
            <w:gridSpan w:val="5"/>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EB0690">
        <w:trPr>
          <w:jc w:val="center"/>
        </w:trPr>
        <w:tc>
          <w:tcPr>
            <w:tcW w:w="3738" w:type="pct"/>
            <w:gridSpan w:val="4"/>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BC5F38" w:rsidRPr="00561E58" w:rsidTr="00EB0690">
        <w:trPr>
          <w:jc w:val="center"/>
        </w:trPr>
        <w:tc>
          <w:tcPr>
            <w:tcW w:w="1246" w:type="pct"/>
            <w:shd w:val="clear" w:color="auto" w:fill="CFE7E6"/>
          </w:tcPr>
          <w:p w:rsidR="00BC5F38" w:rsidRPr="00364E09" w:rsidRDefault="00BC5F38" w:rsidP="007C7063">
            <w:pPr>
              <w:pStyle w:val="Tablesubhead"/>
            </w:pPr>
            <w:r>
              <w:t>Number and Algebra</w:t>
            </w:r>
          </w:p>
        </w:tc>
        <w:tc>
          <w:tcPr>
            <w:tcW w:w="1246" w:type="pct"/>
            <w:shd w:val="clear" w:color="auto" w:fill="CFE7E6"/>
          </w:tcPr>
          <w:p w:rsidR="00BC5F38" w:rsidRPr="00364E09" w:rsidRDefault="00BC5F38" w:rsidP="007C7063">
            <w:pPr>
              <w:pStyle w:val="Tablesubhead"/>
            </w:pPr>
            <w:r>
              <w:t>Measurement and Geometry</w:t>
            </w:r>
          </w:p>
        </w:tc>
        <w:tc>
          <w:tcPr>
            <w:tcW w:w="1246" w:type="pct"/>
            <w:gridSpan w:val="2"/>
            <w:shd w:val="clear" w:color="auto" w:fill="CFE7E6"/>
          </w:tcPr>
          <w:p w:rsidR="00BC5F38" w:rsidRPr="00364E09" w:rsidRDefault="00BC5F38" w:rsidP="007C7063">
            <w:pPr>
              <w:pStyle w:val="Tablesubhead"/>
            </w:pPr>
            <w:r>
              <w:t>Statistics and Probability</w:t>
            </w:r>
          </w:p>
        </w:tc>
        <w:tc>
          <w:tcPr>
            <w:tcW w:w="1262" w:type="pct"/>
            <w:vMerge/>
            <w:shd w:val="clear" w:color="auto" w:fill="CFE7E6"/>
          </w:tcPr>
          <w:p w:rsidR="00BC5F38" w:rsidRPr="00364E09" w:rsidRDefault="00BC5F38" w:rsidP="00433BEC">
            <w:pPr>
              <w:pStyle w:val="Tablesubhead"/>
            </w:pPr>
          </w:p>
        </w:tc>
      </w:tr>
      <w:tr w:rsidR="00FE3B42" w:rsidRPr="00561E58" w:rsidTr="00604E1C">
        <w:trPr>
          <w:jc w:val="center"/>
        </w:trPr>
        <w:tc>
          <w:tcPr>
            <w:tcW w:w="1246" w:type="pct"/>
            <w:shd w:val="clear" w:color="auto" w:fill="auto"/>
          </w:tcPr>
          <w:p w:rsidR="00FE3B42" w:rsidRPr="00D52984" w:rsidRDefault="00FE3B42" w:rsidP="00FE3B42">
            <w:pPr>
              <w:pStyle w:val="Tablesubhead"/>
            </w:pPr>
            <w:r>
              <w:t>Patterns and algebra</w:t>
            </w:r>
          </w:p>
          <w:p w:rsidR="00FE3B42" w:rsidRPr="0070595D" w:rsidRDefault="008D26FB" w:rsidP="00313839">
            <w:pPr>
              <w:pStyle w:val="Tablebullets"/>
              <w:numPr>
                <w:ilvl w:val="0"/>
                <w:numId w:val="2"/>
              </w:numPr>
              <w:ind w:left="283" w:hanging="283"/>
            </w:pPr>
            <w:r w:rsidRPr="00467263">
              <w:t>Substitute values into formulas to determine an unknown</w:t>
            </w:r>
            <w:r w:rsidR="00DA3EA8">
              <w:t xml:space="preserve"> </w:t>
            </w:r>
            <w:hyperlink r:id="rId9" w:tooltip="View additional details of ACMNA234" w:history="1">
              <w:r w:rsidRPr="00DA3EA8">
                <w:rPr>
                  <w:rStyle w:val="Hyperlink"/>
                  <w:sz w:val="20"/>
                </w:rPr>
                <w:t>(ACMNA234)</w:t>
              </w:r>
            </w:hyperlink>
          </w:p>
          <w:p w:rsidR="00FE3B42" w:rsidRPr="00D52984" w:rsidRDefault="00FE3B42" w:rsidP="00FE3B42">
            <w:pPr>
              <w:pStyle w:val="Tablesubhead"/>
            </w:pPr>
            <w:r>
              <w:t>Linear and non-linear relationships</w:t>
            </w:r>
          </w:p>
          <w:p w:rsidR="00FE3B42" w:rsidRPr="0070595D" w:rsidRDefault="008D26FB" w:rsidP="00313839">
            <w:pPr>
              <w:pStyle w:val="Tablebullets"/>
              <w:numPr>
                <w:ilvl w:val="0"/>
                <w:numId w:val="2"/>
              </w:numPr>
              <w:ind w:left="283" w:hanging="283"/>
            </w:pPr>
            <w:r w:rsidRPr="007C167E">
              <w:t>Solve problems involving linear equations, including those derived from formulas</w:t>
            </w:r>
            <w:r w:rsidR="00DA3EA8">
              <w:t xml:space="preserve"> </w:t>
            </w:r>
            <w:hyperlink r:id="rId10" w:tooltip="View additional details of ACMNA235" w:history="1">
              <w:r w:rsidRPr="00DA3EA8">
                <w:rPr>
                  <w:rStyle w:val="Hyperlink"/>
                  <w:sz w:val="20"/>
                </w:rPr>
                <w:t>(ACMNA235)</w:t>
              </w:r>
            </w:hyperlink>
          </w:p>
          <w:p w:rsidR="00FE3B42" w:rsidRPr="00385B38" w:rsidRDefault="00FE3B42" w:rsidP="00FE3B42">
            <w:pPr>
              <w:pStyle w:val="Tablesubhead"/>
              <w:rPr>
                <w:color w:val="00948D"/>
              </w:rPr>
            </w:pPr>
            <w:r w:rsidRPr="00385B38">
              <w:rPr>
                <w:color w:val="00948D"/>
              </w:rPr>
              <w:t>Real numbers (10a)</w:t>
            </w:r>
          </w:p>
          <w:p w:rsidR="00FE3B42" w:rsidRPr="00030551" w:rsidRDefault="008D26FB" w:rsidP="00313839">
            <w:pPr>
              <w:pStyle w:val="Tablebullets"/>
              <w:numPr>
                <w:ilvl w:val="0"/>
                <w:numId w:val="2"/>
              </w:numPr>
              <w:ind w:left="283" w:hanging="283"/>
            </w:pPr>
            <w:r w:rsidRPr="004C56AC">
              <w:t xml:space="preserve">Define rational and irrational numbers and perform operations with surds and fractional indices </w:t>
            </w:r>
            <w:hyperlink r:id="rId11" w:tooltip="View additional details of ACMNA264" w:history="1">
              <w:r w:rsidRPr="00DA3EA8">
                <w:rPr>
                  <w:rStyle w:val="Hyperlink"/>
                  <w:sz w:val="20"/>
                </w:rPr>
                <w:t>(ACMNA264)</w:t>
              </w:r>
            </w:hyperlink>
          </w:p>
        </w:tc>
        <w:tc>
          <w:tcPr>
            <w:tcW w:w="1246" w:type="pct"/>
            <w:shd w:val="clear" w:color="auto" w:fill="auto"/>
          </w:tcPr>
          <w:p w:rsidR="00FE3B42" w:rsidRPr="00D52984" w:rsidRDefault="00FE3B42" w:rsidP="00FE3B42">
            <w:pPr>
              <w:pStyle w:val="Tablesubhead"/>
            </w:pPr>
            <w:r>
              <w:t>Geometric reasoning</w:t>
            </w:r>
          </w:p>
          <w:p w:rsidR="00FE3B42" w:rsidRPr="0070595D" w:rsidRDefault="001D321C" w:rsidP="00313839">
            <w:pPr>
              <w:pStyle w:val="Tablebullets"/>
              <w:numPr>
                <w:ilvl w:val="0"/>
                <w:numId w:val="2"/>
              </w:numPr>
              <w:ind w:left="283" w:hanging="283"/>
            </w:pPr>
            <w:r w:rsidRPr="003A303A">
              <w:t xml:space="preserve">Apply logical reasoning, including the use of </w:t>
            </w:r>
            <w:r w:rsidRPr="004C56AC">
              <w:t>congruence</w:t>
            </w:r>
            <w:r w:rsidR="00DA3EA8">
              <w:t xml:space="preserve"> </w:t>
            </w:r>
            <w:r w:rsidRPr="003A303A">
              <w:t>and</w:t>
            </w:r>
            <w:r w:rsidR="00DA3EA8">
              <w:t xml:space="preserve"> </w:t>
            </w:r>
            <w:r w:rsidRPr="004C56AC">
              <w:t>similarity</w:t>
            </w:r>
            <w:r w:rsidRPr="003A303A">
              <w:t>, to proofs and numerical exercises involving plane shapes</w:t>
            </w:r>
            <w:r w:rsidR="00DA3EA8">
              <w:t xml:space="preserve"> </w:t>
            </w:r>
            <w:hyperlink r:id="rId12" w:tooltip="View additional details of ACMMG244" w:history="1">
              <w:r w:rsidRPr="00DA3EA8">
                <w:rPr>
                  <w:rStyle w:val="Hyperlink"/>
                  <w:sz w:val="20"/>
                </w:rPr>
                <w:t>(ACMMG244)</w:t>
              </w:r>
            </w:hyperlink>
          </w:p>
          <w:p w:rsidR="00FE3B42" w:rsidRPr="00D52984" w:rsidRDefault="00FE3B42" w:rsidP="00FE3B42">
            <w:pPr>
              <w:pStyle w:val="Tablesubhead"/>
            </w:pPr>
            <w:r>
              <w:t>Pythagoras and trigonometry</w:t>
            </w:r>
          </w:p>
          <w:p w:rsidR="00FE3B42" w:rsidRPr="0070595D" w:rsidRDefault="001D321C" w:rsidP="00313839">
            <w:pPr>
              <w:pStyle w:val="Tablebullets"/>
              <w:numPr>
                <w:ilvl w:val="0"/>
                <w:numId w:val="2"/>
              </w:numPr>
              <w:ind w:left="283" w:hanging="283"/>
            </w:pPr>
            <w:r w:rsidRPr="00467263">
              <w:t>Solve right-angled triangle problems including those involving direction and ang</w:t>
            </w:r>
            <w:r w:rsidR="00DA3EA8">
              <w:t xml:space="preserve">les of elevation and depression </w:t>
            </w:r>
            <w:hyperlink r:id="rId13" w:tooltip="View additional details of ACMMG245" w:history="1">
              <w:r w:rsidRPr="00DA3EA8">
                <w:rPr>
                  <w:rStyle w:val="Hyperlink"/>
                  <w:sz w:val="20"/>
                </w:rPr>
                <w:t>(ACMMG245)</w:t>
              </w:r>
            </w:hyperlink>
          </w:p>
          <w:p w:rsidR="00FE3B42" w:rsidRPr="00385B38" w:rsidRDefault="00FE3B42" w:rsidP="00FE3B42">
            <w:pPr>
              <w:pStyle w:val="Tablesubhead"/>
              <w:rPr>
                <w:color w:val="00948D"/>
              </w:rPr>
            </w:pPr>
            <w:r w:rsidRPr="00385B38">
              <w:rPr>
                <w:color w:val="00948D"/>
              </w:rPr>
              <w:t>Pythagoras and trigonometry (10a)</w:t>
            </w:r>
          </w:p>
          <w:p w:rsidR="001D321C" w:rsidRPr="004C56AC" w:rsidRDefault="001D321C" w:rsidP="00313839">
            <w:pPr>
              <w:pStyle w:val="Tablebullets"/>
              <w:numPr>
                <w:ilvl w:val="0"/>
                <w:numId w:val="2"/>
              </w:numPr>
              <w:spacing w:before="60" w:after="60"/>
              <w:ind w:left="283" w:hanging="283"/>
              <w:rPr>
                <w:color w:val="00928F"/>
              </w:rPr>
            </w:pPr>
            <w:r w:rsidRPr="004C56AC">
              <w:rPr>
                <w:color w:val="00948D"/>
              </w:rPr>
              <w:t>Establish the sine, cosine and area rules for any triangle and solve related problems</w:t>
            </w:r>
            <w:r w:rsidR="00DA3EA8">
              <w:rPr>
                <w:color w:val="00948D"/>
              </w:rPr>
              <w:t xml:space="preserve"> </w:t>
            </w:r>
            <w:hyperlink r:id="rId14" w:tooltip="View additional details of ACMMG273" w:history="1">
              <w:r w:rsidRPr="00DA3EA8">
                <w:rPr>
                  <w:rStyle w:val="Hyperlink"/>
                  <w:sz w:val="20"/>
                </w:rPr>
                <w:t>(ACMMG273)</w:t>
              </w:r>
            </w:hyperlink>
          </w:p>
          <w:p w:rsidR="001D321C" w:rsidRPr="004C56AC" w:rsidRDefault="001D321C" w:rsidP="00313839">
            <w:pPr>
              <w:pStyle w:val="Tablebullets"/>
              <w:numPr>
                <w:ilvl w:val="0"/>
                <w:numId w:val="2"/>
              </w:numPr>
              <w:spacing w:before="60" w:after="60"/>
              <w:ind w:left="283" w:hanging="283"/>
              <w:rPr>
                <w:color w:val="00928F"/>
              </w:rPr>
            </w:pPr>
            <w:r w:rsidRPr="004C56AC">
              <w:rPr>
                <w:color w:val="00948D"/>
              </w:rPr>
              <w:t>Use the unit circle to define trigonometric functions, and graph them with and without the use of digital technologies</w:t>
            </w:r>
            <w:r w:rsidR="00DA3EA8">
              <w:rPr>
                <w:color w:val="00948D"/>
              </w:rPr>
              <w:t xml:space="preserve"> </w:t>
            </w:r>
            <w:hyperlink r:id="rId15" w:tooltip="View additional details of ACMMG274" w:history="1">
              <w:r w:rsidRPr="00DA3EA8">
                <w:rPr>
                  <w:rStyle w:val="Hyperlink"/>
                  <w:sz w:val="20"/>
                </w:rPr>
                <w:t>(ACMMG274)</w:t>
              </w:r>
            </w:hyperlink>
          </w:p>
          <w:p w:rsidR="001D321C" w:rsidRPr="004C56AC" w:rsidRDefault="001D321C" w:rsidP="00313839">
            <w:pPr>
              <w:pStyle w:val="Tablebullets"/>
              <w:numPr>
                <w:ilvl w:val="0"/>
                <w:numId w:val="2"/>
              </w:numPr>
              <w:spacing w:before="60" w:after="60"/>
              <w:ind w:left="283" w:hanging="283"/>
              <w:rPr>
                <w:color w:val="00928F"/>
              </w:rPr>
            </w:pPr>
            <w:r w:rsidRPr="004C56AC">
              <w:rPr>
                <w:color w:val="00948D"/>
              </w:rPr>
              <w:t>Solve simple trigonometric equations</w:t>
            </w:r>
            <w:r w:rsidR="00DA3EA8">
              <w:rPr>
                <w:color w:val="00948D"/>
              </w:rPr>
              <w:t xml:space="preserve"> </w:t>
            </w:r>
            <w:hyperlink r:id="rId16" w:tooltip="View additional details of ACMMG275" w:history="1">
              <w:r w:rsidRPr="00DA3EA8">
                <w:rPr>
                  <w:rStyle w:val="Hyperlink"/>
                  <w:sz w:val="20"/>
                </w:rPr>
                <w:t>(ACMMG275)</w:t>
              </w:r>
            </w:hyperlink>
          </w:p>
          <w:p w:rsidR="00FE3B42" w:rsidRPr="00030551" w:rsidRDefault="001D321C" w:rsidP="00313839">
            <w:pPr>
              <w:pStyle w:val="Tablebullets"/>
              <w:numPr>
                <w:ilvl w:val="0"/>
                <w:numId w:val="2"/>
              </w:numPr>
              <w:spacing w:before="60" w:after="60"/>
              <w:ind w:left="283" w:hanging="283"/>
            </w:pPr>
            <w:r w:rsidRPr="004C56AC">
              <w:rPr>
                <w:color w:val="00948D"/>
              </w:rPr>
              <w:t>Apply Pythagoras’ theorem and trigonometry to solving three-dimensional pro</w:t>
            </w:r>
            <w:r w:rsidR="00DA3EA8">
              <w:rPr>
                <w:color w:val="00948D"/>
              </w:rPr>
              <w:t xml:space="preserve">blems in right-angled triangles </w:t>
            </w:r>
            <w:hyperlink r:id="rId17" w:tooltip="View additional details of ACMMG276" w:history="1">
              <w:r w:rsidRPr="00DA3EA8">
                <w:rPr>
                  <w:rStyle w:val="Hyperlink"/>
                  <w:sz w:val="20"/>
                </w:rPr>
                <w:t>(ACMMG276)</w:t>
              </w:r>
            </w:hyperlink>
          </w:p>
        </w:tc>
        <w:tc>
          <w:tcPr>
            <w:tcW w:w="1246" w:type="pct"/>
            <w:gridSpan w:val="2"/>
            <w:shd w:val="clear" w:color="auto" w:fill="auto"/>
          </w:tcPr>
          <w:p w:rsidR="00FE3B42" w:rsidRPr="00D52984" w:rsidRDefault="00FE3B42" w:rsidP="00FE3B42">
            <w:pPr>
              <w:pStyle w:val="Tablesubhead"/>
            </w:pPr>
            <w:r>
              <w:t>Chance</w:t>
            </w:r>
          </w:p>
          <w:p w:rsidR="001D321C" w:rsidRPr="00440713" w:rsidRDefault="001D321C" w:rsidP="00313839">
            <w:pPr>
              <w:pStyle w:val="Tablebullets"/>
              <w:numPr>
                <w:ilvl w:val="0"/>
                <w:numId w:val="2"/>
              </w:numPr>
              <w:ind w:left="283" w:hanging="283"/>
            </w:pPr>
            <w:r w:rsidRPr="00440713">
              <w:t>Describe the results of two- and three-step chance experiments, both with and without replacements, assign probabilities to outcomes and determine probabilities of events. Investigate the concept of independence</w:t>
            </w:r>
            <w:r w:rsidR="00DA3EA8">
              <w:t xml:space="preserve"> </w:t>
            </w:r>
            <w:hyperlink r:id="rId18" w:tooltip="View additional details of ACMSP246" w:history="1">
              <w:r w:rsidRPr="00DA3EA8">
                <w:rPr>
                  <w:rStyle w:val="Hyperlink"/>
                  <w:sz w:val="20"/>
                </w:rPr>
                <w:t>(ACMSP246)</w:t>
              </w:r>
            </w:hyperlink>
          </w:p>
          <w:p w:rsidR="00FE3B42" w:rsidRPr="0070595D" w:rsidRDefault="001D321C" w:rsidP="00313839">
            <w:pPr>
              <w:pStyle w:val="Tablebullets"/>
              <w:numPr>
                <w:ilvl w:val="0"/>
                <w:numId w:val="2"/>
              </w:numPr>
              <w:ind w:left="283" w:hanging="283"/>
            </w:pPr>
            <w:r w:rsidRPr="00440713">
              <w:t xml:space="preserve">Use the language of ‘if ....then, ‘given’, ‘of’, ‘knowing that’ to investigate conditional statements and identify common mistakes in interpreting such language </w:t>
            </w:r>
            <w:hyperlink r:id="rId19" w:tooltip="View additional details of ACMSP247" w:history="1">
              <w:r w:rsidRPr="00DA3EA8">
                <w:rPr>
                  <w:rStyle w:val="Hyperlink"/>
                  <w:sz w:val="20"/>
                </w:rPr>
                <w:t>(ACMSP247)</w:t>
              </w:r>
            </w:hyperlink>
          </w:p>
          <w:p w:rsidR="00FE3B42" w:rsidRPr="00D52984" w:rsidRDefault="00FE3B42" w:rsidP="00FE3B42">
            <w:pPr>
              <w:pStyle w:val="Tablesubhead"/>
            </w:pPr>
            <w:r>
              <w:t>Data representation and interpretation</w:t>
            </w:r>
          </w:p>
          <w:p w:rsidR="001D321C" w:rsidRPr="00D014C4" w:rsidRDefault="00123DEE" w:rsidP="00313839">
            <w:pPr>
              <w:pStyle w:val="Tablebullets"/>
              <w:numPr>
                <w:ilvl w:val="0"/>
                <w:numId w:val="2"/>
              </w:numPr>
              <w:ind w:left="283" w:hanging="283"/>
            </w:pPr>
            <w:r w:rsidRPr="00123DEE">
              <w:t xml:space="preserve">Use scatter plots to investigate and comment on relationships between two numerical variables </w:t>
            </w:r>
            <w:hyperlink r:id="rId20" w:tooltip="View additional details of ACMSP251" w:history="1">
              <w:r w:rsidR="001D321C" w:rsidRPr="00DA3EA8">
                <w:rPr>
                  <w:rStyle w:val="Hyperlink"/>
                  <w:sz w:val="20"/>
                </w:rPr>
                <w:t>(ACMSP251)</w:t>
              </w:r>
            </w:hyperlink>
          </w:p>
          <w:p w:rsidR="001D321C" w:rsidRPr="00D014C4" w:rsidRDefault="001D321C" w:rsidP="00313839">
            <w:pPr>
              <w:pStyle w:val="Tablebullets"/>
              <w:numPr>
                <w:ilvl w:val="0"/>
                <w:numId w:val="2"/>
              </w:numPr>
              <w:ind w:left="283" w:hanging="283"/>
            </w:pPr>
            <w:r w:rsidRPr="00D014C4">
              <w:t>Investigate and describe</w:t>
            </w:r>
            <w:r w:rsidRPr="004C56AC">
              <w:t> bivariate numerical data</w:t>
            </w:r>
            <w:r w:rsidRPr="00D014C4">
              <w:t xml:space="preserve"> where the</w:t>
            </w:r>
            <w:r w:rsidR="00DA3EA8">
              <w:t xml:space="preserve"> independent variable </w:t>
            </w:r>
            <w:r w:rsidRPr="00D014C4">
              <w:t>is time</w:t>
            </w:r>
            <w:r w:rsidR="00DA3EA8">
              <w:t xml:space="preserve"> </w:t>
            </w:r>
            <w:hyperlink r:id="rId21" w:tooltip="View additional details of ACMSP252" w:history="1">
              <w:r w:rsidRPr="00DA3EA8">
                <w:rPr>
                  <w:rStyle w:val="Hyperlink"/>
                  <w:sz w:val="20"/>
                </w:rPr>
                <w:t>(ACMSP252)</w:t>
              </w:r>
            </w:hyperlink>
          </w:p>
          <w:p w:rsidR="00FE3B42" w:rsidRPr="0070595D" w:rsidRDefault="001D321C" w:rsidP="00313839">
            <w:pPr>
              <w:pStyle w:val="Tablebullets"/>
              <w:numPr>
                <w:ilvl w:val="0"/>
                <w:numId w:val="2"/>
              </w:numPr>
              <w:ind w:left="283" w:hanging="283"/>
            </w:pPr>
            <w:r w:rsidRPr="00D014C4">
              <w:t>Evaluate statistical reports in the media and other places by linking claims to displays, statistics and representative</w:t>
            </w:r>
            <w:r w:rsidR="00DA3EA8">
              <w:t xml:space="preserve"> </w:t>
            </w:r>
            <w:r w:rsidRPr="004C56AC">
              <w:t>data</w:t>
            </w:r>
            <w:r w:rsidR="00DA3EA8">
              <w:t xml:space="preserve"> </w:t>
            </w:r>
            <w:hyperlink r:id="rId22" w:tooltip="View additional details of ACMSP253" w:history="1">
              <w:r w:rsidRPr="00DA3EA8">
                <w:rPr>
                  <w:rStyle w:val="Hyperlink"/>
                  <w:sz w:val="20"/>
                </w:rPr>
                <w:t>(ACMSP253)</w:t>
              </w:r>
            </w:hyperlink>
          </w:p>
          <w:p w:rsidR="00FE3B42" w:rsidRPr="00385B38" w:rsidRDefault="00FE3B42" w:rsidP="00FE3B42">
            <w:pPr>
              <w:pStyle w:val="Tablesubhead"/>
              <w:rPr>
                <w:color w:val="00948D"/>
              </w:rPr>
            </w:pPr>
            <w:r w:rsidRPr="00385B38">
              <w:rPr>
                <w:color w:val="00948D"/>
              </w:rPr>
              <w:t>Chance (10a)</w:t>
            </w:r>
          </w:p>
          <w:p w:rsidR="00FE3B42" w:rsidRPr="004C56AC" w:rsidRDefault="00123DEE" w:rsidP="00313839">
            <w:pPr>
              <w:pStyle w:val="Tablebullets"/>
              <w:numPr>
                <w:ilvl w:val="0"/>
                <w:numId w:val="2"/>
              </w:numPr>
              <w:spacing w:before="60" w:after="60"/>
              <w:ind w:left="283" w:hanging="283"/>
              <w:rPr>
                <w:color w:val="00928F"/>
              </w:rPr>
            </w:pPr>
            <w:r w:rsidRPr="00123DEE">
              <w:rPr>
                <w:color w:val="00948D"/>
              </w:rPr>
              <w:t xml:space="preserve">Investigate reports of studies in digital media and elsewhere for information on their planning and implementation </w:t>
            </w:r>
            <w:hyperlink r:id="rId23" w:tooltip="View additional details of ACMSP277" w:history="1">
              <w:r w:rsidR="001D321C" w:rsidRPr="00DA3EA8">
                <w:rPr>
                  <w:rStyle w:val="Hyperlink"/>
                  <w:sz w:val="20"/>
                </w:rPr>
                <w:t>(ACMSP277)</w:t>
              </w:r>
            </w:hyperlink>
          </w:p>
          <w:p w:rsidR="00FE3B42" w:rsidRPr="00385B38" w:rsidRDefault="00FE3B42" w:rsidP="00FE3B42">
            <w:pPr>
              <w:pStyle w:val="Tablesubhead"/>
              <w:rPr>
                <w:color w:val="00948D"/>
              </w:rPr>
            </w:pPr>
            <w:r w:rsidRPr="00385B38">
              <w:rPr>
                <w:color w:val="00948D"/>
              </w:rPr>
              <w:t>Data representation and interpretation (10a)</w:t>
            </w:r>
          </w:p>
          <w:p w:rsidR="00FE3B42" w:rsidRPr="00030551" w:rsidRDefault="001D321C" w:rsidP="00313839">
            <w:pPr>
              <w:pStyle w:val="Tablebullets"/>
              <w:numPr>
                <w:ilvl w:val="0"/>
                <w:numId w:val="2"/>
              </w:numPr>
              <w:spacing w:before="60" w:after="60"/>
              <w:ind w:left="283" w:hanging="283"/>
            </w:pPr>
            <w:r w:rsidRPr="004C56AC">
              <w:rPr>
                <w:color w:val="00948D"/>
              </w:rPr>
              <w:t xml:space="preserve">Use information technologies to investigate bivariate numerical data sets. Where appropriate use a straight line to describe the relationship, allowing for variation </w:t>
            </w:r>
            <w:hyperlink r:id="rId24" w:tooltip="View additional details of ACMSP279" w:history="1">
              <w:r w:rsidRPr="00DA3EA8">
                <w:rPr>
                  <w:rStyle w:val="Hyperlink"/>
                  <w:sz w:val="20"/>
                </w:rPr>
                <w:t>(ACMSP279)</w:t>
              </w:r>
            </w:hyperlink>
          </w:p>
        </w:tc>
        <w:tc>
          <w:tcPr>
            <w:tcW w:w="1262" w:type="pct"/>
            <w:shd w:val="clear" w:color="auto" w:fill="auto"/>
          </w:tcPr>
          <w:p w:rsidR="00FE3B42" w:rsidRDefault="00946E11" w:rsidP="00FE3B42">
            <w:pPr>
              <w:pStyle w:val="Tablesubhead"/>
              <w:tabs>
                <w:tab w:val="left" w:pos="510"/>
              </w:tabs>
              <w:ind w:left="510" w:hanging="510"/>
            </w:pPr>
            <w:r>
              <w:rPr>
                <w:noProof/>
                <w:sz w:val="17"/>
                <w:szCs w:val="17"/>
                <w:lang w:eastAsia="en-AU"/>
              </w:rPr>
              <w:drawing>
                <wp:inline distT="0" distB="0" distL="0" distR="0">
                  <wp:extent cx="191135" cy="191135"/>
                  <wp:effectExtent l="0" t="0" r="0" b="0"/>
                  <wp:docPr id="1" name="Picture 1"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_literac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E3B42">
              <w:rPr>
                <w:sz w:val="17"/>
                <w:szCs w:val="17"/>
              </w:rPr>
              <w:tab/>
            </w:r>
            <w:r w:rsidR="00FE3B42" w:rsidRPr="00790B29">
              <w:t>Literacy</w:t>
            </w:r>
          </w:p>
          <w:p w:rsidR="00FE3B42" w:rsidRPr="00286511" w:rsidRDefault="00FE3B42" w:rsidP="00313839">
            <w:pPr>
              <w:pStyle w:val="Tablebullets"/>
              <w:numPr>
                <w:ilvl w:val="0"/>
                <w:numId w:val="2"/>
              </w:numPr>
              <w:ind w:left="283" w:hanging="283"/>
            </w:pPr>
            <w:r>
              <w:t>C</w:t>
            </w:r>
            <w:r w:rsidRPr="00286511">
              <w:t>reate print, visual and digital materials</w:t>
            </w:r>
          </w:p>
          <w:p w:rsidR="00FE3B42" w:rsidRPr="00286511" w:rsidRDefault="00FE3B42" w:rsidP="00313839">
            <w:pPr>
              <w:pStyle w:val="Tablebullets"/>
              <w:numPr>
                <w:ilvl w:val="0"/>
                <w:numId w:val="2"/>
              </w:numPr>
              <w:ind w:left="283" w:hanging="283"/>
            </w:pPr>
            <w:r>
              <w:t>W</w:t>
            </w:r>
            <w:r w:rsidRPr="00286511">
              <w:t xml:space="preserve">rite reports, including </w:t>
            </w:r>
            <w:r w:rsidR="00597E6A">
              <w:t xml:space="preserve">an </w:t>
            </w:r>
            <w:r w:rsidRPr="00286511">
              <w:t>evaluation and conclusion</w:t>
            </w:r>
          </w:p>
          <w:p w:rsidR="00FE3B42" w:rsidRPr="00286511" w:rsidRDefault="00FE3B42" w:rsidP="00313839">
            <w:pPr>
              <w:pStyle w:val="Tablebullets"/>
              <w:numPr>
                <w:ilvl w:val="0"/>
                <w:numId w:val="2"/>
              </w:numPr>
              <w:ind w:left="283" w:hanging="283"/>
            </w:pPr>
            <w:r>
              <w:t>C</w:t>
            </w:r>
            <w:r w:rsidRPr="00286511">
              <w:t>ommunicate using mathematical terminology</w:t>
            </w:r>
          </w:p>
          <w:p w:rsidR="00FE3B42" w:rsidRDefault="00946E11" w:rsidP="00FE3B42">
            <w:pPr>
              <w:pStyle w:val="Tablesubhead"/>
              <w:tabs>
                <w:tab w:val="left" w:pos="510"/>
              </w:tabs>
              <w:ind w:left="510" w:hanging="510"/>
            </w:pPr>
            <w:r>
              <w:rPr>
                <w:noProof/>
                <w:sz w:val="17"/>
                <w:szCs w:val="17"/>
                <w:lang w:eastAsia="en-AU"/>
              </w:rPr>
              <w:drawing>
                <wp:inline distT="0" distB="0" distL="0" distR="0">
                  <wp:extent cx="191135" cy="191135"/>
                  <wp:effectExtent l="0" t="0" r="0" b="0"/>
                  <wp:docPr id="2" name="Picture 2"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_numerac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E3B42">
              <w:rPr>
                <w:sz w:val="17"/>
                <w:szCs w:val="17"/>
              </w:rPr>
              <w:tab/>
            </w:r>
            <w:r w:rsidR="00FE3B42">
              <w:t>Numeracy</w:t>
            </w:r>
          </w:p>
          <w:p w:rsidR="00FE3B42" w:rsidRPr="00790B29" w:rsidRDefault="00FE3B42" w:rsidP="00313839">
            <w:pPr>
              <w:pStyle w:val="Tablebullets"/>
              <w:numPr>
                <w:ilvl w:val="0"/>
                <w:numId w:val="2"/>
              </w:numPr>
              <w:ind w:left="283" w:hanging="283"/>
            </w:pPr>
            <w:r>
              <w:t>Understand data in real-world applications</w:t>
            </w:r>
          </w:p>
          <w:p w:rsidR="00FE3B42" w:rsidRPr="00790B29" w:rsidRDefault="00946E11" w:rsidP="00FE3B42">
            <w:pPr>
              <w:pStyle w:val="Tabletext"/>
              <w:tabs>
                <w:tab w:val="left" w:pos="510"/>
              </w:tabs>
              <w:ind w:left="510" w:hanging="510"/>
              <w:rPr>
                <w:b/>
              </w:rPr>
            </w:pPr>
            <w:r>
              <w:rPr>
                <w:noProof/>
                <w:sz w:val="17"/>
                <w:szCs w:val="17"/>
                <w:lang w:eastAsia="en-AU"/>
              </w:rPr>
              <w:drawing>
                <wp:inline distT="0" distB="0" distL="0" distR="0">
                  <wp:extent cx="191135" cy="191135"/>
                  <wp:effectExtent l="0" t="0" r="0" b="0"/>
                  <wp:docPr id="3" name="Picture 3"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_ic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E3B42">
              <w:rPr>
                <w:sz w:val="17"/>
                <w:szCs w:val="17"/>
              </w:rPr>
              <w:tab/>
            </w:r>
            <w:r w:rsidR="00FE3B42">
              <w:rPr>
                <w:b/>
              </w:rPr>
              <w:t>ICT</w:t>
            </w:r>
            <w:r w:rsidR="00FE3B42" w:rsidRPr="00790B29">
              <w:rPr>
                <w:b/>
              </w:rPr>
              <w:t xml:space="preserve"> </w:t>
            </w:r>
            <w:r w:rsidR="00D455C3">
              <w:rPr>
                <w:b/>
              </w:rPr>
              <w:t>capability</w:t>
            </w:r>
          </w:p>
          <w:p w:rsidR="00FE3B42" w:rsidRPr="00286511" w:rsidRDefault="00FE3B42" w:rsidP="00313839">
            <w:pPr>
              <w:pStyle w:val="Tablebullets"/>
              <w:numPr>
                <w:ilvl w:val="0"/>
                <w:numId w:val="2"/>
              </w:numPr>
              <w:ind w:left="283" w:hanging="283"/>
            </w:pPr>
            <w:r>
              <w:t>U</w:t>
            </w:r>
            <w:r w:rsidRPr="00286511">
              <w:t>se spreadsheets and graphing software to model real-world data</w:t>
            </w:r>
          </w:p>
          <w:p w:rsidR="00FE3B42" w:rsidRPr="00286511" w:rsidRDefault="00FE3B42" w:rsidP="00313839">
            <w:pPr>
              <w:pStyle w:val="Tablebullets"/>
              <w:numPr>
                <w:ilvl w:val="0"/>
                <w:numId w:val="2"/>
              </w:numPr>
              <w:ind w:left="283" w:hanging="283"/>
            </w:pPr>
            <w:r>
              <w:t>U</w:t>
            </w:r>
            <w:r w:rsidRPr="00286511">
              <w:t>se interactive manipulatives to generate experimental data</w:t>
            </w:r>
          </w:p>
          <w:p w:rsidR="00FE3B42" w:rsidRPr="00790B29" w:rsidRDefault="00946E11" w:rsidP="00FE3B42">
            <w:pPr>
              <w:pStyle w:val="Tablesubhead"/>
              <w:tabs>
                <w:tab w:val="left" w:pos="510"/>
              </w:tabs>
              <w:ind w:left="510" w:hanging="510"/>
            </w:pPr>
            <w:r>
              <w:rPr>
                <w:noProof/>
                <w:sz w:val="17"/>
                <w:szCs w:val="17"/>
                <w:lang w:eastAsia="en-AU"/>
              </w:rPr>
              <w:drawing>
                <wp:inline distT="0" distB="0" distL="0" distR="0">
                  <wp:extent cx="191135" cy="191135"/>
                  <wp:effectExtent l="0" t="0" r="0" b="0"/>
                  <wp:docPr id="4" name="Picture 4"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_critic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E3B42">
              <w:rPr>
                <w:sz w:val="17"/>
                <w:szCs w:val="17"/>
              </w:rPr>
              <w:tab/>
            </w:r>
            <w:r w:rsidR="00FE3B42" w:rsidRPr="00790B29">
              <w:t>Critical and creative thinking</w:t>
            </w:r>
          </w:p>
          <w:p w:rsidR="00FE3B42" w:rsidRPr="00286511" w:rsidRDefault="00FE3B42" w:rsidP="00313839">
            <w:pPr>
              <w:pStyle w:val="Tablebullets"/>
              <w:numPr>
                <w:ilvl w:val="0"/>
                <w:numId w:val="2"/>
              </w:numPr>
              <w:ind w:left="283" w:hanging="283"/>
            </w:pPr>
            <w:r>
              <w:t>E</w:t>
            </w:r>
            <w:r w:rsidRPr="00286511">
              <w:t>valuate approaches to problem</w:t>
            </w:r>
            <w:r w:rsidR="00597E6A" w:rsidRPr="00286511">
              <w:t xml:space="preserve"> solving</w:t>
            </w:r>
          </w:p>
          <w:p w:rsidR="00FE3B42" w:rsidRPr="00286511" w:rsidRDefault="00FE3B42" w:rsidP="00313839">
            <w:pPr>
              <w:pStyle w:val="Tablebullets"/>
              <w:numPr>
                <w:ilvl w:val="0"/>
                <w:numId w:val="2"/>
              </w:numPr>
              <w:ind w:left="283" w:hanging="283"/>
            </w:pPr>
            <w:r>
              <w:t>D</w:t>
            </w:r>
            <w:r w:rsidRPr="00286511">
              <w:t>esign an investigation</w:t>
            </w:r>
          </w:p>
          <w:p w:rsidR="00FE3B42" w:rsidRDefault="00946E11" w:rsidP="00FE3B42">
            <w:pPr>
              <w:pStyle w:val="Tablesubhead"/>
              <w:tabs>
                <w:tab w:val="left" w:pos="510"/>
              </w:tabs>
              <w:ind w:left="510" w:hanging="510"/>
            </w:pPr>
            <w:r>
              <w:rPr>
                <w:noProof/>
                <w:sz w:val="17"/>
                <w:szCs w:val="17"/>
                <w:lang w:eastAsia="en-AU"/>
              </w:rPr>
              <w:drawing>
                <wp:inline distT="0" distB="0" distL="0" distR="0">
                  <wp:extent cx="191135" cy="191135"/>
                  <wp:effectExtent l="0" t="0" r="0" b="0"/>
                  <wp:docPr id="5" name="Picture 5" descr="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_ethic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E3B42">
              <w:rPr>
                <w:sz w:val="17"/>
                <w:szCs w:val="17"/>
              </w:rPr>
              <w:tab/>
            </w:r>
            <w:r w:rsidR="00FE3B42">
              <w:t xml:space="preserve">Ethical </w:t>
            </w:r>
            <w:r w:rsidR="00854213">
              <w:t>behaviour</w:t>
            </w:r>
          </w:p>
          <w:p w:rsidR="00E70925" w:rsidRPr="00030551" w:rsidRDefault="00FE3B42" w:rsidP="00313839">
            <w:pPr>
              <w:pStyle w:val="Tablebullets"/>
              <w:numPr>
                <w:ilvl w:val="0"/>
                <w:numId w:val="2"/>
              </w:numPr>
              <w:ind w:left="283" w:hanging="283"/>
            </w:pPr>
            <w:r>
              <w:t>E</w:t>
            </w:r>
            <w:r w:rsidRPr="000A638A">
              <w:t>valuat</w:t>
            </w:r>
            <w:r>
              <w:t>e</w:t>
            </w:r>
            <w:r w:rsidRPr="000A638A">
              <w:t xml:space="preserve"> media reports that refer to data</w:t>
            </w:r>
          </w:p>
        </w:tc>
      </w:tr>
      <w:tr w:rsidR="00D41384" w:rsidRPr="00561E58" w:rsidTr="00D41384">
        <w:trPr>
          <w:jc w:val="center"/>
        </w:trPr>
        <w:tc>
          <w:tcPr>
            <w:tcW w:w="5000" w:type="pct"/>
            <w:gridSpan w:val="5"/>
            <w:shd w:val="clear" w:color="auto" w:fill="CFE7E6"/>
          </w:tcPr>
          <w:p w:rsidR="00D41384" w:rsidRPr="004E0C69" w:rsidRDefault="00D41384" w:rsidP="00A32D9E">
            <w:pPr>
              <w:pStyle w:val="Tablesubhead"/>
              <w:rPr>
                <w:highlight w:val="magenta"/>
              </w:rPr>
            </w:pPr>
            <w:r>
              <w:t>A</w:t>
            </w:r>
            <w:r w:rsidRPr="004E0C69">
              <w:t>chievement standard</w:t>
            </w:r>
          </w:p>
        </w:tc>
      </w:tr>
      <w:tr w:rsidR="00D41384" w:rsidRPr="00561E58" w:rsidTr="00D41384">
        <w:trPr>
          <w:jc w:val="center"/>
        </w:trPr>
        <w:tc>
          <w:tcPr>
            <w:tcW w:w="5000" w:type="pct"/>
            <w:gridSpan w:val="5"/>
            <w:shd w:val="clear" w:color="auto" w:fill="auto"/>
          </w:tcPr>
          <w:p w:rsidR="00D41384" w:rsidRDefault="00D41384" w:rsidP="00A32D9E">
            <w:pPr>
              <w:pStyle w:val="Tabletext"/>
            </w:pPr>
            <w:r>
              <w:t>By the end of Year 10, students recognise the connection between simple and compound interest. They solve problems involving linear equations and inequalities. They make the connections between algebraic and graphical representations of relations. Students solve surface area and volume problems relating to composite solids. They recognise the relationships between parallel and perpendicular lines. Students apply deductive reasoning to proofs and numerical exercises involving plane shapes. They compare data sets by referring to the shapes of the various data displays. They describe bivariate data where the independent variable is time. Students describe statistical relationships between two continuous variables. They evaluate statistical reports.</w:t>
            </w:r>
          </w:p>
          <w:p w:rsidR="00D41384" w:rsidRPr="00E70925" w:rsidRDefault="00D41384" w:rsidP="00A32D9E">
            <w:pPr>
              <w:pStyle w:val="Tabletext"/>
            </w:pPr>
            <w:r>
              <w:t>Students expand binomial expressions and factorise monic quadratic expressions. They find unknown values after substitution into formulas. They perform the four operations with simple algebraic fractions. Students solve simple quadratic equations and pairs of simultaneous equations. They use triangle and angle properties to prove congruence and similarity. Students use trigonometry to calculate unknown angles in right-angled triangles. Students list outcomes for multi-step chance experiments and assign probabilities for these experiments. They calculate quartiles and inter-quartile ranges.</w:t>
            </w:r>
          </w:p>
        </w:tc>
      </w:tr>
      <w:tr w:rsidR="00D41384" w:rsidRPr="00561E58" w:rsidTr="004F58C2">
        <w:trPr>
          <w:jc w:val="center"/>
        </w:trPr>
        <w:tc>
          <w:tcPr>
            <w:tcW w:w="5000" w:type="pct"/>
            <w:gridSpan w:val="5"/>
            <w:tcBorders>
              <w:bottom w:val="single" w:sz="4" w:space="0" w:color="00928F"/>
            </w:tcBorders>
            <w:shd w:val="clear" w:color="auto" w:fill="CFE7E6"/>
          </w:tcPr>
          <w:p w:rsidR="00D41384" w:rsidRPr="00D41384" w:rsidRDefault="00D41384" w:rsidP="00D41384">
            <w:pPr>
              <w:pStyle w:val="Tablesubhead"/>
            </w:pPr>
            <w:r>
              <w:t>Proficiencies</w:t>
            </w:r>
          </w:p>
        </w:tc>
      </w:tr>
      <w:tr w:rsidR="004F58C2" w:rsidRPr="00561E58" w:rsidTr="004F58C2">
        <w:trPr>
          <w:jc w:val="center"/>
        </w:trPr>
        <w:tc>
          <w:tcPr>
            <w:tcW w:w="2500" w:type="pct"/>
            <w:gridSpan w:val="3"/>
            <w:tcBorders>
              <w:right w:val="nil"/>
            </w:tcBorders>
            <w:shd w:val="clear" w:color="auto" w:fill="auto"/>
          </w:tcPr>
          <w:p w:rsidR="004F58C2" w:rsidRDefault="006717D2" w:rsidP="00687F52">
            <w:pPr>
              <w:pStyle w:val="Tabletext"/>
            </w:pPr>
            <w:r>
              <w:t>O</w:t>
            </w:r>
            <w:r w:rsidR="004F58C2">
              <w:t>pportunities to develop proficiencies include</w:t>
            </w:r>
            <w:r w:rsidR="004F58C2" w:rsidRPr="00FA75E3">
              <w:t>:</w:t>
            </w:r>
          </w:p>
          <w:p w:rsidR="004F58C2" w:rsidRPr="00687F52" w:rsidRDefault="004F58C2" w:rsidP="00A32D9E">
            <w:pPr>
              <w:pStyle w:val="Tablesubhead"/>
            </w:pPr>
            <w:r w:rsidRPr="00687F52">
              <w:t xml:space="preserve">Understanding </w:t>
            </w:r>
          </w:p>
          <w:p w:rsidR="004F58C2" w:rsidRDefault="004F58C2" w:rsidP="00687F52">
            <w:pPr>
              <w:pStyle w:val="Tablebullets"/>
            </w:pPr>
            <w:r w:rsidRPr="00687F52">
              <w:t>finding unknowns in formulas after substitution</w:t>
            </w:r>
          </w:p>
          <w:p w:rsidR="004F58C2" w:rsidRPr="00687F52" w:rsidRDefault="004F58C2" w:rsidP="00687F52">
            <w:pPr>
              <w:pStyle w:val="Tablebullets"/>
            </w:pPr>
            <w:r w:rsidRPr="00687F52">
              <w:t xml:space="preserve">making the connection between </w:t>
            </w:r>
            <w:r w:rsidR="00AD28B5">
              <w:t xml:space="preserve">equations of </w:t>
            </w:r>
            <w:r w:rsidRPr="00687F52">
              <w:t xml:space="preserve">relations </w:t>
            </w:r>
          </w:p>
          <w:p w:rsidR="004F58C2" w:rsidRPr="00687F52" w:rsidRDefault="004F58C2" w:rsidP="00687F52">
            <w:pPr>
              <w:pStyle w:val="Tablebullets"/>
            </w:pPr>
            <w:r w:rsidRPr="00687F52">
              <w:t xml:space="preserve">determining probabilities of </w:t>
            </w:r>
            <w:r w:rsidR="00AD28B5">
              <w:t>two and three step</w:t>
            </w:r>
            <w:r w:rsidR="00AD28B5" w:rsidRPr="00687F52">
              <w:t xml:space="preserve"> </w:t>
            </w:r>
            <w:r w:rsidRPr="00687F52">
              <w:t>experiments</w:t>
            </w:r>
          </w:p>
          <w:p w:rsidR="004F58C2" w:rsidRDefault="004F58C2" w:rsidP="00A32D9E">
            <w:pPr>
              <w:pStyle w:val="Tablesubhead"/>
            </w:pPr>
            <w:r w:rsidRPr="00687F52">
              <w:t xml:space="preserve">Fluency </w:t>
            </w:r>
          </w:p>
          <w:p w:rsidR="004F58C2" w:rsidRPr="00687F52" w:rsidRDefault="004F58C2" w:rsidP="00687F52">
            <w:pPr>
              <w:pStyle w:val="Tablebullets"/>
            </w:pPr>
            <w:r w:rsidRPr="00687F52">
              <w:t xml:space="preserve">using a range of strategies to solve equations </w:t>
            </w:r>
          </w:p>
        </w:tc>
        <w:tc>
          <w:tcPr>
            <w:tcW w:w="2500" w:type="pct"/>
            <w:gridSpan w:val="2"/>
            <w:tcBorders>
              <w:left w:val="nil"/>
            </w:tcBorders>
            <w:shd w:val="clear" w:color="auto" w:fill="auto"/>
          </w:tcPr>
          <w:p w:rsidR="004F58C2" w:rsidRDefault="004F58C2" w:rsidP="00A32D9E">
            <w:pPr>
              <w:pStyle w:val="Tablesubhead"/>
            </w:pPr>
            <w:r w:rsidRPr="00687F52">
              <w:t xml:space="preserve">Problem Solving </w:t>
            </w:r>
          </w:p>
          <w:p w:rsidR="004F58C2" w:rsidRDefault="004F58C2" w:rsidP="00687F52">
            <w:pPr>
              <w:pStyle w:val="Tablebullets"/>
            </w:pPr>
            <w:r w:rsidRPr="00687F52">
              <w:t>finding unknown lengths and angles using applications of trigonometry</w:t>
            </w:r>
          </w:p>
          <w:p w:rsidR="004F58C2" w:rsidRDefault="004F58C2" w:rsidP="00687F52">
            <w:pPr>
              <w:pStyle w:val="Tablebullets"/>
            </w:pPr>
            <w:r>
              <w:t>modelling of mathematical situations</w:t>
            </w:r>
          </w:p>
          <w:p w:rsidR="004F58C2" w:rsidRPr="00687F52" w:rsidRDefault="004F58C2" w:rsidP="00687F52">
            <w:pPr>
              <w:pStyle w:val="Tablebullets"/>
            </w:pPr>
            <w:r w:rsidRPr="00687F52">
              <w:t xml:space="preserve">investigating independence of events </w:t>
            </w:r>
          </w:p>
          <w:p w:rsidR="004F58C2" w:rsidRPr="00687F52" w:rsidRDefault="004F58C2" w:rsidP="00A32D9E">
            <w:pPr>
              <w:pStyle w:val="Tablesubhead"/>
            </w:pPr>
            <w:r w:rsidRPr="00687F52">
              <w:t xml:space="preserve">Reasoning </w:t>
            </w:r>
          </w:p>
          <w:p w:rsidR="004F58C2" w:rsidRDefault="004F58C2" w:rsidP="00687F52">
            <w:pPr>
              <w:pStyle w:val="Tablebullets"/>
            </w:pPr>
            <w:r w:rsidRPr="00687F52">
              <w:t xml:space="preserve">interpreting and evaluating media statements </w:t>
            </w:r>
          </w:p>
          <w:p w:rsidR="004F58C2" w:rsidRPr="004F58C2" w:rsidRDefault="004F58C2" w:rsidP="004F58C2">
            <w:pPr>
              <w:pStyle w:val="Tablebullets"/>
            </w:pPr>
            <w:r w:rsidRPr="004F58C2">
              <w:t>interpreting and comparing data sets</w:t>
            </w:r>
          </w:p>
        </w:tc>
      </w:tr>
    </w:tbl>
    <w:p w:rsidR="00364E09" w:rsidRPr="008300AE" w:rsidRDefault="00364E09"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1F6C01" w:rsidRPr="00C50AE1" w:rsidTr="00C8736D">
        <w:trPr>
          <w:jc w:val="center"/>
        </w:trPr>
        <w:tc>
          <w:tcPr>
            <w:tcW w:w="2519" w:type="pct"/>
            <w:shd w:val="clear" w:color="auto" w:fill="CFE7E6"/>
          </w:tcPr>
          <w:p w:rsidR="001F6C01" w:rsidRPr="004E0C69" w:rsidRDefault="001F6C01" w:rsidP="00A343ED">
            <w:pPr>
              <w:pStyle w:val="Tablesubhead"/>
            </w:pPr>
            <w:r w:rsidRPr="004E0C69">
              <w:t>Relevant prior curriculum</w:t>
            </w:r>
          </w:p>
        </w:tc>
        <w:tc>
          <w:tcPr>
            <w:tcW w:w="2481" w:type="pct"/>
            <w:shd w:val="clear" w:color="auto" w:fill="CFE7E6"/>
          </w:tcPr>
          <w:p w:rsidR="001F6C01" w:rsidRPr="004E0C69" w:rsidRDefault="001F6C01" w:rsidP="00A343ED">
            <w:pPr>
              <w:pStyle w:val="Tablesubhead"/>
            </w:pPr>
            <w:r w:rsidRPr="004E0C69">
              <w:t>Curriculum working towards</w:t>
            </w:r>
          </w:p>
        </w:tc>
      </w:tr>
      <w:tr w:rsidR="00FE3B42" w:rsidRPr="009927F7" w:rsidTr="001F6C01">
        <w:trPr>
          <w:jc w:val="center"/>
        </w:trPr>
        <w:tc>
          <w:tcPr>
            <w:tcW w:w="2519" w:type="pct"/>
            <w:shd w:val="clear" w:color="auto" w:fill="auto"/>
          </w:tcPr>
          <w:p w:rsidR="00FE3B42" w:rsidRPr="003C3015" w:rsidRDefault="00FE3B42" w:rsidP="00FE3B42">
            <w:pPr>
              <w:pStyle w:val="Tabletext"/>
              <w:rPr>
                <w:b/>
              </w:rPr>
            </w:pPr>
            <w:r w:rsidRPr="003C3015">
              <w:rPr>
                <w:b/>
              </w:rPr>
              <w:t>In the Australian Curriculum: Mathematics at Year 9</w:t>
            </w:r>
          </w:p>
          <w:p w:rsidR="00FE3B42" w:rsidRDefault="00FE3B42" w:rsidP="00FE3B42">
            <w:pPr>
              <w:pStyle w:val="Tabletext"/>
            </w:pPr>
            <w:r>
              <w:t>This unit builds upon students’ understanding of the basic concepts of probability and data representation:</w:t>
            </w:r>
          </w:p>
          <w:p w:rsidR="00FE3B42" w:rsidRDefault="00FE3B42" w:rsidP="00313839">
            <w:pPr>
              <w:pStyle w:val="Tablebullets"/>
              <w:numPr>
                <w:ilvl w:val="0"/>
                <w:numId w:val="2"/>
              </w:numPr>
              <w:ind w:left="283" w:hanging="283"/>
            </w:pPr>
            <w:r>
              <w:t>linear and non-linear relationships</w:t>
            </w:r>
          </w:p>
          <w:p w:rsidR="00FE3B42" w:rsidRDefault="00FE3B42" w:rsidP="00313839">
            <w:pPr>
              <w:pStyle w:val="Tablebullets"/>
              <w:numPr>
                <w:ilvl w:val="0"/>
                <w:numId w:val="2"/>
              </w:numPr>
              <w:ind w:left="283" w:hanging="283"/>
            </w:pPr>
            <w:r>
              <w:t>Pythagoras and trigonometry</w:t>
            </w:r>
          </w:p>
          <w:p w:rsidR="00FE3B42" w:rsidRDefault="00FE3B42" w:rsidP="00313839">
            <w:pPr>
              <w:pStyle w:val="Tablebullets"/>
              <w:numPr>
                <w:ilvl w:val="0"/>
                <w:numId w:val="2"/>
              </w:numPr>
              <w:ind w:left="283" w:hanging="283"/>
            </w:pPr>
            <w:r>
              <w:t xml:space="preserve">assigning probabilities </w:t>
            </w:r>
          </w:p>
          <w:p w:rsidR="00FE3B42" w:rsidRPr="00030551" w:rsidRDefault="00FE3B42" w:rsidP="00313839">
            <w:pPr>
              <w:pStyle w:val="Tablebullets"/>
              <w:numPr>
                <w:ilvl w:val="0"/>
                <w:numId w:val="2"/>
              </w:numPr>
              <w:ind w:left="283" w:hanging="283"/>
            </w:pPr>
            <w:r>
              <w:t>collecting and displaying data.</w:t>
            </w:r>
          </w:p>
        </w:tc>
        <w:tc>
          <w:tcPr>
            <w:tcW w:w="2481" w:type="pct"/>
            <w:shd w:val="clear" w:color="auto" w:fill="auto"/>
          </w:tcPr>
          <w:p w:rsidR="00FE3B42" w:rsidRPr="003C3015" w:rsidRDefault="00FE3B42" w:rsidP="00FE3B42">
            <w:pPr>
              <w:pStyle w:val="Tabletext"/>
              <w:rPr>
                <w:b/>
              </w:rPr>
            </w:pPr>
            <w:r w:rsidRPr="003C3015">
              <w:rPr>
                <w:b/>
              </w:rPr>
              <w:t>In the Mathematics A senior syllabus</w:t>
            </w:r>
          </w:p>
          <w:p w:rsidR="00FE3B42" w:rsidRDefault="00FE3B42" w:rsidP="00313839">
            <w:pPr>
              <w:pStyle w:val="Tablebullets"/>
              <w:numPr>
                <w:ilvl w:val="0"/>
                <w:numId w:val="2"/>
              </w:numPr>
            </w:pPr>
            <w:r>
              <w:t>elements of applied geometry</w:t>
            </w:r>
          </w:p>
          <w:p w:rsidR="00FE3B42" w:rsidRDefault="00FE3B42" w:rsidP="00313839">
            <w:pPr>
              <w:pStyle w:val="Tablebullets"/>
              <w:numPr>
                <w:ilvl w:val="0"/>
                <w:numId w:val="2"/>
              </w:numPr>
            </w:pPr>
            <w:r>
              <w:t>data collection and presentation</w:t>
            </w:r>
          </w:p>
          <w:p w:rsidR="00FE3B42" w:rsidRPr="003C3015" w:rsidRDefault="00FE3B42" w:rsidP="00FE3B42">
            <w:pPr>
              <w:pStyle w:val="Tabletext"/>
              <w:rPr>
                <w:b/>
              </w:rPr>
            </w:pPr>
            <w:r w:rsidRPr="003C3015">
              <w:rPr>
                <w:b/>
              </w:rPr>
              <w:t>In the Mathematics B senior syllabus</w:t>
            </w:r>
          </w:p>
          <w:p w:rsidR="00FE3B42" w:rsidRDefault="00FE3B42" w:rsidP="00313839">
            <w:pPr>
              <w:pStyle w:val="Tablebullets"/>
              <w:numPr>
                <w:ilvl w:val="0"/>
                <w:numId w:val="2"/>
              </w:numPr>
            </w:pPr>
            <w:r>
              <w:t>introduction to functions</w:t>
            </w:r>
          </w:p>
          <w:p w:rsidR="00FE3B42" w:rsidRDefault="00FE3B42" w:rsidP="00313839">
            <w:pPr>
              <w:pStyle w:val="Tablebullets"/>
              <w:numPr>
                <w:ilvl w:val="0"/>
                <w:numId w:val="2"/>
              </w:numPr>
            </w:pPr>
            <w:r>
              <w:t>periodic functions and applications</w:t>
            </w:r>
          </w:p>
          <w:p w:rsidR="00FE3B42" w:rsidRDefault="00FE3B42" w:rsidP="00313839">
            <w:pPr>
              <w:pStyle w:val="Tablebullets"/>
              <w:numPr>
                <w:ilvl w:val="0"/>
                <w:numId w:val="2"/>
              </w:numPr>
            </w:pPr>
            <w:r>
              <w:t>applied statistical analysis.</w:t>
            </w:r>
          </w:p>
          <w:p w:rsidR="00FE3B42" w:rsidRDefault="00FE3B42" w:rsidP="00FE3B42">
            <w:pPr>
              <w:pStyle w:val="Tabletext"/>
            </w:pPr>
            <w:r>
              <w:t xml:space="preserve">This unit develops students’ familiarity with the assessment required in </w:t>
            </w:r>
            <w:r w:rsidR="0053466B">
              <w:t>S</w:t>
            </w:r>
            <w:r>
              <w:t xml:space="preserve">enior </w:t>
            </w:r>
            <w:r w:rsidR="0053466B">
              <w:t>M</w:t>
            </w:r>
            <w:r>
              <w:t>athematics:</w:t>
            </w:r>
          </w:p>
          <w:p w:rsidR="00FE3B42" w:rsidRDefault="00FE3B42" w:rsidP="00313839">
            <w:pPr>
              <w:pStyle w:val="Tablebullets"/>
              <w:numPr>
                <w:ilvl w:val="0"/>
                <w:numId w:val="2"/>
              </w:numPr>
              <w:ind w:left="283" w:hanging="283"/>
            </w:pPr>
            <w:r>
              <w:t>modelling and problem</w:t>
            </w:r>
            <w:r w:rsidR="0053466B">
              <w:t>-</w:t>
            </w:r>
            <w:r>
              <w:t>solving tasks</w:t>
            </w:r>
          </w:p>
          <w:p w:rsidR="00FE3B42" w:rsidRDefault="00FE3B42" w:rsidP="00313839">
            <w:pPr>
              <w:pStyle w:val="Tablebullets"/>
              <w:numPr>
                <w:ilvl w:val="0"/>
                <w:numId w:val="2"/>
              </w:numPr>
              <w:ind w:left="283" w:hanging="283"/>
            </w:pPr>
            <w:r>
              <w:t>reports</w:t>
            </w:r>
          </w:p>
          <w:p w:rsidR="00FE3B42" w:rsidRPr="00030551" w:rsidRDefault="00FE3B42" w:rsidP="00313839">
            <w:pPr>
              <w:pStyle w:val="Tablebullets"/>
              <w:numPr>
                <w:ilvl w:val="0"/>
                <w:numId w:val="2"/>
              </w:numPr>
              <w:ind w:left="283" w:hanging="283"/>
            </w:pPr>
            <w:r>
              <w:t>supervised tests.</w:t>
            </w:r>
          </w:p>
        </w:tc>
      </w:tr>
      <w:tr w:rsidR="00FE3B42" w:rsidRPr="009927F7" w:rsidTr="008D28C8">
        <w:trPr>
          <w:jc w:val="center"/>
        </w:trPr>
        <w:tc>
          <w:tcPr>
            <w:tcW w:w="5000" w:type="pct"/>
            <w:gridSpan w:val="2"/>
            <w:shd w:val="clear" w:color="auto" w:fill="CFE7E6"/>
          </w:tcPr>
          <w:p w:rsidR="00FE3B42" w:rsidRPr="004E0C69" w:rsidRDefault="00FE3B42" w:rsidP="00A343ED">
            <w:pPr>
              <w:pStyle w:val="Tablesubhead"/>
            </w:pPr>
            <w:r w:rsidRPr="004E0C69">
              <w:t>Bridging content</w:t>
            </w:r>
          </w:p>
        </w:tc>
      </w:tr>
      <w:tr w:rsidR="00FE3B42" w:rsidRPr="00030551" w:rsidTr="001F6C01">
        <w:trPr>
          <w:jc w:val="center"/>
        </w:trPr>
        <w:tc>
          <w:tcPr>
            <w:tcW w:w="5000" w:type="pct"/>
            <w:gridSpan w:val="2"/>
            <w:shd w:val="clear" w:color="auto" w:fill="auto"/>
          </w:tcPr>
          <w:p w:rsidR="00FE3B42" w:rsidRDefault="00FE3B42" w:rsidP="00FE3B42">
            <w:pPr>
              <w:pStyle w:val="Tabletext"/>
            </w:pPr>
            <w:r>
              <w:t xml:space="preserve">The </w:t>
            </w:r>
            <w:r w:rsidRPr="00B30150">
              <w:t>Essential Learnings</w:t>
            </w:r>
            <w:r>
              <w:t xml:space="preserve"> by the end of </w:t>
            </w:r>
            <w:r w:rsidRPr="00A462AF">
              <w:t xml:space="preserve">Year 9 </w:t>
            </w:r>
            <w:r>
              <w:t xml:space="preserve">provide a good foundation to this unit. In Year 9, students have engaged with theoretical and experimental probability and have gathered, displayed and analysed data. They have </w:t>
            </w:r>
            <w:r w:rsidRPr="005C00FA">
              <w:t>modelled, interpreted and evaluated</w:t>
            </w:r>
            <w:r>
              <w:t xml:space="preserve"> algebraic relationships and related linear and </w:t>
            </w:r>
            <w:r w:rsidR="0053466B">
              <w:br/>
            </w:r>
            <w:r>
              <w:t xml:space="preserve">non-linear equations to real-world situations. </w:t>
            </w:r>
          </w:p>
          <w:p w:rsidR="00FE3B42" w:rsidRPr="00A9101E" w:rsidRDefault="00FE3B42" w:rsidP="00FE3B42">
            <w:pPr>
              <w:pStyle w:val="Tabletext"/>
              <w:rPr>
                <w:b/>
              </w:rPr>
            </w:pPr>
            <w:r>
              <w:t>The application of technology (such as spreadsheets) to create mathematical models will not necessarily be something students have experience with, and may require modelling.</w:t>
            </w:r>
          </w:p>
        </w:tc>
      </w:tr>
      <w:tr w:rsidR="00FE3B42" w:rsidRPr="004E0C69"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FE3B42" w:rsidRPr="001F6C01" w:rsidRDefault="00FE3B42" w:rsidP="00A343ED">
            <w:pPr>
              <w:pStyle w:val="Tablesubhead"/>
            </w:pPr>
            <w:r w:rsidRPr="001F6C01">
              <w:t>Links to other learning areas</w:t>
            </w:r>
          </w:p>
        </w:tc>
      </w:tr>
      <w:tr w:rsidR="0074533E" w:rsidRPr="00030551"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74533E" w:rsidRDefault="0074533E" w:rsidP="0074533E">
            <w:pPr>
              <w:pStyle w:val="Tabletext"/>
            </w:pPr>
            <w:r w:rsidRPr="00B30150">
              <w:rPr>
                <w:b/>
              </w:rPr>
              <w:t>Australian Curriculum:</w:t>
            </w:r>
            <w:r w:rsidRPr="00A462AF">
              <w:rPr>
                <w:b/>
              </w:rPr>
              <w:t xml:space="preserve"> </w:t>
            </w:r>
            <w:r w:rsidRPr="00B30150">
              <w:rPr>
                <w:b/>
              </w:rPr>
              <w:t>Science</w:t>
            </w:r>
            <w:r w:rsidRPr="001C3EA6">
              <w:rPr>
                <w:b/>
                <w:i/>
              </w:rPr>
              <w:t xml:space="preserve"> </w:t>
            </w:r>
            <w:r w:rsidRPr="001C3EA6">
              <w:rPr>
                <w:b/>
              </w:rPr>
              <w:t xml:space="preserve">at </w:t>
            </w:r>
            <w:r>
              <w:rPr>
                <w:b/>
              </w:rPr>
              <w:t>Year 10</w:t>
            </w:r>
            <w:r>
              <w:t>:</w:t>
            </w:r>
          </w:p>
          <w:p w:rsidR="0053466B" w:rsidRPr="003C3015" w:rsidRDefault="0074533E" w:rsidP="0074533E">
            <w:pPr>
              <w:pStyle w:val="Tabletext"/>
              <w:rPr>
                <w:b/>
              </w:rPr>
            </w:pPr>
            <w:r w:rsidRPr="003C3015">
              <w:rPr>
                <w:b/>
              </w:rPr>
              <w:t xml:space="preserve">Science </w:t>
            </w:r>
            <w:r w:rsidR="0053466B" w:rsidRPr="003C3015">
              <w:rPr>
                <w:b/>
              </w:rPr>
              <w:t>U</w:t>
            </w:r>
            <w:r w:rsidRPr="003C3015">
              <w:rPr>
                <w:b/>
              </w:rPr>
              <w:t>nderstanding</w:t>
            </w:r>
          </w:p>
          <w:p w:rsidR="0074533E" w:rsidRDefault="0074533E" w:rsidP="0074533E">
            <w:pPr>
              <w:pStyle w:val="Tabletext"/>
            </w:pPr>
            <w:r>
              <w:t>Physical science</w:t>
            </w:r>
            <w:r w:rsidR="0053466B">
              <w:t>s</w:t>
            </w:r>
          </w:p>
          <w:p w:rsidR="0074533E" w:rsidRDefault="0074533E" w:rsidP="00313839">
            <w:pPr>
              <w:pStyle w:val="Tablebullets"/>
              <w:numPr>
                <w:ilvl w:val="0"/>
                <w:numId w:val="2"/>
              </w:numPr>
            </w:pPr>
            <w:r w:rsidRPr="00AE7191">
              <w:t>The motion of objects can be described and predicted using the laws of physics</w:t>
            </w:r>
            <w:r w:rsidR="0053466B">
              <w:t>.</w:t>
            </w:r>
          </w:p>
          <w:p w:rsidR="0053466B" w:rsidRPr="003C3015" w:rsidRDefault="0074533E" w:rsidP="0074533E">
            <w:pPr>
              <w:pStyle w:val="Tablebullets"/>
              <w:numPr>
                <w:ilvl w:val="0"/>
                <w:numId w:val="0"/>
              </w:numPr>
              <w:rPr>
                <w:b/>
              </w:rPr>
            </w:pPr>
            <w:r w:rsidRPr="003C3015">
              <w:rPr>
                <w:b/>
              </w:rPr>
              <w:t xml:space="preserve">Science as a </w:t>
            </w:r>
            <w:r w:rsidR="0053466B" w:rsidRPr="003C3015">
              <w:rPr>
                <w:b/>
              </w:rPr>
              <w:t>H</w:t>
            </w:r>
            <w:r w:rsidRPr="003C3015">
              <w:rPr>
                <w:b/>
              </w:rPr>
              <w:t xml:space="preserve">uman </w:t>
            </w:r>
            <w:r w:rsidR="0053466B" w:rsidRPr="003C3015">
              <w:rPr>
                <w:b/>
              </w:rPr>
              <w:t>E</w:t>
            </w:r>
            <w:r w:rsidRPr="003C3015">
              <w:rPr>
                <w:b/>
              </w:rPr>
              <w:t>ndeavour</w:t>
            </w:r>
          </w:p>
          <w:p w:rsidR="0074533E" w:rsidRDefault="0074533E" w:rsidP="0074533E">
            <w:pPr>
              <w:pStyle w:val="Tablebullets"/>
              <w:numPr>
                <w:ilvl w:val="0"/>
                <w:numId w:val="0"/>
              </w:numPr>
            </w:pPr>
            <w:r>
              <w:t>Use and influence of science</w:t>
            </w:r>
          </w:p>
          <w:p w:rsidR="0074533E" w:rsidRPr="00030551" w:rsidRDefault="0074533E" w:rsidP="00313839">
            <w:pPr>
              <w:pStyle w:val="Tablebullets"/>
              <w:numPr>
                <w:ilvl w:val="0"/>
                <w:numId w:val="2"/>
              </w:numPr>
              <w:ind w:left="283" w:hanging="283"/>
            </w:pPr>
            <w:r w:rsidRPr="00AE7191">
              <w:t>People can use scientific knowledge to evaluate whether they should accept claims, explanations or predictions</w:t>
            </w:r>
            <w:r>
              <w:t>.</w:t>
            </w:r>
          </w:p>
        </w:tc>
      </w:tr>
    </w:tbl>
    <w:p w:rsidR="00BB3EE6" w:rsidRDefault="00BB3EE6">
      <w:r>
        <w:rPr>
          <w:b/>
        </w:rP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365706" w:rsidRPr="00561E58" w:rsidTr="008A3BA8">
        <w:trPr>
          <w:tblHeader/>
          <w:jc w:val="center"/>
        </w:trPr>
        <w:tc>
          <w:tcPr>
            <w:tcW w:w="3548" w:type="pct"/>
            <w:gridSpan w:val="2"/>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1452" w:type="pct"/>
            <w:tcBorders>
              <w:bottom w:val="single" w:sz="4" w:space="0" w:color="00928F"/>
            </w:tcBorders>
            <w:shd w:val="clear" w:color="auto" w:fill="8CC8C9"/>
          </w:tcPr>
          <w:p w:rsidR="00365706" w:rsidRPr="004E0C69" w:rsidRDefault="00C466B4" w:rsidP="006E127C">
            <w:pPr>
              <w:pStyle w:val="Tablehead"/>
              <w:rPr>
                <w:szCs w:val="21"/>
              </w:rPr>
            </w:pPr>
            <w:r w:rsidRPr="004E0C69">
              <w:rPr>
                <w:szCs w:val="21"/>
              </w:rPr>
              <w:t>Make judgments</w:t>
            </w:r>
          </w:p>
        </w:tc>
      </w:tr>
      <w:tr w:rsidR="00BB3EE6" w:rsidRPr="00561E58" w:rsidTr="00BB3EE6">
        <w:trPr>
          <w:jc w:val="center"/>
        </w:trPr>
        <w:tc>
          <w:tcPr>
            <w:tcW w:w="2642" w:type="pct"/>
            <w:shd w:val="clear" w:color="auto" w:fill="CFE7E6"/>
          </w:tcPr>
          <w:p w:rsidR="00BB3EE6" w:rsidRPr="00365706" w:rsidRDefault="00BB3EE6" w:rsidP="00365706">
            <w:pPr>
              <w:pStyle w:val="Tablesubhead"/>
            </w:pPr>
            <w:r w:rsidRPr="00365706">
              <w:t>Describe the assessment</w:t>
            </w:r>
          </w:p>
        </w:tc>
        <w:tc>
          <w:tcPr>
            <w:tcW w:w="906" w:type="pct"/>
            <w:shd w:val="clear" w:color="auto" w:fill="CFE7E6"/>
          </w:tcPr>
          <w:p w:rsidR="00BB3EE6" w:rsidRPr="00365706" w:rsidRDefault="00BB3EE6" w:rsidP="00365706">
            <w:pPr>
              <w:pStyle w:val="Tablesubhead"/>
            </w:pPr>
            <w:r w:rsidRPr="00365706">
              <w:t>Assessment date</w:t>
            </w:r>
          </w:p>
        </w:tc>
        <w:tc>
          <w:tcPr>
            <w:tcW w:w="1452" w:type="pct"/>
            <w:vMerge w:val="restart"/>
            <w:shd w:val="clear" w:color="auto" w:fill="auto"/>
          </w:tcPr>
          <w:p w:rsidR="00BB3EE6" w:rsidRPr="002E56E5" w:rsidRDefault="00BB3EE6" w:rsidP="002E56E5">
            <w:pPr>
              <w:pStyle w:val="Tabletext"/>
            </w:pPr>
            <w:r>
              <w:t xml:space="preserve">Teachers gather evidence to make judgements about the following </w:t>
            </w:r>
          </w:p>
          <w:p w:rsidR="00BB3EE6" w:rsidRDefault="00BB3EE6" w:rsidP="002E56E5">
            <w:pPr>
              <w:pStyle w:val="Tabletext"/>
            </w:pPr>
            <w:r>
              <w:t>characteristics of student work:</w:t>
            </w:r>
          </w:p>
          <w:p w:rsidR="00BB3EE6" w:rsidRDefault="00BB3EE6" w:rsidP="004A1418">
            <w:pPr>
              <w:pStyle w:val="Tablesubhead"/>
            </w:pPr>
            <w:r>
              <w:t>Understanding</w:t>
            </w:r>
          </w:p>
          <w:p w:rsidR="00BB3EE6" w:rsidRDefault="00BB3EE6" w:rsidP="004A1418">
            <w:pPr>
              <w:pStyle w:val="Tablebullets"/>
            </w:pPr>
            <w:r w:rsidRPr="004A1418">
              <w:t xml:space="preserve">selection and application of mathematical concepts and information to solve problems </w:t>
            </w:r>
          </w:p>
          <w:p w:rsidR="00BB3EE6" w:rsidRDefault="00BB3EE6" w:rsidP="004A1418">
            <w:pPr>
              <w:pStyle w:val="Tablebullets"/>
            </w:pPr>
            <w:r w:rsidRPr="004A1418">
              <w:t>description of choices made, strategies used and conclusions reached, and checks of the  reasonableness of solutions</w:t>
            </w:r>
          </w:p>
          <w:p w:rsidR="00BB3EE6" w:rsidRDefault="00BB3EE6" w:rsidP="004A1418">
            <w:pPr>
              <w:pStyle w:val="Tablebullets"/>
            </w:pPr>
            <w:r w:rsidRPr="004A1418">
              <w:t xml:space="preserve">mathematical modelling and representation </w:t>
            </w:r>
          </w:p>
          <w:p w:rsidR="00BB3EE6" w:rsidRDefault="00BB3EE6" w:rsidP="004A1418">
            <w:pPr>
              <w:pStyle w:val="Tablesubhead"/>
            </w:pPr>
            <w:r>
              <w:t>Skills</w:t>
            </w:r>
          </w:p>
          <w:p w:rsidR="00BB3EE6" w:rsidRDefault="00BB3EE6" w:rsidP="004A1418">
            <w:pPr>
              <w:pStyle w:val="Tablebullets"/>
            </w:pPr>
            <w:r>
              <w:t>application of problem solving strategies to investigate situations</w:t>
            </w:r>
          </w:p>
          <w:p w:rsidR="00BB3EE6" w:rsidRDefault="00BB3EE6" w:rsidP="004A1418">
            <w:pPr>
              <w:pStyle w:val="Tablebullets"/>
            </w:pPr>
            <w:r>
              <w:t xml:space="preserve">description of results of mathematical investigations </w:t>
            </w:r>
          </w:p>
          <w:p w:rsidR="00BB3EE6" w:rsidRDefault="00BB3EE6" w:rsidP="004A1418">
            <w:pPr>
              <w:pStyle w:val="Tablebullets"/>
            </w:pPr>
            <w:r>
              <w:t xml:space="preserve">use of mathematical procedures and calculations to find solutions </w:t>
            </w:r>
          </w:p>
          <w:p w:rsidR="00BB3EE6" w:rsidRDefault="00BB3EE6" w:rsidP="00C070E3">
            <w:pPr>
              <w:pStyle w:val="Tablebullets"/>
              <w:spacing w:after="120"/>
            </w:pPr>
            <w:r>
              <w:t>communication of explanations, solutions and calculations, using mathematical language, conventions and symbols</w:t>
            </w:r>
          </w:p>
          <w:p w:rsidR="00BB3EE6" w:rsidRPr="002E56E5" w:rsidRDefault="00BB3EE6" w:rsidP="00367B7E">
            <w:pPr>
              <w:pStyle w:val="Tablebullets"/>
              <w:numPr>
                <w:ilvl w:val="0"/>
                <w:numId w:val="0"/>
              </w:numPr>
            </w:pPr>
            <w:r w:rsidRPr="00B8394D">
              <w:t xml:space="preserve">For further advice and guidelines on constructing guides to making judgments refer to the Learning area standard descriptors: </w:t>
            </w:r>
            <w:hyperlink r:id="rId30" w:history="1">
              <w:r w:rsidRPr="00A945A2">
                <w:rPr>
                  <w:color w:val="0000FF"/>
                </w:rPr>
                <w:t>www.qsa.qld.edu.au</w:t>
              </w:r>
            </w:hyperlink>
          </w:p>
        </w:tc>
      </w:tr>
      <w:tr w:rsidR="00BB3EE6" w:rsidRPr="00030551" w:rsidTr="00BB3EE6">
        <w:trPr>
          <w:trHeight w:val="2461"/>
          <w:jc w:val="center"/>
        </w:trPr>
        <w:tc>
          <w:tcPr>
            <w:tcW w:w="2642" w:type="pct"/>
            <w:tcBorders>
              <w:bottom w:val="nil"/>
            </w:tcBorders>
            <w:shd w:val="clear" w:color="auto" w:fill="auto"/>
          </w:tcPr>
          <w:p w:rsidR="00BB3EE6" w:rsidRDefault="00BB3EE6" w:rsidP="003C3015">
            <w:pPr>
              <w:pStyle w:val="Tabletext"/>
              <w:spacing w:before="60" w:after="60"/>
            </w:pPr>
            <w:r>
              <w:t>Students are given opportunities to demonstrate their knowledge, skills and understanding through both formative and summative assessment. The assessment is collated in student folios and allows for ongoing feedback to students on their learning.</w:t>
            </w:r>
          </w:p>
          <w:p w:rsidR="00BB3EE6" w:rsidRDefault="00BB3EE6" w:rsidP="003C3015">
            <w:pPr>
              <w:pStyle w:val="Tabletext"/>
              <w:spacing w:before="60" w:after="60"/>
            </w:pPr>
            <w:r>
              <w:t>Year 10 teachers make decisions about the length of time required to complete the tasks and the conditions under which the assessment is to be conducted.</w:t>
            </w:r>
          </w:p>
          <w:p w:rsidR="00BB3EE6" w:rsidRPr="00030551" w:rsidRDefault="00BB3EE6" w:rsidP="00C070E3">
            <w:pPr>
              <w:pStyle w:val="Tabletext"/>
              <w:spacing w:before="60" w:after="0"/>
            </w:pPr>
            <w:r>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tc>
        <w:tc>
          <w:tcPr>
            <w:tcW w:w="906" w:type="pct"/>
            <w:tcBorders>
              <w:bottom w:val="nil"/>
            </w:tcBorders>
            <w:shd w:val="clear" w:color="auto" w:fill="auto"/>
          </w:tcPr>
          <w:p w:rsidR="00BB3EE6" w:rsidRPr="00030551" w:rsidRDefault="00BB3EE6" w:rsidP="0074533E">
            <w:pPr>
              <w:pStyle w:val="Tabletext"/>
            </w:pPr>
          </w:p>
        </w:tc>
        <w:tc>
          <w:tcPr>
            <w:tcW w:w="1452" w:type="pct"/>
            <w:vMerge/>
            <w:shd w:val="clear" w:color="auto" w:fill="auto"/>
          </w:tcPr>
          <w:p w:rsidR="00BB3EE6" w:rsidRPr="00030551" w:rsidRDefault="00BB3EE6" w:rsidP="003C3015">
            <w:pPr>
              <w:pStyle w:val="Tablebullets"/>
              <w:ind w:left="0"/>
            </w:pPr>
          </w:p>
        </w:tc>
      </w:tr>
      <w:tr w:rsidR="00BB3EE6" w:rsidRPr="00030551" w:rsidTr="00BB3EE6">
        <w:trPr>
          <w:trHeight w:val="3262"/>
          <w:jc w:val="center"/>
        </w:trPr>
        <w:tc>
          <w:tcPr>
            <w:tcW w:w="2642" w:type="pct"/>
            <w:tcBorders>
              <w:top w:val="nil"/>
              <w:bottom w:val="nil"/>
            </w:tcBorders>
            <w:shd w:val="clear" w:color="auto" w:fill="auto"/>
          </w:tcPr>
          <w:p w:rsidR="00BB3EE6" w:rsidRDefault="00BB3EE6" w:rsidP="003C3015">
            <w:pPr>
              <w:pStyle w:val="Tablesubhead"/>
              <w:spacing w:before="60" w:after="60"/>
            </w:pPr>
            <w:r>
              <w:t xml:space="preserve">Mathematical Investigation: </w:t>
            </w:r>
            <w:r w:rsidRPr="00116B9B">
              <w:t xml:space="preserve">Report </w:t>
            </w:r>
            <w:r>
              <w:t>(Written) — Peer and self-assessed</w:t>
            </w:r>
          </w:p>
          <w:p w:rsidR="00BB3EE6" w:rsidRDefault="00BB3EE6" w:rsidP="003C3015">
            <w:pPr>
              <w:pStyle w:val="Tabletext"/>
              <w:spacing w:before="60" w:after="60"/>
            </w:pPr>
            <w:r>
              <w:t>Students focus on the use of probability and statistics in real-world research. They gather primary data (in small groups) and analyse data and write a conclusion (individual). Students:</w:t>
            </w:r>
          </w:p>
          <w:p w:rsidR="00BB3EE6" w:rsidRDefault="00BB3EE6" w:rsidP="00313839">
            <w:pPr>
              <w:pStyle w:val="Tablebullets"/>
              <w:numPr>
                <w:ilvl w:val="0"/>
                <w:numId w:val="2"/>
              </w:numPr>
              <w:spacing w:before="60" w:after="60"/>
              <w:ind w:left="283" w:hanging="283"/>
            </w:pPr>
            <w:r>
              <w:t xml:space="preserve">conduct an investigation into “hot streaks” in sports such as in basketball and netball </w:t>
            </w:r>
          </w:p>
          <w:p w:rsidR="00BB3EE6" w:rsidRDefault="00BB3EE6" w:rsidP="00313839">
            <w:pPr>
              <w:pStyle w:val="Tablebullets"/>
              <w:numPr>
                <w:ilvl w:val="0"/>
                <w:numId w:val="2"/>
              </w:numPr>
              <w:spacing w:before="60" w:after="60"/>
              <w:ind w:left="283" w:hanging="283"/>
            </w:pPr>
            <w:r>
              <w:t xml:space="preserve">demonstrate an understanding of the difference between dependent and independent outcomes </w:t>
            </w:r>
          </w:p>
          <w:p w:rsidR="00BB3EE6" w:rsidRDefault="00BB3EE6" w:rsidP="00313839">
            <w:pPr>
              <w:pStyle w:val="Tablebullets"/>
              <w:numPr>
                <w:ilvl w:val="0"/>
                <w:numId w:val="2"/>
              </w:numPr>
              <w:spacing w:before="60" w:after="60"/>
              <w:ind w:left="283" w:hanging="283"/>
            </w:pPr>
            <w:r>
              <w:t>collect primary data (small groups)</w:t>
            </w:r>
          </w:p>
          <w:p w:rsidR="00BB3EE6" w:rsidRDefault="00BB3EE6" w:rsidP="00313839">
            <w:pPr>
              <w:pStyle w:val="Tablebullets"/>
              <w:numPr>
                <w:ilvl w:val="0"/>
                <w:numId w:val="2"/>
              </w:numPr>
              <w:spacing w:before="60" w:after="60"/>
              <w:ind w:left="283" w:hanging="283"/>
            </w:pPr>
            <w:r>
              <w:t xml:space="preserve">write a data analysis and conclusion </w:t>
            </w:r>
          </w:p>
          <w:p w:rsidR="00BB3EE6" w:rsidRDefault="00BB3EE6" w:rsidP="00313839">
            <w:pPr>
              <w:pStyle w:val="Tablebullets"/>
              <w:numPr>
                <w:ilvl w:val="0"/>
                <w:numId w:val="2"/>
              </w:numPr>
              <w:spacing w:before="60" w:after="60"/>
              <w:ind w:left="283" w:hanging="283"/>
            </w:pPr>
            <w:r>
              <w:t>peer- and self-assess their data analysis and conclusion.</w:t>
            </w:r>
          </w:p>
          <w:p w:rsidR="00BB3EE6" w:rsidRDefault="00BB3EE6" w:rsidP="009707D6">
            <w:pPr>
              <w:pStyle w:val="Tablebullets"/>
              <w:numPr>
                <w:ilvl w:val="0"/>
                <w:numId w:val="0"/>
              </w:numPr>
              <w:spacing w:before="60" w:after="0"/>
              <w:jc w:val="right"/>
            </w:pPr>
            <w:r>
              <w:t>(200</w:t>
            </w:r>
            <w:r w:rsidRPr="003C3015">
              <w:t>–</w:t>
            </w:r>
            <w:r>
              <w:t>300 words)</w:t>
            </w:r>
          </w:p>
        </w:tc>
        <w:tc>
          <w:tcPr>
            <w:tcW w:w="906" w:type="pct"/>
            <w:tcBorders>
              <w:top w:val="nil"/>
              <w:bottom w:val="nil"/>
            </w:tcBorders>
            <w:shd w:val="clear" w:color="auto" w:fill="auto"/>
          </w:tcPr>
          <w:p w:rsidR="00BB3EE6" w:rsidRPr="00CF0CF6" w:rsidRDefault="007662C8" w:rsidP="0074533E">
            <w:pPr>
              <w:pStyle w:val="Tabletext"/>
            </w:pPr>
            <w:r w:rsidRPr="00CF0CF6">
              <w:t>Week 4</w:t>
            </w:r>
          </w:p>
        </w:tc>
        <w:tc>
          <w:tcPr>
            <w:tcW w:w="1452" w:type="pct"/>
            <w:vMerge/>
            <w:shd w:val="clear" w:color="auto" w:fill="auto"/>
          </w:tcPr>
          <w:p w:rsidR="00BB3EE6" w:rsidRPr="00030551" w:rsidRDefault="00BB3EE6" w:rsidP="00030551">
            <w:pPr>
              <w:pStyle w:val="Tabletext"/>
            </w:pPr>
          </w:p>
        </w:tc>
      </w:tr>
      <w:tr w:rsidR="00BB3EE6" w:rsidRPr="00030551" w:rsidTr="00BB3EE6">
        <w:trPr>
          <w:trHeight w:val="1863"/>
          <w:jc w:val="center"/>
        </w:trPr>
        <w:tc>
          <w:tcPr>
            <w:tcW w:w="2642" w:type="pct"/>
            <w:tcBorders>
              <w:top w:val="nil"/>
              <w:bottom w:val="single" w:sz="4" w:space="0" w:color="00928F"/>
            </w:tcBorders>
            <w:shd w:val="clear" w:color="auto" w:fill="auto"/>
          </w:tcPr>
          <w:p w:rsidR="00BB3EE6" w:rsidRPr="00A462AF" w:rsidRDefault="00BB3EE6" w:rsidP="00BB3EE6">
            <w:pPr>
              <w:pStyle w:val="Tablesubhead"/>
              <w:spacing w:before="60" w:after="60"/>
            </w:pPr>
            <w:r>
              <w:t>M</w:t>
            </w:r>
            <w:r w:rsidRPr="00A462AF">
              <w:t>odelling and problem</w:t>
            </w:r>
            <w:r>
              <w:t>-</w:t>
            </w:r>
            <w:r w:rsidRPr="00A462AF">
              <w:t xml:space="preserve">solving task </w:t>
            </w:r>
            <w:r>
              <w:t>(Written)</w:t>
            </w:r>
          </w:p>
          <w:p w:rsidR="00BB3EE6" w:rsidRDefault="00BB3EE6" w:rsidP="00BB3EE6">
            <w:pPr>
              <w:pStyle w:val="Tabletext"/>
              <w:spacing w:before="60" w:after="60"/>
            </w:pPr>
            <w:r>
              <w:t>Students respond to a specific sporting scenario by modelling it using mathematics. Students have the opportunity to apply mathematics to real-world applications, and provide significant evidence towards problem solving and reasoning.</w:t>
            </w:r>
          </w:p>
          <w:p w:rsidR="00BB3EE6" w:rsidRDefault="00BB3EE6" w:rsidP="00BB3EE6">
            <w:pPr>
              <w:pStyle w:val="Tablebullets"/>
              <w:spacing w:before="60" w:after="60"/>
            </w:pPr>
            <w:r>
              <w:t xml:space="preserve">Year 10 </w:t>
            </w:r>
            <w:r w:rsidRPr="00AF5F61">
              <w:t>students model two scenarios in a chosen sport mathematically</w:t>
            </w:r>
            <w:r>
              <w:t>,</w:t>
            </w:r>
            <w:r>
              <w:br/>
            </w:r>
            <w:r w:rsidRPr="00AF5F61">
              <w:t xml:space="preserve">e.g. </w:t>
            </w:r>
            <w:r>
              <w:t xml:space="preserve">find perceived displacement between goalposts from </w:t>
            </w:r>
            <w:r w:rsidRPr="00453380">
              <w:t>various</w:t>
            </w:r>
            <w:r>
              <w:t xml:space="preserve"> positions on a football field; find the quickest route to take in orienteering.</w:t>
            </w:r>
          </w:p>
        </w:tc>
        <w:tc>
          <w:tcPr>
            <w:tcW w:w="906" w:type="pct"/>
            <w:tcBorders>
              <w:top w:val="nil"/>
              <w:bottom w:val="single" w:sz="4" w:space="0" w:color="00928F"/>
            </w:tcBorders>
            <w:shd w:val="clear" w:color="auto" w:fill="auto"/>
          </w:tcPr>
          <w:p w:rsidR="00BB3EE6" w:rsidRPr="00CF0CF6" w:rsidRDefault="009707D6" w:rsidP="0074533E">
            <w:pPr>
              <w:pStyle w:val="Tabletext"/>
            </w:pPr>
            <w:r>
              <w:t>Week 7</w:t>
            </w:r>
          </w:p>
        </w:tc>
        <w:tc>
          <w:tcPr>
            <w:tcW w:w="1452" w:type="pct"/>
            <w:vMerge/>
            <w:tcBorders>
              <w:bottom w:val="single" w:sz="4" w:space="0" w:color="auto"/>
            </w:tcBorders>
            <w:shd w:val="clear" w:color="auto" w:fill="auto"/>
          </w:tcPr>
          <w:p w:rsidR="00BB3EE6" w:rsidRPr="00030551" w:rsidRDefault="00BB3EE6" w:rsidP="00030551">
            <w:pPr>
              <w:pStyle w:val="Tabletext"/>
            </w:pPr>
          </w:p>
        </w:tc>
      </w:tr>
      <w:tr w:rsidR="008A3BA8" w:rsidRPr="00030551" w:rsidTr="00BB3EE6">
        <w:trPr>
          <w:trHeight w:val="1386"/>
          <w:jc w:val="center"/>
        </w:trPr>
        <w:tc>
          <w:tcPr>
            <w:tcW w:w="2642" w:type="pct"/>
            <w:tcBorders>
              <w:top w:val="single" w:sz="4" w:space="0" w:color="00928F"/>
              <w:bottom w:val="nil"/>
            </w:tcBorders>
            <w:shd w:val="clear" w:color="auto" w:fill="auto"/>
          </w:tcPr>
          <w:p w:rsidR="008A3BA8" w:rsidRPr="00453380" w:rsidRDefault="008A3BA8" w:rsidP="00313839">
            <w:pPr>
              <w:pStyle w:val="Tablebullets"/>
              <w:numPr>
                <w:ilvl w:val="0"/>
                <w:numId w:val="2"/>
              </w:numPr>
              <w:spacing w:before="60" w:after="60"/>
              <w:ind w:left="283" w:hanging="283"/>
              <w:rPr>
                <w:color w:val="00948D"/>
              </w:rPr>
            </w:pPr>
            <w:r w:rsidRPr="00453380">
              <w:rPr>
                <w:color w:val="00948D"/>
              </w:rPr>
              <w:t xml:space="preserve">Year 10a students model one of the above scenarios and also look at the probabilities of hitting the various scoring areas of a dart board. They consider the areas of the sample space, from 1 to triple 20, in their analysis. </w:t>
            </w:r>
          </w:p>
          <w:p w:rsidR="008A3BA8" w:rsidRDefault="008A3BA8" w:rsidP="003C3015">
            <w:pPr>
              <w:pStyle w:val="Tablebullets"/>
              <w:spacing w:before="60" w:after="60"/>
            </w:pPr>
            <w:r>
              <w:t>Students complete a r</w:t>
            </w:r>
            <w:r w:rsidRPr="00E63EC5">
              <w:t xml:space="preserve">eport containing diagrams, calculations and a </w:t>
            </w:r>
            <w:r>
              <w:t>d</w:t>
            </w:r>
            <w:r w:rsidRPr="00E63EC5">
              <w:t>iscussion</w:t>
            </w:r>
            <w:r>
              <w:t>.</w:t>
            </w:r>
            <w:r w:rsidRPr="00E63EC5">
              <w:t xml:space="preserve"> </w:t>
            </w:r>
          </w:p>
          <w:p w:rsidR="008A3BA8" w:rsidRDefault="008A3BA8" w:rsidP="003C3015">
            <w:pPr>
              <w:pStyle w:val="Tablesubhead"/>
              <w:spacing w:before="60" w:after="60"/>
              <w:jc w:val="right"/>
            </w:pPr>
            <w:r w:rsidRPr="00E63EC5">
              <w:rPr>
                <w:b w:val="0"/>
              </w:rPr>
              <w:t>(200</w:t>
            </w:r>
            <w:r>
              <w:rPr>
                <w:b w:val="0"/>
              </w:rPr>
              <w:t>–300</w:t>
            </w:r>
            <w:r w:rsidRPr="00E63EC5">
              <w:rPr>
                <w:b w:val="0"/>
              </w:rPr>
              <w:t xml:space="preserve"> words</w:t>
            </w:r>
            <w:r>
              <w:rPr>
                <w:b w:val="0"/>
              </w:rPr>
              <w:t xml:space="preserve"> for each scenario</w:t>
            </w:r>
            <w:r w:rsidRPr="00E63EC5">
              <w:rPr>
                <w:b w:val="0"/>
              </w:rPr>
              <w:t>)</w:t>
            </w:r>
            <w:r>
              <w:rPr>
                <w:b w:val="0"/>
              </w:rPr>
              <w:t>.</w:t>
            </w:r>
          </w:p>
        </w:tc>
        <w:tc>
          <w:tcPr>
            <w:tcW w:w="906" w:type="pct"/>
            <w:tcBorders>
              <w:top w:val="single" w:sz="4" w:space="0" w:color="00928F"/>
              <w:bottom w:val="nil"/>
            </w:tcBorders>
            <w:shd w:val="clear" w:color="auto" w:fill="auto"/>
          </w:tcPr>
          <w:p w:rsidR="008A3BA8" w:rsidRDefault="008A3BA8" w:rsidP="0074533E">
            <w:pPr>
              <w:pStyle w:val="Tabletext"/>
            </w:pPr>
          </w:p>
        </w:tc>
        <w:tc>
          <w:tcPr>
            <w:tcW w:w="1452" w:type="pct"/>
            <w:vMerge w:val="restart"/>
            <w:tcBorders>
              <w:top w:val="single" w:sz="4" w:space="0" w:color="00928F"/>
            </w:tcBorders>
            <w:shd w:val="clear" w:color="auto" w:fill="auto"/>
          </w:tcPr>
          <w:p w:rsidR="008A3BA8" w:rsidRPr="00030551" w:rsidRDefault="008A3BA8" w:rsidP="003C3015">
            <w:pPr>
              <w:pStyle w:val="Tablebullets"/>
              <w:ind w:left="0"/>
            </w:pPr>
          </w:p>
        </w:tc>
      </w:tr>
      <w:tr w:rsidR="0074533E" w:rsidRPr="00030551" w:rsidTr="003C3015">
        <w:trPr>
          <w:trHeight w:val="375"/>
          <w:jc w:val="center"/>
        </w:trPr>
        <w:tc>
          <w:tcPr>
            <w:tcW w:w="2642" w:type="pct"/>
            <w:tcBorders>
              <w:top w:val="nil"/>
            </w:tcBorders>
            <w:shd w:val="clear" w:color="auto" w:fill="auto"/>
          </w:tcPr>
          <w:p w:rsidR="0074533E" w:rsidRDefault="00255B58" w:rsidP="0074533E">
            <w:pPr>
              <w:pStyle w:val="Tablesubhead"/>
            </w:pPr>
            <w:r w:rsidRPr="00255B58">
              <w:t>Supervised assessment</w:t>
            </w:r>
            <w:r w:rsidR="00A11B58">
              <w:t xml:space="preserve">: </w:t>
            </w:r>
            <w:r w:rsidRPr="00255B58">
              <w:t xml:space="preserve">Short response and </w:t>
            </w:r>
            <w:r w:rsidR="00A11B58">
              <w:t>m</w:t>
            </w:r>
            <w:r w:rsidRPr="00255B58">
              <w:t xml:space="preserve">ultiple </w:t>
            </w:r>
            <w:r w:rsidR="00A11B58">
              <w:t>c</w:t>
            </w:r>
            <w:r w:rsidRPr="00255B58">
              <w:t>hoice</w:t>
            </w:r>
            <w:r w:rsidR="0074533E" w:rsidRPr="00A462AF">
              <w:t xml:space="preserve"> </w:t>
            </w:r>
            <w:r w:rsidR="0068411D">
              <w:t>(Written)</w:t>
            </w:r>
          </w:p>
          <w:p w:rsidR="00255B58" w:rsidRDefault="00255B58" w:rsidP="00255B58">
            <w:pPr>
              <w:pStyle w:val="Tabletext"/>
            </w:pPr>
            <w:r>
              <w:t>S</w:t>
            </w:r>
            <w:r w:rsidR="00A11B58">
              <w:t>tudents s</w:t>
            </w:r>
            <w:r>
              <w:t>olve problems related to:</w:t>
            </w:r>
          </w:p>
          <w:p w:rsidR="00255B58" w:rsidRDefault="00255B58" w:rsidP="00313839">
            <w:pPr>
              <w:pStyle w:val="Tablebullets"/>
              <w:numPr>
                <w:ilvl w:val="0"/>
                <w:numId w:val="2"/>
              </w:numPr>
            </w:pPr>
            <w:r>
              <w:t>congruence and similarity</w:t>
            </w:r>
          </w:p>
          <w:p w:rsidR="00255B58" w:rsidRDefault="00255B58" w:rsidP="00313839">
            <w:pPr>
              <w:pStyle w:val="Tablebullets"/>
              <w:numPr>
                <w:ilvl w:val="0"/>
                <w:numId w:val="2"/>
              </w:numPr>
            </w:pPr>
            <w:r>
              <w:t>angles of elevation and depression</w:t>
            </w:r>
          </w:p>
          <w:p w:rsidR="00255B58" w:rsidRDefault="00255B58" w:rsidP="00313839">
            <w:pPr>
              <w:pStyle w:val="Tablebullets"/>
              <w:numPr>
                <w:ilvl w:val="0"/>
                <w:numId w:val="2"/>
              </w:numPr>
            </w:pPr>
            <w:r>
              <w:t>probabilities of events.</w:t>
            </w:r>
          </w:p>
          <w:p w:rsidR="0074533E" w:rsidRPr="00636E51" w:rsidRDefault="00A11B58" w:rsidP="00255B58">
            <w:pPr>
              <w:pStyle w:val="Tabletext"/>
            </w:pPr>
            <w:r>
              <w:t>This can i</w:t>
            </w:r>
            <w:r w:rsidR="0074533E" w:rsidRPr="00636E51">
              <w:t>nclude:</w:t>
            </w:r>
          </w:p>
          <w:p w:rsidR="0074533E" w:rsidRDefault="0074533E" w:rsidP="00313839">
            <w:pPr>
              <w:pStyle w:val="Tablebullets"/>
              <w:numPr>
                <w:ilvl w:val="0"/>
                <w:numId w:val="2"/>
              </w:numPr>
              <w:ind w:left="283" w:hanging="283"/>
            </w:pPr>
            <w:r>
              <w:t>s</w:t>
            </w:r>
            <w:r w:rsidRPr="0014066B">
              <w:t>hort</w:t>
            </w:r>
            <w:r>
              <w:t>-</w:t>
            </w:r>
            <w:r w:rsidRPr="0014066B">
              <w:t>response items</w:t>
            </w:r>
            <w:r>
              <w:t xml:space="preserve"> that focus on Understanding and Fluency</w:t>
            </w:r>
          </w:p>
          <w:p w:rsidR="0074533E" w:rsidRDefault="0074533E" w:rsidP="00313839">
            <w:pPr>
              <w:pStyle w:val="Tablebullets"/>
              <w:numPr>
                <w:ilvl w:val="0"/>
                <w:numId w:val="2"/>
              </w:numPr>
              <w:ind w:left="283" w:hanging="283"/>
            </w:pPr>
            <w:r>
              <w:t>e</w:t>
            </w:r>
            <w:r w:rsidRPr="004F50DA">
              <w:t>xtended</w:t>
            </w:r>
            <w:r w:rsidR="00A11B58">
              <w:t xml:space="preserve"> </w:t>
            </w:r>
            <w:r>
              <w:t>response</w:t>
            </w:r>
            <w:r w:rsidR="00A11B58">
              <w:t xml:space="preserve"> items</w:t>
            </w:r>
            <w:r>
              <w:t xml:space="preserve"> with a focus on Problem </w:t>
            </w:r>
            <w:r w:rsidR="00A11B58">
              <w:t>S</w:t>
            </w:r>
            <w:r>
              <w:t>olving</w:t>
            </w:r>
          </w:p>
          <w:p w:rsidR="0074533E" w:rsidRDefault="0074533E" w:rsidP="00313839">
            <w:pPr>
              <w:pStyle w:val="Tablebullets"/>
              <w:numPr>
                <w:ilvl w:val="0"/>
                <w:numId w:val="2"/>
              </w:numPr>
              <w:ind w:left="283" w:hanging="283"/>
            </w:pPr>
            <w:r>
              <w:t>response to stimulus (</w:t>
            </w:r>
            <w:r w:rsidRPr="004F50DA">
              <w:t>unseen</w:t>
            </w:r>
            <w:r>
              <w:t>) that focuses on Reasoning</w:t>
            </w:r>
          </w:p>
          <w:p w:rsidR="0074533E" w:rsidRDefault="0074533E" w:rsidP="00C070E3">
            <w:pPr>
              <w:pStyle w:val="Tablebullets"/>
              <w:numPr>
                <w:ilvl w:val="0"/>
                <w:numId w:val="2"/>
              </w:numPr>
              <w:spacing w:after="120" w:line="240" w:lineRule="auto"/>
            </w:pPr>
            <w:r>
              <w:t>individual response under supervised conditions.</w:t>
            </w:r>
          </w:p>
          <w:p w:rsidR="00A11B58" w:rsidRDefault="00AA25C1" w:rsidP="003C3015">
            <w:pPr>
              <w:pStyle w:val="Tabletext"/>
              <w:spacing w:before="0"/>
            </w:pPr>
            <w:r w:rsidRPr="00AA25C1">
              <w:t xml:space="preserve">The </w:t>
            </w:r>
            <w:r w:rsidR="00A11B58">
              <w:t xml:space="preserve">following </w:t>
            </w:r>
            <w:r w:rsidRPr="00AA25C1">
              <w:t>assessment packages in the QSA Assessment</w:t>
            </w:r>
            <w:r>
              <w:t xml:space="preserve"> </w:t>
            </w:r>
            <w:r w:rsidRPr="00AA25C1">
              <w:t>Bank could be used in this unit</w:t>
            </w:r>
            <w:r w:rsidR="00A11B58">
              <w:t>:</w:t>
            </w:r>
          </w:p>
          <w:p w:rsidR="00A11B58" w:rsidRDefault="00A11B58" w:rsidP="003C3015">
            <w:pPr>
              <w:pStyle w:val="Tablebullets"/>
            </w:pPr>
            <w:r w:rsidRPr="00AA25C1">
              <w:rPr>
                <w:i/>
              </w:rPr>
              <w:t>501</w:t>
            </w:r>
            <w:r w:rsidRPr="00AA25C1">
              <w:t xml:space="preserve"> </w:t>
            </w:r>
          </w:p>
          <w:p w:rsidR="00AA25C1" w:rsidRPr="00A462AF" w:rsidRDefault="00A11B58" w:rsidP="003C3015">
            <w:pPr>
              <w:pStyle w:val="Tablebullets"/>
            </w:pPr>
            <w:r w:rsidRPr="00AA25C1">
              <w:rPr>
                <w:i/>
              </w:rPr>
              <w:t>Forty years from now</w:t>
            </w:r>
            <w:r>
              <w:rPr>
                <w:i/>
              </w:rPr>
              <w:t>.</w:t>
            </w:r>
          </w:p>
        </w:tc>
        <w:tc>
          <w:tcPr>
            <w:tcW w:w="906" w:type="pct"/>
            <w:tcBorders>
              <w:top w:val="nil"/>
            </w:tcBorders>
            <w:shd w:val="clear" w:color="auto" w:fill="auto"/>
          </w:tcPr>
          <w:p w:rsidR="0074533E" w:rsidRDefault="0074533E" w:rsidP="0074533E">
            <w:pPr>
              <w:pStyle w:val="Tabletext"/>
            </w:pPr>
            <w:r>
              <w:t>End of term</w:t>
            </w:r>
          </w:p>
        </w:tc>
        <w:tc>
          <w:tcPr>
            <w:tcW w:w="1452" w:type="pct"/>
            <w:vMerge/>
            <w:shd w:val="clear" w:color="auto" w:fill="auto"/>
          </w:tcPr>
          <w:p w:rsidR="0074533E" w:rsidRPr="00030551" w:rsidRDefault="0074533E" w:rsidP="00030551">
            <w:pPr>
              <w:pStyle w:val="Tabletext"/>
            </w:pPr>
          </w:p>
        </w:tc>
      </w:tr>
    </w:tbl>
    <w:p w:rsidR="00C466B4" w:rsidRDefault="00C466B4" w:rsidP="008300AE"/>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0A6BC8">
        <w:trPr>
          <w:tblHeader/>
          <w:jc w:val="center"/>
        </w:trPr>
        <w:tc>
          <w:tcPr>
            <w:tcW w:w="2680" w:type="pct"/>
            <w:tcBorders>
              <w:bottom w:val="single" w:sz="4" w:space="0" w:color="00928F"/>
            </w:tcBorders>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tcBorders>
              <w:bottom w:val="single" w:sz="4" w:space="0" w:color="00928F"/>
            </w:tcBorders>
            <w:shd w:val="clear" w:color="auto" w:fill="CFE7E6"/>
          </w:tcPr>
          <w:p w:rsidR="002C0575" w:rsidRPr="002C0575" w:rsidRDefault="002C0575" w:rsidP="002C0575">
            <w:pPr>
              <w:pStyle w:val="Tablesubhead"/>
            </w:pPr>
            <w:r w:rsidRPr="002C0575">
              <w:t>Adjustments for needs of learners</w:t>
            </w:r>
          </w:p>
        </w:tc>
        <w:tc>
          <w:tcPr>
            <w:tcW w:w="1117" w:type="pct"/>
            <w:tcBorders>
              <w:bottom w:val="single" w:sz="4" w:space="0" w:color="00928F"/>
            </w:tcBorders>
            <w:shd w:val="clear" w:color="auto" w:fill="CFE7E6"/>
          </w:tcPr>
          <w:p w:rsidR="002C0575" w:rsidRPr="002C0575" w:rsidRDefault="002C0575" w:rsidP="002C0575">
            <w:pPr>
              <w:pStyle w:val="Tablesubhead"/>
            </w:pPr>
            <w:r w:rsidRPr="002C0575">
              <w:t>Resources</w:t>
            </w:r>
          </w:p>
        </w:tc>
      </w:tr>
      <w:tr w:rsidR="00AE5AD1" w:rsidRPr="00030551" w:rsidTr="000A6BC8">
        <w:trPr>
          <w:trHeight w:val="8001"/>
          <w:jc w:val="center"/>
        </w:trPr>
        <w:tc>
          <w:tcPr>
            <w:tcW w:w="2680" w:type="pct"/>
            <w:tcBorders>
              <w:bottom w:val="single" w:sz="4" w:space="0" w:color="00928F"/>
            </w:tcBorders>
            <w:shd w:val="clear" w:color="auto" w:fill="auto"/>
          </w:tcPr>
          <w:p w:rsidR="00AE5AD1" w:rsidRDefault="00AE5AD1" w:rsidP="00AE5AD1">
            <w:pPr>
              <w:pStyle w:val="Tablesubhead"/>
            </w:pPr>
            <w:r w:rsidRPr="00116B9B">
              <w:t>Probability, statistics and algebra</w:t>
            </w:r>
            <w:r>
              <w:t xml:space="preserve"> </w:t>
            </w:r>
          </w:p>
          <w:p w:rsidR="00AE5AD1" w:rsidRDefault="00AE5AD1" w:rsidP="00AE5AD1">
            <w:pPr>
              <w:pStyle w:val="Tabletext"/>
            </w:pPr>
            <w:r>
              <w:t xml:space="preserve">Students learn about and explore the concepts of dependent and independent </w:t>
            </w:r>
            <w:r w:rsidRPr="00631BBA">
              <w:t>events</w:t>
            </w:r>
            <w:r>
              <w:t xml:space="preserve"> through practical exercises and problems. They e</w:t>
            </w:r>
            <w:r w:rsidRPr="004810A9">
              <w:t>valuate statistical reports in the media. In particular</w:t>
            </w:r>
            <w:r>
              <w:t xml:space="preserve">, students explore </w:t>
            </w:r>
            <w:r w:rsidRPr="004810A9">
              <w:t>cases where a misunderstanding of statistics is displayed.</w:t>
            </w:r>
            <w:r>
              <w:t xml:space="preserve"> </w:t>
            </w:r>
          </w:p>
          <w:p w:rsidR="005E1DAD" w:rsidRDefault="005E1DAD" w:rsidP="00AE5AD1">
            <w:pPr>
              <w:pStyle w:val="Tabletext"/>
            </w:pPr>
            <w:r>
              <w:t>They u</w:t>
            </w:r>
            <w:r w:rsidR="00AE5AD1">
              <w:t>se r</w:t>
            </w:r>
            <w:r w:rsidR="00AE5AD1" w:rsidRPr="00914D87">
              <w:t>elevant questions from textbooks, worksheets and other stimulus</w:t>
            </w:r>
            <w:r w:rsidR="00AE5AD1">
              <w:t xml:space="preserve">, </w:t>
            </w:r>
            <w:r w:rsidR="00AE5AD1" w:rsidRPr="00914D87">
              <w:t>as appropriate.</w:t>
            </w:r>
            <w:r>
              <w:t xml:space="preserve"> </w:t>
            </w:r>
          </w:p>
          <w:p w:rsidR="00AE5AD1" w:rsidRPr="00631BBA" w:rsidRDefault="00D86FF7" w:rsidP="00313839">
            <w:pPr>
              <w:pStyle w:val="Tablebullets"/>
              <w:numPr>
                <w:ilvl w:val="0"/>
                <w:numId w:val="2"/>
              </w:numPr>
              <w:ind w:left="283" w:hanging="283"/>
            </w:pPr>
            <w:r w:rsidRPr="00631BBA">
              <w:t xml:space="preserve">Introduce </w:t>
            </w:r>
            <w:r w:rsidR="005E1DAD" w:rsidRPr="00631BBA">
              <w:t>students to independent events by discussing the following statement: “</w:t>
            </w:r>
            <w:r w:rsidR="005E1DAD">
              <w:t>I</w:t>
            </w:r>
            <w:r w:rsidR="005E1DAD" w:rsidRPr="00631BBA">
              <w:t xml:space="preserve">’ve just tossed 5 heads in a row. </w:t>
            </w:r>
            <w:r w:rsidR="005E1DAD">
              <w:t>S</w:t>
            </w:r>
            <w:r w:rsidR="005E1DAD" w:rsidRPr="00631BBA">
              <w:t xml:space="preserve">urely the next toss is more likely to be a tail!” </w:t>
            </w:r>
          </w:p>
          <w:p w:rsidR="00AE5AD1" w:rsidRPr="00631BBA" w:rsidRDefault="00D86FF7" w:rsidP="00313839">
            <w:pPr>
              <w:pStyle w:val="Tablebullets"/>
              <w:numPr>
                <w:ilvl w:val="0"/>
                <w:numId w:val="2"/>
              </w:numPr>
              <w:ind w:left="283" w:hanging="283"/>
            </w:pPr>
            <w:r w:rsidRPr="00631BBA">
              <w:t xml:space="preserve">Discuss </w:t>
            </w:r>
            <w:r w:rsidR="00AE5AD1" w:rsidRPr="00631BBA">
              <w:t>the importance of appropriate sample sizes for chance experiments.</w:t>
            </w:r>
          </w:p>
          <w:p w:rsidR="00AE5AD1" w:rsidRPr="00631BBA" w:rsidRDefault="00D86FF7" w:rsidP="00313839">
            <w:pPr>
              <w:pStyle w:val="Tablebullets"/>
              <w:numPr>
                <w:ilvl w:val="0"/>
                <w:numId w:val="2"/>
              </w:numPr>
              <w:ind w:left="283" w:hanging="283"/>
            </w:pPr>
            <w:r w:rsidRPr="00631BBA">
              <w:t xml:space="preserve">Construct </w:t>
            </w:r>
            <w:r w:rsidR="00AE5AD1" w:rsidRPr="00631BBA">
              <w:t>a glossary of relevant terms, including: experimental probability, theoretical probability, trial, favourable outcome, event, relative frequency, expected frequency, replacement, independence, scatter plot, sample space, bivariate, tree diagram</w:t>
            </w:r>
            <w:r w:rsidR="00F07007">
              <w:t>.</w:t>
            </w:r>
          </w:p>
          <w:p w:rsidR="00AE5AD1" w:rsidRPr="00631BBA" w:rsidRDefault="00D86FF7" w:rsidP="00313839">
            <w:pPr>
              <w:pStyle w:val="Tablebullets"/>
              <w:numPr>
                <w:ilvl w:val="0"/>
                <w:numId w:val="2"/>
              </w:numPr>
              <w:ind w:left="283" w:hanging="283"/>
            </w:pPr>
            <w:r w:rsidRPr="00631BBA">
              <w:t xml:space="preserve">Plan </w:t>
            </w:r>
            <w:r w:rsidR="00AE5AD1" w:rsidRPr="00631BBA">
              <w:t>and conduct chance experiments</w:t>
            </w:r>
            <w:r w:rsidR="00F07007">
              <w:t>.</w:t>
            </w:r>
          </w:p>
          <w:p w:rsidR="00AE5AD1" w:rsidRPr="00631BBA" w:rsidRDefault="00D86FF7" w:rsidP="00313839">
            <w:pPr>
              <w:pStyle w:val="Tablebullets"/>
              <w:numPr>
                <w:ilvl w:val="0"/>
                <w:numId w:val="2"/>
              </w:numPr>
              <w:ind w:left="283" w:hanging="283"/>
            </w:pPr>
            <w:r w:rsidRPr="00631BBA">
              <w:t xml:space="preserve">Tabulate </w:t>
            </w:r>
            <w:r w:rsidR="00AE5AD1" w:rsidRPr="00631BBA">
              <w:t>results</w:t>
            </w:r>
            <w:r w:rsidR="00F07007">
              <w:t>.</w:t>
            </w:r>
          </w:p>
          <w:p w:rsidR="00AE5AD1" w:rsidRPr="00631BBA" w:rsidRDefault="00D86FF7" w:rsidP="00313839">
            <w:pPr>
              <w:pStyle w:val="Tablebullets"/>
              <w:numPr>
                <w:ilvl w:val="0"/>
                <w:numId w:val="2"/>
              </w:numPr>
              <w:ind w:left="283" w:hanging="283"/>
            </w:pPr>
            <w:r w:rsidRPr="00631BBA">
              <w:t xml:space="preserve">Substitute </w:t>
            </w:r>
            <w:r w:rsidR="00AE5AD1" w:rsidRPr="00631BBA">
              <w:t>values into formulas</w:t>
            </w:r>
            <w:r w:rsidR="00F07007">
              <w:t>.</w:t>
            </w:r>
          </w:p>
          <w:p w:rsidR="00AE5AD1" w:rsidRPr="00631BBA" w:rsidRDefault="00D86FF7" w:rsidP="00313839">
            <w:pPr>
              <w:pStyle w:val="Tablebullets"/>
              <w:numPr>
                <w:ilvl w:val="0"/>
                <w:numId w:val="2"/>
              </w:numPr>
              <w:ind w:left="283" w:hanging="283"/>
            </w:pPr>
            <w:r w:rsidRPr="00631BBA">
              <w:t xml:space="preserve">Use </w:t>
            </w:r>
            <w:r w:rsidR="00AE5AD1" w:rsidRPr="00631BBA">
              <w:t>sample spaces including using tables and tree diagrams to determine the probability of compound events</w:t>
            </w:r>
            <w:r w:rsidR="00F07007">
              <w:t>.</w:t>
            </w:r>
          </w:p>
          <w:p w:rsidR="00AE5AD1" w:rsidRPr="00631BBA" w:rsidRDefault="00D86FF7" w:rsidP="00313839">
            <w:pPr>
              <w:pStyle w:val="Tablebullets"/>
              <w:numPr>
                <w:ilvl w:val="0"/>
                <w:numId w:val="2"/>
              </w:numPr>
              <w:ind w:left="283" w:hanging="283"/>
            </w:pPr>
            <w:r w:rsidRPr="00631BBA">
              <w:t xml:space="preserve">Transfer </w:t>
            </w:r>
            <w:r w:rsidR="00AE5AD1" w:rsidRPr="00631BBA">
              <w:t>word problems into probability notation, including n(event), P(event)</w:t>
            </w:r>
            <w:r w:rsidR="00F07007">
              <w:t>.</w:t>
            </w:r>
          </w:p>
          <w:p w:rsidR="00AE5AD1" w:rsidRPr="00631BBA" w:rsidRDefault="00D86FF7" w:rsidP="00313839">
            <w:pPr>
              <w:pStyle w:val="Tablebullets"/>
              <w:numPr>
                <w:ilvl w:val="0"/>
                <w:numId w:val="2"/>
              </w:numPr>
              <w:ind w:left="283" w:hanging="283"/>
            </w:pPr>
            <w:r w:rsidRPr="00631BBA">
              <w:t xml:space="preserve">Discuss </w:t>
            </w:r>
            <w:r w:rsidR="00AE5AD1" w:rsidRPr="00631BBA">
              <w:t>and investigate how commentators in various sports cite statistics. How accurate is their interpretation of the data? What is the significance of the statistics they cite?</w:t>
            </w:r>
          </w:p>
          <w:p w:rsidR="00AE5AD1" w:rsidRPr="00631BBA" w:rsidRDefault="00D86FF7" w:rsidP="00313839">
            <w:pPr>
              <w:pStyle w:val="Tablebullets"/>
              <w:numPr>
                <w:ilvl w:val="0"/>
                <w:numId w:val="2"/>
              </w:numPr>
              <w:ind w:left="283" w:hanging="283"/>
            </w:pPr>
            <w:r w:rsidRPr="00631BBA">
              <w:t xml:space="preserve">Investigate </w:t>
            </w:r>
            <w:r w:rsidR="00AE5AD1" w:rsidRPr="00631BBA">
              <w:t>the myth of Australian batters getting out on 87 (the unlucky number) in cricket</w:t>
            </w:r>
            <w:r w:rsidR="00F07007">
              <w:t>.</w:t>
            </w:r>
          </w:p>
          <w:p w:rsidR="00AE5AD1" w:rsidRPr="00631BBA" w:rsidRDefault="00D86FF7" w:rsidP="00313839">
            <w:pPr>
              <w:pStyle w:val="Tablebullets"/>
              <w:numPr>
                <w:ilvl w:val="0"/>
                <w:numId w:val="2"/>
              </w:numPr>
              <w:ind w:left="283" w:hanging="283"/>
            </w:pPr>
            <w:r w:rsidRPr="00631BBA">
              <w:t xml:space="preserve">Research </w:t>
            </w:r>
            <w:r w:rsidR="00AE5AD1" w:rsidRPr="00631BBA">
              <w:t>and compare the sporting achievements of three or more champion athletes and decide who is the greatest based on their statistics</w:t>
            </w:r>
            <w:r w:rsidR="00F07007">
              <w:t>.</w:t>
            </w:r>
          </w:p>
          <w:p w:rsidR="00AE5AD1" w:rsidRPr="00631BBA" w:rsidRDefault="00D86FF7" w:rsidP="00313839">
            <w:pPr>
              <w:pStyle w:val="Tablebullets"/>
              <w:numPr>
                <w:ilvl w:val="0"/>
                <w:numId w:val="2"/>
              </w:numPr>
              <w:ind w:left="283" w:hanging="283"/>
            </w:pPr>
            <w:r w:rsidRPr="00631BBA">
              <w:t xml:space="preserve">Begin </w:t>
            </w:r>
            <w:r w:rsidR="00AE5AD1" w:rsidRPr="00631BBA">
              <w:t>research on the “hot streak”</w:t>
            </w:r>
            <w:r w:rsidR="005E1DAD">
              <w:t>.</w:t>
            </w:r>
            <w:r w:rsidR="00AE5AD1" w:rsidRPr="00631BBA">
              <w:t xml:space="preserve"> (This investigation requires scaffolding and monitoring of student understanding.) </w:t>
            </w:r>
          </w:p>
          <w:p w:rsidR="00AE5AD1" w:rsidRPr="00631BBA" w:rsidRDefault="00D86FF7" w:rsidP="00313839">
            <w:pPr>
              <w:pStyle w:val="Tablebullets"/>
              <w:numPr>
                <w:ilvl w:val="0"/>
                <w:numId w:val="2"/>
              </w:numPr>
              <w:ind w:left="283" w:hanging="283"/>
            </w:pPr>
            <w:r w:rsidRPr="00631BBA">
              <w:t xml:space="preserve">Research </w:t>
            </w:r>
            <w:r w:rsidR="00AE5AD1" w:rsidRPr="00631BBA">
              <w:t xml:space="preserve">the “clustering myth”, including a class discussion of the concepts involved in evaluating a “hot streak” mathematically. </w:t>
            </w:r>
          </w:p>
        </w:tc>
        <w:tc>
          <w:tcPr>
            <w:tcW w:w="1203" w:type="pct"/>
            <w:tcBorders>
              <w:bottom w:val="single" w:sz="4" w:space="0" w:color="00928F"/>
            </w:tcBorders>
            <w:shd w:val="clear" w:color="auto" w:fill="auto"/>
          </w:tcPr>
          <w:p w:rsidR="00AE5AD1" w:rsidRDefault="00AE5AD1" w:rsidP="00FA4C69">
            <w:pPr>
              <w:pStyle w:val="Tabletext"/>
            </w:pPr>
            <w:r>
              <w:t xml:space="preserve">Section 6 of the </w:t>
            </w:r>
            <w:r>
              <w:rPr>
                <w:i/>
              </w:rPr>
              <w:t xml:space="preserve">Disability Standards for Education </w:t>
            </w:r>
            <w:r>
              <w:t>(The Standards for Curriculum Development, Accreditation and Delivery) state</w:t>
            </w:r>
            <w:r w:rsidR="005E1DAD">
              <w:t>s</w:t>
            </w:r>
            <w:r>
              <w:t xml:space="preserve"> that education providers, including class teachers, must take reasonable steps to ensure a course/program is designed to allow any student to participate and experience success in learning. </w:t>
            </w:r>
          </w:p>
          <w:p w:rsidR="00AE5AD1" w:rsidRDefault="00AE5AD1" w:rsidP="00FA4C69">
            <w:pPr>
              <w:pStyle w:val="Tabletext"/>
              <w:rPr>
                <w:rFonts w:eastAsia="MS Mincho"/>
              </w:rPr>
            </w:pPr>
            <w:r>
              <w:t xml:space="preserve">The </w:t>
            </w:r>
            <w:r>
              <w:rPr>
                <w:i/>
              </w:rPr>
              <w:t xml:space="preserve">Disability Standards for Education 2005 </w:t>
            </w:r>
            <w:r>
              <w:t xml:space="preserve">(Cwlth) is available from: &lt;www.ag.gov.au&gt; select </w:t>
            </w:r>
            <w:r>
              <w:rPr>
                <w:rFonts w:eastAsia="MS Mincho"/>
              </w:rPr>
              <w:t>Human rights and anti-discrimination &gt; Disability standards for education.</w:t>
            </w:r>
          </w:p>
          <w:p w:rsidR="00042FB4" w:rsidRPr="00042FB4" w:rsidRDefault="00042FB4" w:rsidP="00042FB4">
            <w:pPr>
              <w:pStyle w:val="Tabletext"/>
            </w:pPr>
          </w:p>
        </w:tc>
        <w:tc>
          <w:tcPr>
            <w:tcW w:w="1117" w:type="pct"/>
            <w:tcBorders>
              <w:bottom w:val="single" w:sz="4" w:space="0" w:color="00928F"/>
            </w:tcBorders>
            <w:shd w:val="clear" w:color="auto" w:fill="auto"/>
          </w:tcPr>
          <w:p w:rsidR="00AE1B63" w:rsidRDefault="00AE1B63" w:rsidP="00AE1B63">
            <w:pPr>
              <w:pStyle w:val="Tablebullets"/>
              <w:numPr>
                <w:ilvl w:val="0"/>
                <w:numId w:val="0"/>
              </w:numPr>
              <w:ind w:left="284" w:hanging="284"/>
              <w:rPr>
                <w:b/>
              </w:rPr>
            </w:pPr>
            <w:r>
              <w:rPr>
                <w:b/>
              </w:rPr>
              <w:t>ICT</w:t>
            </w:r>
          </w:p>
          <w:p w:rsidR="00AE1B63" w:rsidRDefault="00AE1B63" w:rsidP="00313839">
            <w:pPr>
              <w:pStyle w:val="Tablebullets"/>
              <w:numPr>
                <w:ilvl w:val="0"/>
                <w:numId w:val="2"/>
              </w:numPr>
              <w:ind w:left="283" w:hanging="283"/>
            </w:pPr>
            <w:r>
              <w:t>i</w:t>
            </w:r>
            <w:r w:rsidRPr="0091371E">
              <w:t>nteractive whiteboard with access to mathematics programs and websites/images</w:t>
            </w:r>
            <w:r>
              <w:t xml:space="preserve"> (optional)</w:t>
            </w:r>
          </w:p>
          <w:p w:rsidR="00AE1B63" w:rsidRPr="00AE1B63" w:rsidRDefault="00AE1B63" w:rsidP="00313839">
            <w:pPr>
              <w:pStyle w:val="Tablebullets"/>
              <w:numPr>
                <w:ilvl w:val="0"/>
                <w:numId w:val="2"/>
              </w:numPr>
              <w:ind w:left="283" w:hanging="283"/>
            </w:pPr>
            <w:r w:rsidRPr="0091371E">
              <w:t xml:space="preserve">computer access required for data analysis </w:t>
            </w:r>
            <w:r>
              <w:br/>
            </w:r>
            <w:r w:rsidRPr="0091371E">
              <w:t>(spreadsheet) and report writing (word</w:t>
            </w:r>
            <w:r>
              <w:t xml:space="preserve"> </w:t>
            </w:r>
            <w:r w:rsidRPr="0091371E">
              <w:t>processing)</w:t>
            </w:r>
          </w:p>
          <w:p w:rsidR="00AE1B63" w:rsidRPr="00AE1B63" w:rsidRDefault="00AE1B63" w:rsidP="00AE1B63">
            <w:pPr>
              <w:pStyle w:val="Tablebullets"/>
              <w:numPr>
                <w:ilvl w:val="0"/>
                <w:numId w:val="0"/>
              </w:numPr>
              <w:ind w:left="284" w:hanging="284"/>
              <w:rPr>
                <w:b/>
              </w:rPr>
            </w:pPr>
            <w:r w:rsidRPr="00AE1B63">
              <w:rPr>
                <w:b/>
              </w:rPr>
              <w:t>Equipment</w:t>
            </w:r>
          </w:p>
          <w:p w:rsidR="00AE5AD1" w:rsidRPr="0091371E" w:rsidRDefault="00A76379" w:rsidP="00313839">
            <w:pPr>
              <w:pStyle w:val="Tablebullets"/>
              <w:numPr>
                <w:ilvl w:val="0"/>
                <w:numId w:val="2"/>
              </w:numPr>
              <w:ind w:left="283" w:hanging="283"/>
            </w:pPr>
            <w:r w:rsidRPr="00A65F4D">
              <w:t>r</w:t>
            </w:r>
            <w:r w:rsidRPr="0091371E">
              <w:t xml:space="preserve">elevant </w:t>
            </w:r>
            <w:r w:rsidR="00AE5AD1" w:rsidRPr="0091371E">
              <w:t>textbook</w:t>
            </w:r>
          </w:p>
          <w:p w:rsidR="00AE5AD1" w:rsidRPr="0091371E" w:rsidRDefault="00A76379" w:rsidP="00313839">
            <w:pPr>
              <w:pStyle w:val="Tablebullets"/>
              <w:numPr>
                <w:ilvl w:val="0"/>
                <w:numId w:val="2"/>
              </w:numPr>
              <w:ind w:left="283" w:hanging="283"/>
            </w:pPr>
            <w:r w:rsidRPr="0091371E">
              <w:t>worksheets</w:t>
            </w:r>
          </w:p>
          <w:p w:rsidR="00AE5AD1" w:rsidRPr="0091371E" w:rsidRDefault="00A76379" w:rsidP="00313839">
            <w:pPr>
              <w:pStyle w:val="Tablebullets"/>
              <w:numPr>
                <w:ilvl w:val="0"/>
                <w:numId w:val="2"/>
              </w:numPr>
              <w:ind w:left="283" w:hanging="283"/>
            </w:pPr>
            <w:r w:rsidRPr="0091371E">
              <w:t xml:space="preserve">coordination </w:t>
            </w:r>
            <w:r w:rsidR="00AE5AD1" w:rsidRPr="0091371E">
              <w:t>of primary data collection for report will require coordination with HPE department for access to basketball and netball courts and equipment (or other sports)</w:t>
            </w:r>
          </w:p>
          <w:p w:rsidR="00AE5AD1" w:rsidRPr="00030551" w:rsidRDefault="00AE5AD1" w:rsidP="00AE1B63">
            <w:pPr>
              <w:pStyle w:val="Tablebullets"/>
              <w:numPr>
                <w:ilvl w:val="0"/>
                <w:numId w:val="0"/>
              </w:numPr>
            </w:pPr>
          </w:p>
        </w:tc>
      </w:tr>
      <w:tr w:rsidR="00D86FF7" w:rsidRPr="00030551" w:rsidTr="000A6BC8">
        <w:trPr>
          <w:trHeight w:val="272"/>
          <w:jc w:val="center"/>
        </w:trPr>
        <w:tc>
          <w:tcPr>
            <w:tcW w:w="2680" w:type="pct"/>
            <w:tcBorders>
              <w:top w:val="single" w:sz="4" w:space="0" w:color="00928F"/>
            </w:tcBorders>
            <w:shd w:val="clear" w:color="auto" w:fill="auto"/>
          </w:tcPr>
          <w:p w:rsidR="00D86FF7" w:rsidRDefault="00D86FF7" w:rsidP="00D86FF7">
            <w:pPr>
              <w:pStyle w:val="Tablesubhead"/>
              <w:keepNext/>
            </w:pPr>
            <w:r w:rsidRPr="000F6E36">
              <w:t>Measurement, geometry and algebra</w:t>
            </w:r>
            <w:r>
              <w:t xml:space="preserve"> </w:t>
            </w:r>
          </w:p>
          <w:p w:rsidR="00D86FF7" w:rsidRPr="00631BBA" w:rsidRDefault="00D86FF7" w:rsidP="00AE5AD1">
            <w:pPr>
              <w:pStyle w:val="Tabletext"/>
            </w:pPr>
            <w:r w:rsidRPr="00631BBA">
              <w:t xml:space="preserve">Students develop their understanding of the logical reasoning involved in solving geometric problems and right angles. </w:t>
            </w:r>
          </w:p>
          <w:p w:rsidR="00D86FF7" w:rsidRPr="00631BBA" w:rsidRDefault="00D86FF7" w:rsidP="00AE5AD1">
            <w:pPr>
              <w:pStyle w:val="Tabletext"/>
            </w:pPr>
            <w:r w:rsidRPr="00631BBA">
              <w:t xml:space="preserve">Students use algebra to model real-world situations and extend their understanding of trigonometry. Students apply this learning to exploring the physical aspects of sport. </w:t>
            </w:r>
          </w:p>
          <w:p w:rsidR="00D86FF7" w:rsidRPr="00631BBA" w:rsidRDefault="00D86FF7" w:rsidP="00AE5AD1">
            <w:pPr>
              <w:pStyle w:val="Tabletext"/>
            </w:pPr>
            <w:r>
              <w:t>They u</w:t>
            </w:r>
            <w:r w:rsidRPr="00631BBA">
              <w:t>se relevant questions from textbooks, worksheets and other stimulus, as appropriate.</w:t>
            </w:r>
            <w:r>
              <w:t xml:space="preserve"> Students:</w:t>
            </w:r>
          </w:p>
          <w:p w:rsidR="00D86FF7" w:rsidRPr="00631BBA" w:rsidRDefault="00D86FF7" w:rsidP="00313839">
            <w:pPr>
              <w:pStyle w:val="Tablebullets"/>
              <w:numPr>
                <w:ilvl w:val="0"/>
                <w:numId w:val="2"/>
              </w:numPr>
              <w:ind w:left="283" w:hanging="283"/>
            </w:pPr>
            <w:r w:rsidRPr="00631BBA">
              <w:t>explore the congruence and similarity of plane shapes using scale drawings</w:t>
            </w:r>
          </w:p>
          <w:p w:rsidR="00D86FF7" w:rsidRPr="00631BBA" w:rsidRDefault="00D86FF7" w:rsidP="00313839">
            <w:pPr>
              <w:pStyle w:val="Tablebullets"/>
              <w:numPr>
                <w:ilvl w:val="0"/>
                <w:numId w:val="2"/>
              </w:numPr>
              <w:ind w:left="283" w:hanging="283"/>
            </w:pPr>
            <w:r w:rsidRPr="00631BBA">
              <w:t>investigate Thales’ use of similar triangles to find the height the Pyramids</w:t>
            </w:r>
          </w:p>
          <w:p w:rsidR="00D86FF7" w:rsidRPr="00631BBA" w:rsidRDefault="00D86FF7" w:rsidP="00313839">
            <w:pPr>
              <w:pStyle w:val="Tablebullets"/>
              <w:numPr>
                <w:ilvl w:val="0"/>
                <w:numId w:val="2"/>
              </w:numPr>
              <w:ind w:left="283" w:hanging="283"/>
            </w:pPr>
            <w:r w:rsidRPr="00631BBA">
              <w:t>review trigonometry and Pythagoras from Year 9, e.g. the terms</w:t>
            </w:r>
            <w:r>
              <w:t>:</w:t>
            </w:r>
            <w:r w:rsidRPr="00631BBA">
              <w:t xml:space="preserve"> opposite, adjacent, hypotenuse, and the trigonometric ratios</w:t>
            </w:r>
          </w:p>
          <w:p w:rsidR="00D86FF7" w:rsidRPr="00631BBA" w:rsidRDefault="00D86FF7" w:rsidP="00313839">
            <w:pPr>
              <w:pStyle w:val="Tablebullets"/>
              <w:numPr>
                <w:ilvl w:val="0"/>
                <w:numId w:val="2"/>
              </w:numPr>
              <w:ind w:left="283" w:hanging="283"/>
            </w:pPr>
            <w:r w:rsidRPr="00631BBA">
              <w:t xml:space="preserve">solve problems involving bearings (direction) and elevation </w:t>
            </w:r>
          </w:p>
          <w:p w:rsidR="00D86FF7" w:rsidRPr="00631BBA" w:rsidRDefault="00D86FF7" w:rsidP="00313839">
            <w:pPr>
              <w:pStyle w:val="Tablebullets"/>
              <w:numPr>
                <w:ilvl w:val="0"/>
                <w:numId w:val="2"/>
              </w:numPr>
              <w:ind w:left="283" w:hanging="283"/>
            </w:pPr>
            <w:r w:rsidRPr="00631BBA">
              <w:t>solve linear equations using graph paper and technology (graphing calculators/ spread sheet)</w:t>
            </w:r>
          </w:p>
          <w:p w:rsidR="00D86FF7" w:rsidRPr="00631BBA" w:rsidRDefault="00D86FF7" w:rsidP="00313839">
            <w:pPr>
              <w:pStyle w:val="Tablebullets"/>
              <w:numPr>
                <w:ilvl w:val="0"/>
                <w:numId w:val="2"/>
              </w:numPr>
              <w:ind w:left="283" w:hanging="283"/>
            </w:pPr>
            <w:r w:rsidRPr="00631BBA">
              <w:t>use technology to determine the acceleration of an object falling freely using a linear regression (can be done theoretically or using primary data from ticker timers/strobe light/high speed camera)</w:t>
            </w:r>
          </w:p>
          <w:p w:rsidR="00D86FF7" w:rsidRDefault="00D86FF7" w:rsidP="00AE5AD1">
            <w:pPr>
              <w:pStyle w:val="Tablesubhead"/>
            </w:pPr>
            <w:r>
              <w:t>Implement m</w:t>
            </w:r>
            <w:r w:rsidRPr="00977A94">
              <w:t>odelling and problem solving task</w:t>
            </w:r>
            <w:r w:rsidRPr="00B30150">
              <w:t xml:space="preserve"> </w:t>
            </w:r>
          </w:p>
          <w:p w:rsidR="00D86FF7" w:rsidRPr="00116B9B" w:rsidRDefault="00D86FF7" w:rsidP="00AE5AD1">
            <w:pPr>
              <w:pStyle w:val="Tablesubhead"/>
            </w:pPr>
            <w:r w:rsidRPr="0091371E">
              <w:t>Revise for supervised test</w:t>
            </w:r>
          </w:p>
        </w:tc>
        <w:tc>
          <w:tcPr>
            <w:tcW w:w="1203" w:type="pct"/>
            <w:tcBorders>
              <w:top w:val="single" w:sz="4" w:space="0" w:color="00928F"/>
            </w:tcBorders>
            <w:shd w:val="clear" w:color="auto" w:fill="auto"/>
          </w:tcPr>
          <w:p w:rsidR="00D86FF7" w:rsidRDefault="00D86FF7" w:rsidP="00042FB4">
            <w:pPr>
              <w:pStyle w:val="Tabletext"/>
            </w:pPr>
          </w:p>
        </w:tc>
        <w:tc>
          <w:tcPr>
            <w:tcW w:w="1117" w:type="pct"/>
            <w:tcBorders>
              <w:top w:val="single" w:sz="4" w:space="0" w:color="00928F"/>
            </w:tcBorders>
            <w:shd w:val="clear" w:color="auto" w:fill="auto"/>
          </w:tcPr>
          <w:p w:rsidR="00D86FF7" w:rsidRDefault="00D86FF7" w:rsidP="00AE1B63">
            <w:pPr>
              <w:pStyle w:val="Tablebullets"/>
              <w:ind w:left="0"/>
              <w:rPr>
                <w:b/>
              </w:rPr>
            </w:pP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7B343C" w:rsidRDefault="00B622C7" w:rsidP="00042FB4">
            <w:pPr>
              <w:pStyle w:val="Tabletext"/>
            </w:pPr>
            <w:r>
              <w:t>T</w:t>
            </w:r>
            <w:r w:rsidRPr="007B343C">
              <w:t>eachers meet to collaboratively plan the teaching, learning and assessment to meet the needs of all learners in each unit.</w:t>
            </w:r>
          </w:p>
          <w:p w:rsidR="00B622C7" w:rsidRPr="00B00EB7" w:rsidRDefault="00B622C7" w:rsidP="00042FB4">
            <w:pPr>
              <w:pStyle w:val="Tabletext"/>
            </w:pPr>
            <w:r w:rsidRPr="007B343C">
              <w:t>Teachers create opportunities for discussion about levels of achievement t</w:t>
            </w:r>
            <w:r>
              <w:t>o develop shared understandings;</w:t>
            </w:r>
            <w:r w:rsidRPr="007B343C">
              <w:t xml:space="preserve"> co-mark or cross mark at key points to ensure consistency of judgments</w:t>
            </w:r>
            <w:r>
              <w:t>;</w:t>
            </w:r>
            <w:r w:rsidRPr="007B343C">
              <w:t xml:space="preserve"> and participate in moderat</w:t>
            </w:r>
            <w:r>
              <w:t xml:space="preserve">ing samples of student work at </w:t>
            </w:r>
            <w:r w:rsidRPr="007B343C">
              <w:t>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7B343C" w:rsidRDefault="00B622C7" w:rsidP="00042FB4">
            <w:pPr>
              <w:pStyle w:val="Tabletext"/>
            </w:pPr>
            <w:r w:rsidRPr="007B343C">
              <w:t xml:space="preserve">Teachers strategically plan opportunities </w:t>
            </w:r>
            <w:r>
              <w:t>and</w:t>
            </w:r>
            <w:r w:rsidRPr="007B343C">
              <w:t xml:space="preserve"> ways to provide ongoing feedback (both written and informal) and encouragement to students on their strengths and areas for improvement.</w:t>
            </w:r>
          </w:p>
          <w:p w:rsidR="00B622C7" w:rsidRPr="007B343C" w:rsidRDefault="00B622C7" w:rsidP="00042FB4">
            <w:pPr>
              <w:pStyle w:val="Tabletext"/>
            </w:pPr>
            <w:r w:rsidRPr="007B343C">
              <w:t>Students reflect on and discuss with their teachers or peers what they can do well and what they need to improve.</w:t>
            </w:r>
          </w:p>
          <w:p w:rsidR="00B622C7" w:rsidRPr="00B00EB7" w:rsidRDefault="00B622C7" w:rsidP="00837F56">
            <w:pPr>
              <w:pStyle w:val="Tabletext"/>
            </w:pPr>
            <w:r w:rsidRPr="007B343C">
              <w:t xml:space="preserve">Teachers reflect on and review learning opportunities to </w:t>
            </w:r>
            <w:r>
              <w:t>incorporate</w:t>
            </w:r>
            <w:r w:rsidRPr="007B343C">
              <w:t xml:space="preserve"> specific learning experiences and provide multiple opportunities for </w:t>
            </w:r>
            <w:r w:rsidR="00837F56">
              <w:t>students</w:t>
            </w:r>
            <w:r w:rsidRPr="007B343C">
              <w:t xml:space="preserve"> to experience, 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7B343C" w:rsidRDefault="00B622C7" w:rsidP="00042FB4">
            <w:pPr>
              <w:pStyle w:val="Tabletext"/>
            </w:pPr>
            <w:r>
              <w:t>I</w:t>
            </w:r>
            <w:r w:rsidRPr="007B343C">
              <w:t>dentify what worked well</w:t>
            </w:r>
            <w:r>
              <w:t xml:space="preserve"> d</w:t>
            </w:r>
            <w:r w:rsidRPr="007B343C">
              <w:t>uring and at the end of the unit</w:t>
            </w:r>
            <w:r>
              <w:t>,</w:t>
            </w:r>
            <w:r w:rsidRPr="007B343C">
              <w:t xml:space="preserve"> </w:t>
            </w:r>
            <w:r>
              <w:t>i</w:t>
            </w:r>
            <w:r w:rsidRPr="007B343C">
              <w:t>ncluding:</w:t>
            </w:r>
          </w:p>
          <w:p w:rsidR="00B622C7" w:rsidRPr="007B343C" w:rsidRDefault="00B622C7" w:rsidP="00042FB4">
            <w:pPr>
              <w:pStyle w:val="Tablebullets"/>
            </w:pPr>
            <w:r w:rsidRPr="007B343C">
              <w:t>activities that worked well and why</w:t>
            </w:r>
          </w:p>
          <w:p w:rsidR="00B622C7" w:rsidRPr="007B343C" w:rsidRDefault="00B622C7" w:rsidP="00042FB4">
            <w:pPr>
              <w:pStyle w:val="Tablebullets"/>
            </w:pPr>
            <w:r w:rsidRPr="007B343C">
              <w:t>activities that could be improved and how</w:t>
            </w:r>
          </w:p>
          <w:p w:rsidR="00B622C7" w:rsidRPr="007B343C" w:rsidRDefault="00B622C7" w:rsidP="00042FB4">
            <w:pPr>
              <w:pStyle w:val="Tablebullets"/>
            </w:pPr>
            <w:r w:rsidRPr="007B343C">
              <w:t>assessment that worked well and why</w:t>
            </w:r>
          </w:p>
          <w:p w:rsidR="00B622C7" w:rsidRPr="007B343C" w:rsidRDefault="00B622C7" w:rsidP="00042FB4">
            <w:pPr>
              <w:pStyle w:val="Tablebullets"/>
            </w:pPr>
            <w:r w:rsidRPr="007B343C">
              <w:t>assessment that could be improved and how</w:t>
            </w:r>
          </w:p>
          <w:p w:rsidR="00B622C7" w:rsidRPr="008068E1" w:rsidRDefault="00B622C7" w:rsidP="00042FB4">
            <w:pPr>
              <w:pStyle w:val="Tablebullets"/>
            </w:pPr>
            <w:r w:rsidRPr="007B343C">
              <w:t xml:space="preserve">common student misconceptions that </w:t>
            </w:r>
            <w:r>
              <w:t xml:space="preserve">need, or </w:t>
            </w:r>
            <w:r w:rsidRPr="007B343C">
              <w:t>needed</w:t>
            </w:r>
            <w:r>
              <w:t>,</w:t>
            </w:r>
            <w:r w:rsidRPr="007B343C">
              <w:t xml:space="preserve"> to be </w:t>
            </w:r>
            <w:r>
              <w:t>clarified</w:t>
            </w:r>
            <w:r w:rsidRPr="007B343C">
              <w:t>.</w:t>
            </w:r>
          </w:p>
        </w:tc>
      </w:tr>
    </w:tbl>
    <w:p w:rsidR="00A4154C" w:rsidRPr="008300AE" w:rsidRDefault="00A4154C" w:rsidP="008300AE"/>
    <w:sectPr w:rsidR="00A4154C" w:rsidRPr="008300AE" w:rsidSect="00BB3EE6">
      <w:footerReference w:type="even" r:id="rId31"/>
      <w:footerReference w:type="default" r:id="rId32"/>
      <w:headerReference w:type="first" r:id="rId33"/>
      <w:footerReference w:type="first" r:id="rId34"/>
      <w:pgSz w:w="16840" w:h="11907" w:orient="landscape" w:code="9"/>
      <w:pgMar w:top="1134" w:right="1064" w:bottom="1418"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FE3" w:rsidRDefault="00CF3FE3">
      <w:r>
        <w:separator/>
      </w:r>
    </w:p>
  </w:endnote>
  <w:endnote w:type="continuationSeparator" w:id="0">
    <w:p w:rsidR="00CF3FE3" w:rsidRDefault="00CF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EE6" w:rsidRDefault="00BB3EE6"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2C0DFB">
      <w:rPr>
        <w:rStyle w:val="Footerbold"/>
        <w:noProof/>
      </w:rPr>
      <w:t>8</w:t>
    </w:r>
    <w:r w:rsidRPr="001947AE">
      <w:rPr>
        <w:rStyle w:val="Footerbold"/>
      </w:rPr>
      <w:fldChar w:fldCharType="end"/>
    </w:r>
    <w:r w:rsidRPr="00AA55F1">
      <w:tab/>
      <w:t>|</w:t>
    </w:r>
    <w:r w:rsidRPr="00AA55F1">
      <w:tab/>
    </w:r>
    <w:r w:rsidRPr="005213F2">
      <w:rPr>
        <w:rStyle w:val="Footerbold"/>
      </w:rPr>
      <w:t xml:space="preserve">Year </w:t>
    </w:r>
    <w:r>
      <w:rPr>
        <w:rStyle w:val="Footerbold"/>
      </w:rPr>
      <w:t>10/10a</w:t>
    </w:r>
    <w:r w:rsidRPr="005213F2">
      <w:rPr>
        <w:rStyle w:val="Footerbold"/>
      </w:rPr>
      <w:t xml:space="preserve"> </w:t>
    </w:r>
    <w:r>
      <w:rPr>
        <w:rStyle w:val="Footerbold"/>
      </w:rPr>
      <w:t>u</w:t>
    </w:r>
    <w:r w:rsidRPr="005213F2">
      <w:rPr>
        <w:rStyle w:val="Footerbold"/>
      </w:rPr>
      <w:t>nit overview</w:t>
    </w:r>
    <w:r w:rsidRPr="00AA55F1">
      <w:rPr>
        <w:rFonts w:ascii="MS Mincho" w:eastAsia="MS Mincho" w:hAnsi="MS Mincho" w:cs="MS Mincho" w:hint="eastAsia"/>
      </w:rPr>
      <w:t> </w:t>
    </w:r>
    <w:r>
      <w:t>Australian Curriculum: Mathematics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EE6" w:rsidRDefault="00BB3EE6" w:rsidP="00F71A88">
    <w:pPr>
      <w:pStyle w:val="Footerodd"/>
    </w:pPr>
    <w:r w:rsidRPr="00AA55F1">
      <w:tab/>
    </w:r>
    <w:r w:rsidRPr="001947AE">
      <w:rPr>
        <w:rStyle w:val="Footerbold"/>
      </w:rPr>
      <w:t>Queensland Studies Authority</w:t>
    </w:r>
    <w:r w:rsidRPr="00AA55F1">
      <w:rPr>
        <w:rFonts w:ascii="MS Mincho" w:eastAsia="MS Mincho" w:hAnsi="MS Mincho" w:cs="MS Mincho" w:hint="eastAsia"/>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946E11">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EE6" w:rsidRDefault="00946E11"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2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FE3" w:rsidRDefault="00CF3FE3">
      <w:r>
        <w:separator/>
      </w:r>
    </w:p>
  </w:footnote>
  <w:footnote w:type="continuationSeparator" w:id="0">
    <w:p w:rsidR="00CF3FE3" w:rsidRDefault="00CF3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EE6" w:rsidRPr="002E4C72" w:rsidRDefault="00946E11"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BB3EE6" w:rsidTr="004E0C69">
      <w:tc>
        <w:tcPr>
          <w:tcW w:w="10450" w:type="dxa"/>
          <w:shd w:val="clear" w:color="auto" w:fill="auto"/>
        </w:tcPr>
        <w:p w:rsidR="00BB3EE6" w:rsidRPr="00F561C0" w:rsidRDefault="00BB3EE6" w:rsidP="00F561C0">
          <w:r w:rsidRPr="00F561C0">
            <w:t>Insert fact sheet title</w:t>
          </w:r>
        </w:p>
        <w:p w:rsidR="00BB3EE6" w:rsidRPr="00F561C0" w:rsidRDefault="00BB3EE6" w:rsidP="00F561C0">
          <w:r w:rsidRPr="00F561C0">
            <w:t>Insert fact sheet subtitle (if necessary)</w:t>
          </w:r>
        </w:p>
        <w:p w:rsidR="00BB3EE6" w:rsidRPr="004E0C69" w:rsidRDefault="00BB3EE6" w:rsidP="004E0C69">
          <w:pPr>
            <w:tabs>
              <w:tab w:val="left" w:pos="-110"/>
              <w:tab w:val="left" w:pos="220"/>
            </w:tabs>
            <w:ind w:left="-437"/>
            <w:rPr>
              <w:color w:val="00928F"/>
              <w:szCs w:val="16"/>
            </w:rPr>
          </w:pPr>
        </w:p>
      </w:tc>
    </w:tr>
  </w:tbl>
  <w:p w:rsidR="00BB3EE6" w:rsidRPr="00954490" w:rsidRDefault="00BB3EE6"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0BE2"/>
    <w:multiLevelType w:val="hybridMultilevel"/>
    <w:tmpl w:val="1C7E879A"/>
    <w:lvl w:ilvl="0" w:tplc="5BFC2A16">
      <w:start w:val="1"/>
      <w:numFmt w:val="bullet"/>
      <w:pStyle w:val="TOC2"/>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26D10B4"/>
    <w:multiLevelType w:val="singleLevel"/>
    <w:tmpl w:val="C57A69A2"/>
    <w:lvl w:ilvl="0">
      <w:start w:val="1"/>
      <w:numFmt w:val="bullet"/>
      <w:pStyle w:val="CommentReference"/>
      <w:lvlText w:val=""/>
      <w:lvlJc w:val="left"/>
      <w:pPr>
        <w:tabs>
          <w:tab w:val="num" w:pos="284"/>
        </w:tabs>
        <w:ind w:left="284" w:hanging="284"/>
      </w:pPr>
      <w:rPr>
        <w:rFonts w:ascii="Symbol" w:hAnsi="Symbol" w:hint="default"/>
        <w:color w:val="00928F"/>
      </w:rPr>
    </w:lvl>
  </w:abstractNum>
  <w:abstractNum w:abstractNumId="2">
    <w:nsid w:val="2F1046B8"/>
    <w:multiLevelType w:val="singleLevel"/>
    <w:tmpl w:val="2C7E5C60"/>
    <w:lvl w:ilvl="0">
      <w:start w:val="1"/>
      <w:numFmt w:val="bullet"/>
      <w:pStyle w:val="CommentSubject"/>
      <w:lvlText w:val="▪"/>
      <w:lvlJc w:val="left"/>
      <w:pPr>
        <w:tabs>
          <w:tab w:val="num" w:pos="284"/>
        </w:tabs>
        <w:ind w:left="851" w:hanging="284"/>
      </w:pPr>
      <w:rPr>
        <w:rFonts w:ascii="Arial" w:hAnsi="Arial" w:hint="default"/>
      </w:rPr>
    </w:lvl>
  </w:abstractNum>
  <w:abstractNum w:abstractNumId="3">
    <w:nsid w:val="520557BA"/>
    <w:multiLevelType w:val="hybridMultilevel"/>
    <w:tmpl w:val="899EFB2A"/>
    <w:lvl w:ilvl="0" w:tplc="75F6DC82">
      <w:start w:val="1"/>
      <w:numFmt w:val="decimal"/>
      <w:pStyle w:val="smallspace"/>
      <w:lvlText w:val="%1."/>
      <w:lvlJc w:val="left"/>
      <w:pPr>
        <w:tabs>
          <w:tab w:val="num" w:pos="397"/>
        </w:tabs>
        <w:ind w:left="397" w:hanging="397"/>
      </w:pPr>
      <w:rPr>
        <w:rFonts w:hint="default"/>
      </w:rPr>
    </w:lvl>
    <w:lvl w:ilvl="1" w:tplc="C1D0F27E">
      <w:start w:val="1"/>
      <w:numFmt w:val="lowerLetter"/>
      <w:pStyle w:val="Reference"/>
      <w:lvlText w:val="%2."/>
      <w:lvlJc w:val="left"/>
      <w:pPr>
        <w:tabs>
          <w:tab w:val="num" w:pos="1080"/>
        </w:tabs>
        <w:ind w:left="1080" w:hanging="360"/>
      </w:pPr>
    </w:lvl>
    <w:lvl w:ilvl="2" w:tplc="3D204C76">
      <w:start w:val="1"/>
      <w:numFmt w:val="lowerRoman"/>
      <w:pStyle w:val="smallspace"/>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nsid w:val="54435ECE"/>
    <w:multiLevelType w:val="hybridMultilevel"/>
    <w:tmpl w:val="8F16AC0E"/>
    <w:lvl w:ilvl="0" w:tplc="6E24DBC6">
      <w:start w:val="1"/>
      <w:numFmt w:val="bullet"/>
      <w:pStyle w:val="CommentTex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604F0DBA"/>
    <w:multiLevelType w:val="singleLevel"/>
    <w:tmpl w:val="1324BBDA"/>
    <w:lvl w:ilvl="0">
      <w:start w:val="1"/>
      <w:numFmt w:val="bullet"/>
      <w:pStyle w:val="TOC3"/>
      <w:lvlText w:val="▪"/>
      <w:lvlJc w:val="left"/>
      <w:pPr>
        <w:tabs>
          <w:tab w:val="num" w:pos="851"/>
        </w:tabs>
        <w:ind w:left="851" w:hanging="284"/>
      </w:pPr>
      <w:rPr>
        <w:rFonts w:ascii="Arial" w:hAnsi="Arial" w:hint="default"/>
      </w:rPr>
    </w:lvl>
  </w:abstractNum>
  <w:abstractNum w:abstractNumId="6">
    <w:nsid w:val="770418D0"/>
    <w:multiLevelType w:val="singleLevel"/>
    <w:tmpl w:val="B74C7036"/>
    <w:lvl w:ilvl="0">
      <w:start w:val="1"/>
      <w:numFmt w:val="bullet"/>
      <w:pStyle w:val="Tablebullets"/>
      <w:lvlText w:val=""/>
      <w:lvlJc w:val="left"/>
      <w:pPr>
        <w:tabs>
          <w:tab w:val="num" w:pos="284"/>
        </w:tabs>
        <w:ind w:left="284" w:hanging="284"/>
      </w:pPr>
      <w:rPr>
        <w:rFonts w:ascii="Symbol" w:hAnsi="Symbol" w:hint="default"/>
        <w:color w:val="00928F"/>
      </w:rPr>
    </w:lvl>
  </w:abstractNum>
  <w:num w:numId="1">
    <w:abstractNumId w:val="3"/>
  </w:num>
  <w:num w:numId="2">
    <w:abstractNumId w:val="6"/>
  </w:num>
  <w:num w:numId="3">
    <w:abstractNumId w:val="1"/>
  </w:num>
  <w:num w:numId="4">
    <w:abstractNumId w:val="4"/>
  </w:num>
  <w:num w:numId="5">
    <w:abstractNumId w:val="2"/>
  </w:num>
  <w:num w:numId="6">
    <w:abstractNumId w:val="3"/>
  </w:num>
  <w:num w:numId="7">
    <w:abstractNumId w:val="6"/>
  </w:num>
  <w:num w:numId="8">
    <w:abstractNumId w:val="0"/>
  </w:num>
  <w:num w:numId="9">
    <w:abstractNumId w:val="5"/>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E1B"/>
    <w:rsid w:val="00001DE7"/>
    <w:rsid w:val="00025D91"/>
    <w:rsid w:val="00030551"/>
    <w:rsid w:val="00032413"/>
    <w:rsid w:val="00033DBD"/>
    <w:rsid w:val="00035203"/>
    <w:rsid w:val="00035C0A"/>
    <w:rsid w:val="00042417"/>
    <w:rsid w:val="00042CCA"/>
    <w:rsid w:val="00042FB4"/>
    <w:rsid w:val="00043015"/>
    <w:rsid w:val="00046924"/>
    <w:rsid w:val="0006205A"/>
    <w:rsid w:val="000658BE"/>
    <w:rsid w:val="00067264"/>
    <w:rsid w:val="00073A08"/>
    <w:rsid w:val="0007560B"/>
    <w:rsid w:val="00083F6D"/>
    <w:rsid w:val="00085EF6"/>
    <w:rsid w:val="000869F0"/>
    <w:rsid w:val="00095CC0"/>
    <w:rsid w:val="000A0941"/>
    <w:rsid w:val="000A1078"/>
    <w:rsid w:val="000A28EF"/>
    <w:rsid w:val="000A6B3B"/>
    <w:rsid w:val="000A6BC8"/>
    <w:rsid w:val="000B2F97"/>
    <w:rsid w:val="000B5758"/>
    <w:rsid w:val="000C7031"/>
    <w:rsid w:val="000C76A5"/>
    <w:rsid w:val="000C7E57"/>
    <w:rsid w:val="000D2D55"/>
    <w:rsid w:val="000D4545"/>
    <w:rsid w:val="000E1FFE"/>
    <w:rsid w:val="000E3F33"/>
    <w:rsid w:val="000E49E2"/>
    <w:rsid w:val="000F1EC4"/>
    <w:rsid w:val="000F76EF"/>
    <w:rsid w:val="001029DB"/>
    <w:rsid w:val="00123DEE"/>
    <w:rsid w:val="00124A32"/>
    <w:rsid w:val="00130772"/>
    <w:rsid w:val="00135C0D"/>
    <w:rsid w:val="00140672"/>
    <w:rsid w:val="00145904"/>
    <w:rsid w:val="0015354A"/>
    <w:rsid w:val="0015404B"/>
    <w:rsid w:val="001551A7"/>
    <w:rsid w:val="001703E9"/>
    <w:rsid w:val="001739A8"/>
    <w:rsid w:val="00177A03"/>
    <w:rsid w:val="001947AE"/>
    <w:rsid w:val="00197074"/>
    <w:rsid w:val="001975A9"/>
    <w:rsid w:val="001A51A3"/>
    <w:rsid w:val="001A7D7B"/>
    <w:rsid w:val="001C11BE"/>
    <w:rsid w:val="001C6D32"/>
    <w:rsid w:val="001D321C"/>
    <w:rsid w:val="001D6C85"/>
    <w:rsid w:val="001E1961"/>
    <w:rsid w:val="001F1CE1"/>
    <w:rsid w:val="001F2178"/>
    <w:rsid w:val="001F6305"/>
    <w:rsid w:val="001F6C01"/>
    <w:rsid w:val="00200478"/>
    <w:rsid w:val="002008B6"/>
    <w:rsid w:val="0020301A"/>
    <w:rsid w:val="00205D97"/>
    <w:rsid w:val="00207832"/>
    <w:rsid w:val="00210577"/>
    <w:rsid w:val="00221C9C"/>
    <w:rsid w:val="00227B1B"/>
    <w:rsid w:val="00230B64"/>
    <w:rsid w:val="00233BB5"/>
    <w:rsid w:val="00234025"/>
    <w:rsid w:val="00255B58"/>
    <w:rsid w:val="0025652B"/>
    <w:rsid w:val="00274EBE"/>
    <w:rsid w:val="0028641F"/>
    <w:rsid w:val="00286A7F"/>
    <w:rsid w:val="00292FF4"/>
    <w:rsid w:val="002A67FA"/>
    <w:rsid w:val="002B66CD"/>
    <w:rsid w:val="002C0575"/>
    <w:rsid w:val="002C0DFB"/>
    <w:rsid w:val="002C1F67"/>
    <w:rsid w:val="002C3949"/>
    <w:rsid w:val="002D23BF"/>
    <w:rsid w:val="002D290F"/>
    <w:rsid w:val="002D7859"/>
    <w:rsid w:val="002E4C72"/>
    <w:rsid w:val="002E56E5"/>
    <w:rsid w:val="002E5DB1"/>
    <w:rsid w:val="002F25CE"/>
    <w:rsid w:val="002F33A4"/>
    <w:rsid w:val="002F5D9A"/>
    <w:rsid w:val="003044FC"/>
    <w:rsid w:val="00307BE6"/>
    <w:rsid w:val="00313839"/>
    <w:rsid w:val="00330CF7"/>
    <w:rsid w:val="003406AC"/>
    <w:rsid w:val="00346E9C"/>
    <w:rsid w:val="003547DB"/>
    <w:rsid w:val="0036333C"/>
    <w:rsid w:val="003636A6"/>
    <w:rsid w:val="00364E09"/>
    <w:rsid w:val="00365706"/>
    <w:rsid w:val="003664A3"/>
    <w:rsid w:val="00367B7E"/>
    <w:rsid w:val="00372E92"/>
    <w:rsid w:val="00374483"/>
    <w:rsid w:val="00387736"/>
    <w:rsid w:val="00393E8B"/>
    <w:rsid w:val="0039537C"/>
    <w:rsid w:val="00396C14"/>
    <w:rsid w:val="003B07B0"/>
    <w:rsid w:val="003C3015"/>
    <w:rsid w:val="003C5172"/>
    <w:rsid w:val="003C6914"/>
    <w:rsid w:val="003D1397"/>
    <w:rsid w:val="003D1675"/>
    <w:rsid w:val="003D7CEA"/>
    <w:rsid w:val="003E0E83"/>
    <w:rsid w:val="003E62B0"/>
    <w:rsid w:val="003F1A88"/>
    <w:rsid w:val="003F1B1C"/>
    <w:rsid w:val="003F65E2"/>
    <w:rsid w:val="004005C2"/>
    <w:rsid w:val="004100FC"/>
    <w:rsid w:val="00415B31"/>
    <w:rsid w:val="004167A6"/>
    <w:rsid w:val="00417E9D"/>
    <w:rsid w:val="00423A60"/>
    <w:rsid w:val="00433BEC"/>
    <w:rsid w:val="004456BE"/>
    <w:rsid w:val="0045314A"/>
    <w:rsid w:val="00455603"/>
    <w:rsid w:val="00456DE6"/>
    <w:rsid w:val="00460455"/>
    <w:rsid w:val="00470904"/>
    <w:rsid w:val="00472DDE"/>
    <w:rsid w:val="004730FF"/>
    <w:rsid w:val="00474CDB"/>
    <w:rsid w:val="004755F1"/>
    <w:rsid w:val="00475EF5"/>
    <w:rsid w:val="00475F85"/>
    <w:rsid w:val="00483F3B"/>
    <w:rsid w:val="00487176"/>
    <w:rsid w:val="00490BAB"/>
    <w:rsid w:val="004941D4"/>
    <w:rsid w:val="004A1418"/>
    <w:rsid w:val="004A2506"/>
    <w:rsid w:val="004A3149"/>
    <w:rsid w:val="004A60BB"/>
    <w:rsid w:val="004A63FF"/>
    <w:rsid w:val="004A69B7"/>
    <w:rsid w:val="004A6B37"/>
    <w:rsid w:val="004C146C"/>
    <w:rsid w:val="004C2440"/>
    <w:rsid w:val="004C3954"/>
    <w:rsid w:val="004C43C1"/>
    <w:rsid w:val="004C56AC"/>
    <w:rsid w:val="004C7384"/>
    <w:rsid w:val="004D04F0"/>
    <w:rsid w:val="004D19DD"/>
    <w:rsid w:val="004D3E1B"/>
    <w:rsid w:val="004E0C69"/>
    <w:rsid w:val="004E5C44"/>
    <w:rsid w:val="004F36D4"/>
    <w:rsid w:val="004F3B8B"/>
    <w:rsid w:val="004F58C2"/>
    <w:rsid w:val="004F6801"/>
    <w:rsid w:val="004F6974"/>
    <w:rsid w:val="005052ED"/>
    <w:rsid w:val="0052010F"/>
    <w:rsid w:val="005213F2"/>
    <w:rsid w:val="0052313B"/>
    <w:rsid w:val="00532DA1"/>
    <w:rsid w:val="0053466B"/>
    <w:rsid w:val="00537D1B"/>
    <w:rsid w:val="00544562"/>
    <w:rsid w:val="0055092E"/>
    <w:rsid w:val="005632AE"/>
    <w:rsid w:val="005678C2"/>
    <w:rsid w:val="005710FF"/>
    <w:rsid w:val="00576206"/>
    <w:rsid w:val="005823C2"/>
    <w:rsid w:val="00597E6A"/>
    <w:rsid w:val="005A29D0"/>
    <w:rsid w:val="005A6DDB"/>
    <w:rsid w:val="005B4DB1"/>
    <w:rsid w:val="005C0F27"/>
    <w:rsid w:val="005C1185"/>
    <w:rsid w:val="005C5B93"/>
    <w:rsid w:val="005C68F1"/>
    <w:rsid w:val="005D333E"/>
    <w:rsid w:val="005D7E39"/>
    <w:rsid w:val="005E1659"/>
    <w:rsid w:val="005E1AD6"/>
    <w:rsid w:val="005E1DAD"/>
    <w:rsid w:val="005E6236"/>
    <w:rsid w:val="005E70B4"/>
    <w:rsid w:val="005F1C74"/>
    <w:rsid w:val="005F397C"/>
    <w:rsid w:val="005F7BF6"/>
    <w:rsid w:val="00604E1C"/>
    <w:rsid w:val="00622EEE"/>
    <w:rsid w:val="00632199"/>
    <w:rsid w:val="00642462"/>
    <w:rsid w:val="00643FEC"/>
    <w:rsid w:val="00644EF5"/>
    <w:rsid w:val="00660414"/>
    <w:rsid w:val="006717D2"/>
    <w:rsid w:val="00677F9B"/>
    <w:rsid w:val="00683DF5"/>
    <w:rsid w:val="0068411D"/>
    <w:rsid w:val="00686DF2"/>
    <w:rsid w:val="00687891"/>
    <w:rsid w:val="00687F39"/>
    <w:rsid w:val="00687F52"/>
    <w:rsid w:val="00696083"/>
    <w:rsid w:val="006A03B7"/>
    <w:rsid w:val="006A5222"/>
    <w:rsid w:val="006B22CB"/>
    <w:rsid w:val="006B57D6"/>
    <w:rsid w:val="006B6B74"/>
    <w:rsid w:val="006B708E"/>
    <w:rsid w:val="006C7B26"/>
    <w:rsid w:val="006E127C"/>
    <w:rsid w:val="006E229B"/>
    <w:rsid w:val="006F6BFB"/>
    <w:rsid w:val="00704F62"/>
    <w:rsid w:val="00706C6F"/>
    <w:rsid w:val="00707D7E"/>
    <w:rsid w:val="00711051"/>
    <w:rsid w:val="007211E7"/>
    <w:rsid w:val="00722885"/>
    <w:rsid w:val="00722EF6"/>
    <w:rsid w:val="00726039"/>
    <w:rsid w:val="00726D53"/>
    <w:rsid w:val="00727790"/>
    <w:rsid w:val="007322C6"/>
    <w:rsid w:val="00737522"/>
    <w:rsid w:val="0074533E"/>
    <w:rsid w:val="0075321B"/>
    <w:rsid w:val="0075601F"/>
    <w:rsid w:val="007662C8"/>
    <w:rsid w:val="00771A39"/>
    <w:rsid w:val="00783EF7"/>
    <w:rsid w:val="00791E9D"/>
    <w:rsid w:val="0079287A"/>
    <w:rsid w:val="00795430"/>
    <w:rsid w:val="007A570B"/>
    <w:rsid w:val="007B1E7A"/>
    <w:rsid w:val="007B343C"/>
    <w:rsid w:val="007B69DC"/>
    <w:rsid w:val="007C7063"/>
    <w:rsid w:val="007D1030"/>
    <w:rsid w:val="007E14E8"/>
    <w:rsid w:val="007F21AA"/>
    <w:rsid w:val="00801CCA"/>
    <w:rsid w:val="008035EA"/>
    <w:rsid w:val="0080543A"/>
    <w:rsid w:val="008068E1"/>
    <w:rsid w:val="008108D8"/>
    <w:rsid w:val="008248FF"/>
    <w:rsid w:val="00825079"/>
    <w:rsid w:val="008300AE"/>
    <w:rsid w:val="008331B9"/>
    <w:rsid w:val="00837F56"/>
    <w:rsid w:val="008406A0"/>
    <w:rsid w:val="00842772"/>
    <w:rsid w:val="00842D41"/>
    <w:rsid w:val="00854213"/>
    <w:rsid w:val="008721B3"/>
    <w:rsid w:val="00881EFD"/>
    <w:rsid w:val="0088630F"/>
    <w:rsid w:val="0089026E"/>
    <w:rsid w:val="00893925"/>
    <w:rsid w:val="00893B6D"/>
    <w:rsid w:val="008A12B0"/>
    <w:rsid w:val="008A1957"/>
    <w:rsid w:val="008A31C9"/>
    <w:rsid w:val="008A3BA8"/>
    <w:rsid w:val="008A7787"/>
    <w:rsid w:val="008C4F74"/>
    <w:rsid w:val="008C78DF"/>
    <w:rsid w:val="008D26FB"/>
    <w:rsid w:val="008D28C8"/>
    <w:rsid w:val="008D55A1"/>
    <w:rsid w:val="008E05BD"/>
    <w:rsid w:val="008E1D6A"/>
    <w:rsid w:val="008F2C5C"/>
    <w:rsid w:val="00905658"/>
    <w:rsid w:val="00905E95"/>
    <w:rsid w:val="00912EE6"/>
    <w:rsid w:val="009177B8"/>
    <w:rsid w:val="00933AC0"/>
    <w:rsid w:val="0094644D"/>
    <w:rsid w:val="00946E11"/>
    <w:rsid w:val="00952A73"/>
    <w:rsid w:val="00954490"/>
    <w:rsid w:val="00954542"/>
    <w:rsid w:val="00962F1D"/>
    <w:rsid w:val="009707D6"/>
    <w:rsid w:val="00980DE3"/>
    <w:rsid w:val="00987336"/>
    <w:rsid w:val="009915CF"/>
    <w:rsid w:val="009951A1"/>
    <w:rsid w:val="0099576A"/>
    <w:rsid w:val="00997F6F"/>
    <w:rsid w:val="009A2E8A"/>
    <w:rsid w:val="009A4FDB"/>
    <w:rsid w:val="009A5922"/>
    <w:rsid w:val="009B25E8"/>
    <w:rsid w:val="009C39B5"/>
    <w:rsid w:val="009E5523"/>
    <w:rsid w:val="009E6470"/>
    <w:rsid w:val="009F6B3E"/>
    <w:rsid w:val="009F77BC"/>
    <w:rsid w:val="00A002C7"/>
    <w:rsid w:val="00A009B9"/>
    <w:rsid w:val="00A11B58"/>
    <w:rsid w:val="00A1382A"/>
    <w:rsid w:val="00A1505C"/>
    <w:rsid w:val="00A17CED"/>
    <w:rsid w:val="00A2001B"/>
    <w:rsid w:val="00A20D15"/>
    <w:rsid w:val="00A21585"/>
    <w:rsid w:val="00A224CD"/>
    <w:rsid w:val="00A23112"/>
    <w:rsid w:val="00A25984"/>
    <w:rsid w:val="00A3109F"/>
    <w:rsid w:val="00A3143A"/>
    <w:rsid w:val="00A3164E"/>
    <w:rsid w:val="00A32D9E"/>
    <w:rsid w:val="00A3396F"/>
    <w:rsid w:val="00A343ED"/>
    <w:rsid w:val="00A4154C"/>
    <w:rsid w:val="00A508A9"/>
    <w:rsid w:val="00A5506A"/>
    <w:rsid w:val="00A552F0"/>
    <w:rsid w:val="00A55FB3"/>
    <w:rsid w:val="00A57ED4"/>
    <w:rsid w:val="00A63230"/>
    <w:rsid w:val="00A67D60"/>
    <w:rsid w:val="00A7126D"/>
    <w:rsid w:val="00A72C38"/>
    <w:rsid w:val="00A7585D"/>
    <w:rsid w:val="00A76379"/>
    <w:rsid w:val="00A84EFE"/>
    <w:rsid w:val="00A8733F"/>
    <w:rsid w:val="00A9101E"/>
    <w:rsid w:val="00A93A2E"/>
    <w:rsid w:val="00AA25C1"/>
    <w:rsid w:val="00AB7E76"/>
    <w:rsid w:val="00AD28B5"/>
    <w:rsid w:val="00AE1B63"/>
    <w:rsid w:val="00AE5AD1"/>
    <w:rsid w:val="00AE7F34"/>
    <w:rsid w:val="00AF5074"/>
    <w:rsid w:val="00AF543B"/>
    <w:rsid w:val="00B02A7A"/>
    <w:rsid w:val="00B04CEE"/>
    <w:rsid w:val="00B05173"/>
    <w:rsid w:val="00B101E4"/>
    <w:rsid w:val="00B13144"/>
    <w:rsid w:val="00B34144"/>
    <w:rsid w:val="00B4591B"/>
    <w:rsid w:val="00B57D25"/>
    <w:rsid w:val="00B622C7"/>
    <w:rsid w:val="00B62E37"/>
    <w:rsid w:val="00B84A97"/>
    <w:rsid w:val="00B94A92"/>
    <w:rsid w:val="00B96411"/>
    <w:rsid w:val="00BA5999"/>
    <w:rsid w:val="00BA5AF0"/>
    <w:rsid w:val="00BB200B"/>
    <w:rsid w:val="00BB3EE6"/>
    <w:rsid w:val="00BC3210"/>
    <w:rsid w:val="00BC5F38"/>
    <w:rsid w:val="00BC6005"/>
    <w:rsid w:val="00BC7A1D"/>
    <w:rsid w:val="00C032ED"/>
    <w:rsid w:val="00C0652E"/>
    <w:rsid w:val="00C06B50"/>
    <w:rsid w:val="00C070E3"/>
    <w:rsid w:val="00C17C5D"/>
    <w:rsid w:val="00C313F2"/>
    <w:rsid w:val="00C32150"/>
    <w:rsid w:val="00C4086D"/>
    <w:rsid w:val="00C42C8E"/>
    <w:rsid w:val="00C44783"/>
    <w:rsid w:val="00C45ABF"/>
    <w:rsid w:val="00C466B4"/>
    <w:rsid w:val="00C518D4"/>
    <w:rsid w:val="00C52CEF"/>
    <w:rsid w:val="00C61DBF"/>
    <w:rsid w:val="00C66DDE"/>
    <w:rsid w:val="00C80AA2"/>
    <w:rsid w:val="00C832FB"/>
    <w:rsid w:val="00C8500A"/>
    <w:rsid w:val="00C8736D"/>
    <w:rsid w:val="00C90DCF"/>
    <w:rsid w:val="00CA11A8"/>
    <w:rsid w:val="00CC1119"/>
    <w:rsid w:val="00CC1967"/>
    <w:rsid w:val="00CC1BEC"/>
    <w:rsid w:val="00CC3D59"/>
    <w:rsid w:val="00CC6607"/>
    <w:rsid w:val="00CC76F5"/>
    <w:rsid w:val="00CD553C"/>
    <w:rsid w:val="00CD7584"/>
    <w:rsid w:val="00CE1AC5"/>
    <w:rsid w:val="00CE5415"/>
    <w:rsid w:val="00CF0F03"/>
    <w:rsid w:val="00CF1348"/>
    <w:rsid w:val="00CF3501"/>
    <w:rsid w:val="00CF3FE3"/>
    <w:rsid w:val="00CF525B"/>
    <w:rsid w:val="00D02E2F"/>
    <w:rsid w:val="00D03978"/>
    <w:rsid w:val="00D1265B"/>
    <w:rsid w:val="00D14778"/>
    <w:rsid w:val="00D14D37"/>
    <w:rsid w:val="00D15107"/>
    <w:rsid w:val="00D1758B"/>
    <w:rsid w:val="00D22FF0"/>
    <w:rsid w:val="00D256AF"/>
    <w:rsid w:val="00D31800"/>
    <w:rsid w:val="00D32FF2"/>
    <w:rsid w:val="00D3575B"/>
    <w:rsid w:val="00D368B1"/>
    <w:rsid w:val="00D41384"/>
    <w:rsid w:val="00D41726"/>
    <w:rsid w:val="00D43C31"/>
    <w:rsid w:val="00D455C3"/>
    <w:rsid w:val="00D6503F"/>
    <w:rsid w:val="00D71B49"/>
    <w:rsid w:val="00D75580"/>
    <w:rsid w:val="00D86FF7"/>
    <w:rsid w:val="00D8768B"/>
    <w:rsid w:val="00D87F03"/>
    <w:rsid w:val="00D90209"/>
    <w:rsid w:val="00DA23E4"/>
    <w:rsid w:val="00DA2605"/>
    <w:rsid w:val="00DA3670"/>
    <w:rsid w:val="00DA3A7B"/>
    <w:rsid w:val="00DA3EA8"/>
    <w:rsid w:val="00DA3F5B"/>
    <w:rsid w:val="00DA4B94"/>
    <w:rsid w:val="00DB0685"/>
    <w:rsid w:val="00DB5734"/>
    <w:rsid w:val="00DC2DC8"/>
    <w:rsid w:val="00DC4258"/>
    <w:rsid w:val="00DD721B"/>
    <w:rsid w:val="00DD75F1"/>
    <w:rsid w:val="00DD7720"/>
    <w:rsid w:val="00DE2DC2"/>
    <w:rsid w:val="00DE3E6E"/>
    <w:rsid w:val="00DE4B3F"/>
    <w:rsid w:val="00DE5D56"/>
    <w:rsid w:val="00DE7B47"/>
    <w:rsid w:val="00DF08A9"/>
    <w:rsid w:val="00DF7381"/>
    <w:rsid w:val="00E2355E"/>
    <w:rsid w:val="00E24044"/>
    <w:rsid w:val="00E37EC9"/>
    <w:rsid w:val="00E411C4"/>
    <w:rsid w:val="00E4148E"/>
    <w:rsid w:val="00E450BE"/>
    <w:rsid w:val="00E45D49"/>
    <w:rsid w:val="00E515B0"/>
    <w:rsid w:val="00E5498B"/>
    <w:rsid w:val="00E70925"/>
    <w:rsid w:val="00E71123"/>
    <w:rsid w:val="00E80F35"/>
    <w:rsid w:val="00E83BAD"/>
    <w:rsid w:val="00E925E1"/>
    <w:rsid w:val="00E965F1"/>
    <w:rsid w:val="00EB0690"/>
    <w:rsid w:val="00EB4E34"/>
    <w:rsid w:val="00EC2B44"/>
    <w:rsid w:val="00EC46AF"/>
    <w:rsid w:val="00EC7E25"/>
    <w:rsid w:val="00ED6C05"/>
    <w:rsid w:val="00EE0AFE"/>
    <w:rsid w:val="00EE2DC7"/>
    <w:rsid w:val="00EF12C0"/>
    <w:rsid w:val="00EF6A81"/>
    <w:rsid w:val="00F04407"/>
    <w:rsid w:val="00F07007"/>
    <w:rsid w:val="00F11918"/>
    <w:rsid w:val="00F142C3"/>
    <w:rsid w:val="00F24A94"/>
    <w:rsid w:val="00F30500"/>
    <w:rsid w:val="00F3327C"/>
    <w:rsid w:val="00F34FB1"/>
    <w:rsid w:val="00F4206B"/>
    <w:rsid w:val="00F43651"/>
    <w:rsid w:val="00F502AA"/>
    <w:rsid w:val="00F551FC"/>
    <w:rsid w:val="00F561C0"/>
    <w:rsid w:val="00F662FF"/>
    <w:rsid w:val="00F7113A"/>
    <w:rsid w:val="00F71A88"/>
    <w:rsid w:val="00F7378C"/>
    <w:rsid w:val="00F744DD"/>
    <w:rsid w:val="00F8272A"/>
    <w:rsid w:val="00F96E23"/>
    <w:rsid w:val="00F97316"/>
    <w:rsid w:val="00FA0595"/>
    <w:rsid w:val="00FA449E"/>
    <w:rsid w:val="00FA4C69"/>
    <w:rsid w:val="00FB1D8F"/>
    <w:rsid w:val="00FB3688"/>
    <w:rsid w:val="00FC195A"/>
    <w:rsid w:val="00FC4958"/>
    <w:rsid w:val="00FD01ED"/>
    <w:rsid w:val="00FD16AA"/>
    <w:rsid w:val="00FE09CB"/>
    <w:rsid w:val="00FE3B42"/>
    <w:rsid w:val="00FE410E"/>
    <w:rsid w:val="00FE640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683DF5"/>
    <w:pPr>
      <w:numPr>
        <w:numId w:val="3"/>
      </w:numPr>
    </w:pPr>
    <w:rPr>
      <w:rFonts w:ascii="Arial" w:hAnsi="Arial"/>
      <w:sz w:val="21"/>
      <w:lang w:eastAsia="en-US"/>
    </w:rPr>
  </w:style>
  <w:style w:type="paragraph" w:customStyle="1" w:styleId="Bulletslevel2">
    <w:name w:val="Bullets level 2"/>
    <w:basedOn w:val="Bulletslevel1"/>
    <w:rsid w:val="001F2178"/>
    <w:pPr>
      <w:numPr>
        <w:numId w:val="4"/>
      </w:numPr>
      <w:tabs>
        <w:tab w:val="left" w:pos="567"/>
      </w:tabs>
    </w:pPr>
  </w:style>
  <w:style w:type="paragraph" w:customStyle="1" w:styleId="Bulletslevel3">
    <w:name w:val="Bullets level 3"/>
    <w:basedOn w:val="Normal"/>
    <w:rsid w:val="001F2178"/>
    <w:pPr>
      <w:numPr>
        <w:numId w:val="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71A88"/>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6"/>
      </w:numPr>
    </w:pPr>
  </w:style>
  <w:style w:type="paragraph" w:customStyle="1" w:styleId="Numberedbulletslevel2">
    <w:name w:val="Numbered bullets level 2"/>
    <w:basedOn w:val="Numberedbulletslevel1"/>
    <w:rsid w:val="004D19DD"/>
    <w:pPr>
      <w:numPr>
        <w:ilvl w:val="1"/>
        <w:numId w:val="1"/>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6"/>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7"/>
      </w:numPr>
    </w:pPr>
  </w:style>
  <w:style w:type="character" w:customStyle="1" w:styleId="TablebulletsCharChar">
    <w:name w:val="Table bullets Char Char"/>
    <w:basedOn w:val="TabletextChar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8"/>
      </w:numPr>
      <w:tabs>
        <w:tab w:val="left" w:pos="567"/>
      </w:tabs>
      <w:ind w:left="568" w:hanging="284"/>
    </w:pPr>
  </w:style>
  <w:style w:type="paragraph" w:customStyle="1" w:styleId="Tablebullets3">
    <w:name w:val="Table bullets 3"/>
    <w:basedOn w:val="Tablebullets2"/>
    <w:next w:val="Tabletext"/>
    <w:rsid w:val="00954542"/>
    <w:pPr>
      <w:numPr>
        <w:numId w:val="9"/>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basedOn w:val="TabletextChar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F71A88"/>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597E6A"/>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683DF5"/>
    <w:pPr>
      <w:numPr>
        <w:numId w:val="3"/>
      </w:numPr>
    </w:pPr>
    <w:rPr>
      <w:rFonts w:ascii="Arial" w:hAnsi="Arial"/>
      <w:sz w:val="21"/>
      <w:lang w:eastAsia="en-US"/>
    </w:rPr>
  </w:style>
  <w:style w:type="paragraph" w:customStyle="1" w:styleId="Bulletslevel2">
    <w:name w:val="Bullets level 2"/>
    <w:basedOn w:val="Bulletslevel1"/>
    <w:rsid w:val="001F2178"/>
    <w:pPr>
      <w:numPr>
        <w:numId w:val="4"/>
      </w:numPr>
      <w:tabs>
        <w:tab w:val="left" w:pos="567"/>
      </w:tabs>
    </w:pPr>
  </w:style>
  <w:style w:type="paragraph" w:customStyle="1" w:styleId="Bulletslevel3">
    <w:name w:val="Bullets level 3"/>
    <w:basedOn w:val="Normal"/>
    <w:rsid w:val="001F2178"/>
    <w:pPr>
      <w:numPr>
        <w:numId w:val="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71A88"/>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6"/>
      </w:numPr>
    </w:pPr>
  </w:style>
  <w:style w:type="paragraph" w:customStyle="1" w:styleId="Numberedbulletslevel2">
    <w:name w:val="Numbered bullets level 2"/>
    <w:basedOn w:val="Numberedbulletslevel1"/>
    <w:rsid w:val="004D19DD"/>
    <w:pPr>
      <w:numPr>
        <w:ilvl w:val="1"/>
        <w:numId w:val="1"/>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6"/>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7"/>
      </w:numPr>
    </w:pPr>
  </w:style>
  <w:style w:type="character" w:customStyle="1" w:styleId="TablebulletsCharChar">
    <w:name w:val="Table bullets Char Char"/>
    <w:basedOn w:val="TabletextChar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8"/>
      </w:numPr>
      <w:tabs>
        <w:tab w:val="left" w:pos="567"/>
      </w:tabs>
      <w:ind w:left="568" w:hanging="284"/>
    </w:pPr>
  </w:style>
  <w:style w:type="paragraph" w:customStyle="1" w:styleId="Tablebullets3">
    <w:name w:val="Table bullets 3"/>
    <w:basedOn w:val="Tablebullets2"/>
    <w:next w:val="Tabletext"/>
    <w:rsid w:val="00954542"/>
    <w:pPr>
      <w:numPr>
        <w:numId w:val="9"/>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basedOn w:val="TabletextChar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F71A88"/>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597E6A"/>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traliancurriculum.edu.au/Curriculum/ContentDescription/ACMMG245" TargetMode="External"/><Relationship Id="rId18" Type="http://schemas.openxmlformats.org/officeDocument/2006/relationships/hyperlink" Target="http://www.australiancurriculum.edu.au/Curriculum/ContentDescription/ACMSP246"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australiancurriculum.edu.au/Curriculum/ContentDescription/ACMSP252"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australiancurriculum.edu.au/Curriculum/ContentDescription/ACMMG244" TargetMode="External"/><Relationship Id="rId17" Type="http://schemas.openxmlformats.org/officeDocument/2006/relationships/hyperlink" Target="http://www.australiancurriculum.edu.au/Curriculum/ContentDescription/ACMMG276" TargetMode="External"/><Relationship Id="rId25" Type="http://schemas.openxmlformats.org/officeDocument/2006/relationships/image" Target="media/image1.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ustraliancurriculum.edu.au/Curriculum/ContentDescription/ACMMG275" TargetMode="External"/><Relationship Id="rId20" Type="http://schemas.openxmlformats.org/officeDocument/2006/relationships/hyperlink" Target="http://www.australiancurriculum.edu.au/Curriculum/ContentDescription/ACMSP251"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Curriculum/ContentDescription/ACMNA264" TargetMode="External"/><Relationship Id="rId24" Type="http://schemas.openxmlformats.org/officeDocument/2006/relationships/hyperlink" Target="http://www.australiancurriculum.edu.au/Curriculum/ContentDescription/ACMSP279"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australiancurriculum.edu.au/Curriculum/ContentDescription/ACMMG274" TargetMode="External"/><Relationship Id="rId23" Type="http://schemas.openxmlformats.org/officeDocument/2006/relationships/hyperlink" Target="http://www.australiancurriculum.edu.au/Curriculum/ContentDescription/ACMSP277"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hyperlink" Target="http://www.australiancurriculum.edu.au/Curriculum/ContentDescription/ACMNA235" TargetMode="External"/><Relationship Id="rId19" Type="http://schemas.openxmlformats.org/officeDocument/2006/relationships/hyperlink" Target="http://www.australiancurriculum.edu.au/Curriculum/ContentDescription/ACMSP247"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ustraliancurriculum.edu.au/Curriculum/ContentDescription/ACMNA234" TargetMode="External"/><Relationship Id="rId14" Type="http://schemas.openxmlformats.org/officeDocument/2006/relationships/hyperlink" Target="http://www.australiancurriculum.edu.au/Curriculum/ContentDescription/ACMMG273" TargetMode="External"/><Relationship Id="rId22" Type="http://schemas.openxmlformats.org/officeDocument/2006/relationships/hyperlink" Target="http://www.australiancurriculum.edu.au/Curriculum/ContentDescription/ACMSP253" TargetMode="External"/><Relationship Id="rId27" Type="http://schemas.openxmlformats.org/officeDocument/2006/relationships/image" Target="media/image3.png"/><Relationship Id="rId30" Type="http://schemas.openxmlformats.org/officeDocument/2006/relationships/hyperlink" Target="http://www.qsa.qld.edu.au" TargetMode="Externa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X:\D_Curriculum_Services\B_Australian_Curriculum\K(P)-10\PROJECTS\Exemplar\REVISION%202011\Maths%20revisions%20Nov%202011\113910_act_maths_unit_overview_v5_t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E44EC-82EE-4AA4-8015-5F0CA19F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113910_act_maths_unit_overview_v5_tp.dot</Template>
  <TotalTime>0</TotalTime>
  <Pages>2</Pages>
  <Words>2855</Words>
  <Characters>16279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Year 10/10a unit overview — Australian Curriculum: Mathematics</vt:lpstr>
    </vt:vector>
  </TitlesOfParts>
  <Company>Queensland Studies Authority</Company>
  <LinksUpToDate>false</LinksUpToDate>
  <CharactersWithSpaces>19096</CharactersWithSpaces>
  <SharedDoc>false</SharedDoc>
  <HLinks>
    <vt:vector size="102" baseType="variant">
      <vt:variant>
        <vt:i4>7340144</vt:i4>
      </vt:variant>
      <vt:variant>
        <vt:i4>48</vt:i4>
      </vt:variant>
      <vt:variant>
        <vt:i4>0</vt:i4>
      </vt:variant>
      <vt:variant>
        <vt:i4>5</vt:i4>
      </vt:variant>
      <vt:variant>
        <vt:lpwstr>http://www.qsa.qld.edu.au/</vt:lpwstr>
      </vt:variant>
      <vt:variant>
        <vt:lpwstr/>
      </vt:variant>
      <vt:variant>
        <vt:i4>5505036</vt:i4>
      </vt:variant>
      <vt:variant>
        <vt:i4>45</vt:i4>
      </vt:variant>
      <vt:variant>
        <vt:i4>0</vt:i4>
      </vt:variant>
      <vt:variant>
        <vt:i4>5</vt:i4>
      </vt:variant>
      <vt:variant>
        <vt:lpwstr>http://www.australiancurriculum.edu.au/Curriculum/ContentDescription/ACMSP279</vt:lpwstr>
      </vt:variant>
      <vt:variant>
        <vt:lpwstr/>
      </vt:variant>
      <vt:variant>
        <vt:i4>5505036</vt:i4>
      </vt:variant>
      <vt:variant>
        <vt:i4>42</vt:i4>
      </vt:variant>
      <vt:variant>
        <vt:i4>0</vt:i4>
      </vt:variant>
      <vt:variant>
        <vt:i4>5</vt:i4>
      </vt:variant>
      <vt:variant>
        <vt:lpwstr>http://www.australiancurriculum.edu.au/Curriculum/ContentDescription/ACMSP277</vt:lpwstr>
      </vt:variant>
      <vt:variant>
        <vt:lpwstr/>
      </vt:variant>
      <vt:variant>
        <vt:i4>5636108</vt:i4>
      </vt:variant>
      <vt:variant>
        <vt:i4>39</vt:i4>
      </vt:variant>
      <vt:variant>
        <vt:i4>0</vt:i4>
      </vt:variant>
      <vt:variant>
        <vt:i4>5</vt:i4>
      </vt:variant>
      <vt:variant>
        <vt:lpwstr>http://www.australiancurriculum.edu.au/Curriculum/ContentDescription/ACMSP253</vt:lpwstr>
      </vt:variant>
      <vt:variant>
        <vt:lpwstr/>
      </vt:variant>
      <vt:variant>
        <vt:i4>5636108</vt:i4>
      </vt:variant>
      <vt:variant>
        <vt:i4>36</vt:i4>
      </vt:variant>
      <vt:variant>
        <vt:i4>0</vt:i4>
      </vt:variant>
      <vt:variant>
        <vt:i4>5</vt:i4>
      </vt:variant>
      <vt:variant>
        <vt:lpwstr>http://www.australiancurriculum.edu.au/Curriculum/ContentDescription/ACMSP252</vt:lpwstr>
      </vt:variant>
      <vt:variant>
        <vt:lpwstr/>
      </vt:variant>
      <vt:variant>
        <vt:i4>5636108</vt:i4>
      </vt:variant>
      <vt:variant>
        <vt:i4>33</vt:i4>
      </vt:variant>
      <vt:variant>
        <vt:i4>0</vt:i4>
      </vt:variant>
      <vt:variant>
        <vt:i4>5</vt:i4>
      </vt:variant>
      <vt:variant>
        <vt:lpwstr>http://www.australiancurriculum.edu.au/Curriculum/ContentDescription/ACMSP251</vt:lpwstr>
      </vt:variant>
      <vt:variant>
        <vt:lpwstr/>
      </vt:variant>
      <vt:variant>
        <vt:i4>5701644</vt:i4>
      </vt:variant>
      <vt:variant>
        <vt:i4>30</vt:i4>
      </vt:variant>
      <vt:variant>
        <vt:i4>0</vt:i4>
      </vt:variant>
      <vt:variant>
        <vt:i4>5</vt:i4>
      </vt:variant>
      <vt:variant>
        <vt:lpwstr>http://www.australiancurriculum.edu.au/Curriculum/ContentDescription/ACMSP247</vt:lpwstr>
      </vt:variant>
      <vt:variant>
        <vt:lpwstr/>
      </vt:variant>
      <vt:variant>
        <vt:i4>5701644</vt:i4>
      </vt:variant>
      <vt:variant>
        <vt:i4>27</vt:i4>
      </vt:variant>
      <vt:variant>
        <vt:i4>0</vt:i4>
      </vt:variant>
      <vt:variant>
        <vt:i4>5</vt:i4>
      </vt:variant>
      <vt:variant>
        <vt:lpwstr>http://www.australiancurriculum.edu.au/Curriculum/ContentDescription/ACMSP246</vt:lpwstr>
      </vt:variant>
      <vt:variant>
        <vt:lpwstr/>
      </vt:variant>
      <vt:variant>
        <vt:i4>4390930</vt:i4>
      </vt:variant>
      <vt:variant>
        <vt:i4>24</vt:i4>
      </vt:variant>
      <vt:variant>
        <vt:i4>0</vt:i4>
      </vt:variant>
      <vt:variant>
        <vt:i4>5</vt:i4>
      </vt:variant>
      <vt:variant>
        <vt:lpwstr>http://www.australiancurriculum.edu.au/Curriculum/ContentDescription/ACMMG276</vt:lpwstr>
      </vt:variant>
      <vt:variant>
        <vt:lpwstr/>
      </vt:variant>
      <vt:variant>
        <vt:i4>4390930</vt:i4>
      </vt:variant>
      <vt:variant>
        <vt:i4>21</vt:i4>
      </vt:variant>
      <vt:variant>
        <vt:i4>0</vt:i4>
      </vt:variant>
      <vt:variant>
        <vt:i4>5</vt:i4>
      </vt:variant>
      <vt:variant>
        <vt:lpwstr>http://www.australiancurriculum.edu.au/Curriculum/ContentDescription/ACMMG275</vt:lpwstr>
      </vt:variant>
      <vt:variant>
        <vt:lpwstr/>
      </vt:variant>
      <vt:variant>
        <vt:i4>4390930</vt:i4>
      </vt:variant>
      <vt:variant>
        <vt:i4>18</vt:i4>
      </vt:variant>
      <vt:variant>
        <vt:i4>0</vt:i4>
      </vt:variant>
      <vt:variant>
        <vt:i4>5</vt:i4>
      </vt:variant>
      <vt:variant>
        <vt:lpwstr>http://www.australiancurriculum.edu.au/Curriculum/ContentDescription/ACMMG274</vt:lpwstr>
      </vt:variant>
      <vt:variant>
        <vt:lpwstr/>
      </vt:variant>
      <vt:variant>
        <vt:i4>4390930</vt:i4>
      </vt:variant>
      <vt:variant>
        <vt:i4>15</vt:i4>
      </vt:variant>
      <vt:variant>
        <vt:i4>0</vt:i4>
      </vt:variant>
      <vt:variant>
        <vt:i4>5</vt:i4>
      </vt:variant>
      <vt:variant>
        <vt:lpwstr>http://www.australiancurriculum.edu.au/Curriculum/ContentDescription/ACMMG273</vt:lpwstr>
      </vt:variant>
      <vt:variant>
        <vt:lpwstr/>
      </vt:variant>
      <vt:variant>
        <vt:i4>4194322</vt:i4>
      </vt:variant>
      <vt:variant>
        <vt:i4>12</vt:i4>
      </vt:variant>
      <vt:variant>
        <vt:i4>0</vt:i4>
      </vt:variant>
      <vt:variant>
        <vt:i4>5</vt:i4>
      </vt:variant>
      <vt:variant>
        <vt:lpwstr>http://www.australiancurriculum.edu.au/Curriculum/ContentDescription/ACMMG245</vt:lpwstr>
      </vt:variant>
      <vt:variant>
        <vt:lpwstr/>
      </vt:variant>
      <vt:variant>
        <vt:i4>4194322</vt:i4>
      </vt:variant>
      <vt:variant>
        <vt:i4>9</vt:i4>
      </vt:variant>
      <vt:variant>
        <vt:i4>0</vt:i4>
      </vt:variant>
      <vt:variant>
        <vt:i4>5</vt:i4>
      </vt:variant>
      <vt:variant>
        <vt:lpwstr>http://www.australiancurriculum.edu.au/Curriculum/ContentDescription/ACMMG244</vt:lpwstr>
      </vt:variant>
      <vt:variant>
        <vt:lpwstr/>
      </vt:variant>
      <vt:variant>
        <vt:i4>4456465</vt:i4>
      </vt:variant>
      <vt:variant>
        <vt:i4>6</vt:i4>
      </vt:variant>
      <vt:variant>
        <vt:i4>0</vt:i4>
      </vt:variant>
      <vt:variant>
        <vt:i4>5</vt:i4>
      </vt:variant>
      <vt:variant>
        <vt:lpwstr>http://www.australiancurriculum.edu.au/Curriculum/ContentDescription/ACMNA264</vt:lpwstr>
      </vt:variant>
      <vt:variant>
        <vt:lpwstr/>
      </vt:variant>
      <vt:variant>
        <vt:i4>4259857</vt:i4>
      </vt:variant>
      <vt:variant>
        <vt:i4>3</vt:i4>
      </vt:variant>
      <vt:variant>
        <vt:i4>0</vt:i4>
      </vt:variant>
      <vt:variant>
        <vt:i4>5</vt:i4>
      </vt:variant>
      <vt:variant>
        <vt:lpwstr>http://www.australiancurriculum.edu.au/Curriculum/ContentDescription/ACMNA235</vt:lpwstr>
      </vt:variant>
      <vt:variant>
        <vt:lpwstr/>
      </vt:variant>
      <vt:variant>
        <vt:i4>4259857</vt:i4>
      </vt:variant>
      <vt:variant>
        <vt:i4>0</vt:i4>
      </vt:variant>
      <vt:variant>
        <vt:i4>0</vt:i4>
      </vt:variant>
      <vt:variant>
        <vt:i4>5</vt:i4>
      </vt:variant>
      <vt:variant>
        <vt:lpwstr>http://www.australiancurriculum.edu.au/Curriculum/ContentDescription/ACMNA234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10/10a unit overview — Australian Curriculum: Mathematics</dc:title>
  <dc:subject>Australian Curriculum</dc:subject>
  <dc:creator>Queensland Studies Authority</dc:creator>
  <cp:keywords/>
  <cp:lastModifiedBy>QSA</cp:lastModifiedBy>
  <cp:revision>2</cp:revision>
  <cp:lastPrinted>2011-12-04T23:46:00Z</cp:lastPrinted>
  <dcterms:created xsi:type="dcterms:W3CDTF">2014-06-18T06:05:00Z</dcterms:created>
  <dcterms:modified xsi:type="dcterms:W3CDTF">2014-06-18T06:05:00Z</dcterms:modified>
</cp:coreProperties>
</file>