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DE3527" w:rsidP="005213F2">
      <w:pPr>
        <w:pStyle w:val="Heading1TOP"/>
        <w:tabs>
          <w:tab w:val="right" w:pos="14520"/>
        </w:tabs>
      </w:pPr>
      <w:bookmarkStart w:id="0" w:name="_GoBack"/>
      <w:bookmarkEnd w:id="0"/>
      <w:r>
        <w:t>Prep</w:t>
      </w:r>
      <w:r w:rsidR="00CF0F03">
        <w:t xml:space="preserve"> </w:t>
      </w:r>
      <w:r w:rsidR="00F502AA">
        <w:t>u</w:t>
      </w:r>
      <w:r w:rsidR="008300AE">
        <w:t>nit overview</w:t>
      </w:r>
      <w:r w:rsidR="00CF0F03">
        <w:t xml:space="preserve"> — Australian Curriculum</w:t>
      </w:r>
      <w:r w:rsidR="00CF0F03"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976529">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DE3527" w:rsidRPr="00BC1996" w:rsidTr="005213F2">
        <w:trPr>
          <w:jc w:val="center"/>
        </w:trPr>
        <w:tc>
          <w:tcPr>
            <w:tcW w:w="1208" w:type="pct"/>
            <w:shd w:val="clear" w:color="auto" w:fill="auto"/>
          </w:tcPr>
          <w:p w:rsidR="00DE3527" w:rsidRPr="00B549BE" w:rsidRDefault="00A074F3" w:rsidP="008300AE">
            <w:pPr>
              <w:pStyle w:val="Tabletext"/>
            </w:pPr>
            <w:r>
              <w:t>Our School</w:t>
            </w:r>
          </w:p>
        </w:tc>
        <w:tc>
          <w:tcPr>
            <w:tcW w:w="2572" w:type="pct"/>
            <w:shd w:val="clear" w:color="auto" w:fill="auto"/>
          </w:tcPr>
          <w:p w:rsidR="00DE3527" w:rsidRPr="00B549BE" w:rsidRDefault="00DE3527" w:rsidP="00287F00">
            <w:pPr>
              <w:pStyle w:val="Tabletext"/>
            </w:pPr>
            <w:r>
              <w:t>Comparisons challenges</w:t>
            </w:r>
          </w:p>
        </w:tc>
        <w:tc>
          <w:tcPr>
            <w:tcW w:w="1220" w:type="pct"/>
            <w:shd w:val="clear" w:color="auto" w:fill="auto"/>
          </w:tcPr>
          <w:p w:rsidR="00DE3527" w:rsidRPr="00B549BE" w:rsidRDefault="00DE3527" w:rsidP="00287F00">
            <w:pPr>
              <w:pStyle w:val="Tabletext"/>
            </w:pPr>
            <w:r>
              <w:t>Term 3</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DE3527" w:rsidRPr="00BC1996" w:rsidTr="005213F2">
        <w:trPr>
          <w:jc w:val="center"/>
        </w:trPr>
        <w:tc>
          <w:tcPr>
            <w:tcW w:w="5000" w:type="pct"/>
            <w:shd w:val="clear" w:color="auto" w:fill="auto"/>
          </w:tcPr>
          <w:p w:rsidR="00DE3527" w:rsidRDefault="00DE3527" w:rsidP="00287F00">
            <w:pPr>
              <w:pStyle w:val="Tabletext"/>
            </w:pPr>
            <w:r w:rsidRPr="00254108">
              <w:t>Children explore and develop knowledge skills and understanding about mathematics through the five main contexts for learning and development.</w:t>
            </w:r>
          </w:p>
          <w:p w:rsidR="00DE3527" w:rsidRPr="00254108" w:rsidRDefault="00DE3527" w:rsidP="00287F00">
            <w:pPr>
              <w:pStyle w:val="Tabletext"/>
            </w:pPr>
            <w:r>
              <w:t xml:space="preserve">Children are provided with a series of challenges relating to comparison of different measurements. </w:t>
            </w:r>
            <w:r w:rsidRPr="00254108">
              <w:t>Learning opportunities in this unit will be collaboratively developed between children and adults. Learning will value and develop the wide range of early experiences with mathematics from their home and community lives. Learning will be embedded within each learning context</w:t>
            </w:r>
            <w:r>
              <w:t xml:space="preserve">, using </w:t>
            </w:r>
            <w:r w:rsidRPr="00254108">
              <w:t>intentional teaching to make learning explicit, challenge children to consider new ideas, test current thinking and develop deeper understandings.</w:t>
            </w:r>
          </w:p>
          <w:p w:rsidR="00DE3527" w:rsidRPr="00254108" w:rsidRDefault="00DE3527" w:rsidP="00287F00">
            <w:pPr>
              <w:pStyle w:val="Tabletext"/>
            </w:pPr>
            <w:r w:rsidRPr="00254108">
              <w:t>Children begin to demonstrate their emergent knowledge, understanding and skills within Number and Algebra</w:t>
            </w:r>
            <w:r>
              <w:t>,</w:t>
            </w:r>
            <w:r w:rsidRPr="00254108">
              <w:t xml:space="preserve"> and Measurement and Geometry</w:t>
            </w:r>
            <w:r>
              <w:t>, by</w:t>
            </w:r>
            <w:r w:rsidRPr="00254108">
              <w:t xml:space="preserve"> investigating and communicating </w:t>
            </w:r>
            <w:r>
              <w:t xml:space="preserve">the “big </w:t>
            </w:r>
            <w:r w:rsidRPr="00254108">
              <w:t>ideas</w:t>
            </w:r>
            <w:r>
              <w:t>”</w:t>
            </w:r>
            <w:r w:rsidRPr="00254108">
              <w:t xml:space="preserve"> about:</w:t>
            </w:r>
          </w:p>
          <w:p w:rsidR="00DE3527" w:rsidRPr="00EA1051" w:rsidRDefault="00DE3527" w:rsidP="00512C81">
            <w:pPr>
              <w:pStyle w:val="Tablebullets"/>
              <w:ind w:left="283" w:hanging="283"/>
            </w:pPr>
            <w:r w:rsidRPr="00EA1051">
              <w:t>comparing measurements, including capacity, length and mass</w:t>
            </w:r>
          </w:p>
          <w:p w:rsidR="00DE3527" w:rsidRPr="00EA1051" w:rsidRDefault="00DE3527" w:rsidP="00512C81">
            <w:pPr>
              <w:pStyle w:val="Tablebullets"/>
              <w:ind w:left="283" w:hanging="283"/>
            </w:pPr>
            <w:r w:rsidRPr="00EA1051">
              <w:t>using the language of comparison and measurement</w:t>
            </w:r>
          </w:p>
          <w:p w:rsidR="00DE3527" w:rsidRPr="00EA1051" w:rsidRDefault="00DE3527" w:rsidP="00512C81">
            <w:pPr>
              <w:pStyle w:val="Tablebullets"/>
              <w:ind w:left="283" w:hanging="283"/>
            </w:pPr>
            <w:r w:rsidRPr="00EA1051">
              <w:t>quantities and their representations</w:t>
            </w:r>
          </w:p>
          <w:p w:rsidR="00DE3527" w:rsidRPr="00EA1051" w:rsidRDefault="00DE3527" w:rsidP="00512C81">
            <w:pPr>
              <w:pStyle w:val="Tablebullets"/>
              <w:ind w:left="283" w:hanging="283"/>
            </w:pPr>
            <w:r w:rsidRPr="00EA1051">
              <w:t>attributes of objects and collections</w:t>
            </w:r>
          </w:p>
          <w:p w:rsidR="00DE3527" w:rsidRPr="00EA1051" w:rsidRDefault="00DE3527" w:rsidP="00512C81">
            <w:pPr>
              <w:pStyle w:val="Tablebullets"/>
              <w:ind w:left="283" w:hanging="283"/>
            </w:pPr>
            <w:r w:rsidRPr="00EA1051">
              <w:t>ideas around order, sequence and pattern.</w:t>
            </w:r>
          </w:p>
          <w:p w:rsidR="00DE3527" w:rsidRPr="00B866A3" w:rsidRDefault="00DE3527" w:rsidP="00287F00">
            <w:pPr>
              <w:pStyle w:val="Tabletext"/>
            </w:pPr>
            <w:r>
              <w:t>Inquiry questions for the unit:</w:t>
            </w:r>
          </w:p>
          <w:p w:rsidR="00DE3527" w:rsidRDefault="00DE3527" w:rsidP="00CC3C1B">
            <w:pPr>
              <w:pStyle w:val="Tablebullets"/>
              <w:ind w:left="283" w:hanging="283"/>
            </w:pPr>
            <w:r>
              <w:t>How can I order the length of our feet?</w:t>
            </w:r>
          </w:p>
          <w:p w:rsidR="00DE3527" w:rsidRDefault="00DE3527" w:rsidP="00DE3527">
            <w:pPr>
              <w:pStyle w:val="Tablebullets"/>
              <w:ind w:left="283" w:hanging="283"/>
            </w:pPr>
            <w:r>
              <w:t>How do I compare two objects?</w:t>
            </w:r>
          </w:p>
          <w:p w:rsidR="00DE3527" w:rsidRDefault="00DE3527" w:rsidP="00DE3527">
            <w:pPr>
              <w:pStyle w:val="Tablebullets"/>
              <w:ind w:left="283" w:hanging="283"/>
            </w:pPr>
            <w:r>
              <w:t>What is the language of comparison?</w:t>
            </w:r>
          </w:p>
          <w:p w:rsidR="00DE3527" w:rsidRDefault="00DE3527" w:rsidP="00DE3527">
            <w:pPr>
              <w:pStyle w:val="Tablebullets"/>
              <w:ind w:left="283" w:hanging="283"/>
            </w:pPr>
            <w:r>
              <w:t>What makes a good way of measuring capacity, length or mass?</w:t>
            </w:r>
          </w:p>
          <w:p w:rsidR="00DE3527" w:rsidRDefault="00DE3527" w:rsidP="00DE3527">
            <w:pPr>
              <w:pStyle w:val="Tablebullets"/>
              <w:ind w:left="283" w:hanging="283"/>
            </w:pPr>
            <w:r>
              <w:t>Why is it important to compare?</w:t>
            </w:r>
          </w:p>
          <w:p w:rsidR="00DE3527" w:rsidRPr="00030551" w:rsidRDefault="00DE3527" w:rsidP="00DE3527">
            <w:pPr>
              <w:pStyle w:val="Tablebullets"/>
              <w:ind w:left="283" w:hanging="283"/>
            </w:pPr>
            <w:r>
              <w:t>Where do we use measurement in our world?</w:t>
            </w:r>
          </w:p>
        </w:tc>
      </w:tr>
    </w:tbl>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DE3527" w:rsidRPr="00561E58" w:rsidTr="00604E1C">
        <w:trPr>
          <w:jc w:val="center"/>
        </w:trPr>
        <w:tc>
          <w:tcPr>
            <w:tcW w:w="1246" w:type="pct"/>
            <w:shd w:val="clear" w:color="auto" w:fill="auto"/>
          </w:tcPr>
          <w:p w:rsidR="00DE3527" w:rsidRDefault="00DE3527" w:rsidP="00287F00">
            <w:pPr>
              <w:pStyle w:val="Tablesubhead"/>
            </w:pPr>
            <w:r w:rsidRPr="00CB4C06">
              <w:t>Number and place value</w:t>
            </w:r>
          </w:p>
          <w:p w:rsidR="00DE3527" w:rsidRPr="00030551" w:rsidRDefault="00DE3527" w:rsidP="002C418C">
            <w:pPr>
              <w:pStyle w:val="Tablebullets"/>
              <w:ind w:left="283" w:hanging="283"/>
            </w:pPr>
            <w:r w:rsidRPr="00BB2586">
              <w:t xml:space="preserve">Compare, order and make correspondences between collections, initially to 20, and explain reasoning </w:t>
            </w:r>
            <w:hyperlink r:id="rId9" w:tooltip="View additional details of ACMNA289" w:history="1">
              <w:r w:rsidRPr="00512C81">
                <w:rPr>
                  <w:rStyle w:val="Hyperlink"/>
                  <w:rFonts w:eastAsia="SimSun"/>
                  <w:sz w:val="20"/>
                </w:rPr>
                <w:t>(ACMNA289)</w:t>
              </w:r>
            </w:hyperlink>
          </w:p>
        </w:tc>
        <w:tc>
          <w:tcPr>
            <w:tcW w:w="1246" w:type="pct"/>
            <w:shd w:val="clear" w:color="auto" w:fill="auto"/>
          </w:tcPr>
          <w:p w:rsidR="00DE3527" w:rsidRPr="00CB4C06" w:rsidRDefault="00DE3527" w:rsidP="00287F00">
            <w:pPr>
              <w:pStyle w:val="Tablesubhead"/>
            </w:pPr>
            <w:r w:rsidRPr="00CB4C06">
              <w:t>Using units of measurement</w:t>
            </w:r>
          </w:p>
          <w:p w:rsidR="00DE3527" w:rsidRDefault="00DE3527" w:rsidP="00287F00">
            <w:pPr>
              <w:pStyle w:val="Tablebullets"/>
              <w:ind w:left="283" w:hanging="283"/>
            </w:pPr>
            <w:r w:rsidRPr="00154E94">
              <w:t>Use direct and indirect comparisons to decide which is longer, heavier or holds more, and explain reasoning in everyday language</w:t>
            </w:r>
            <w:r w:rsidRPr="002C418C">
              <w:t> </w:t>
            </w:r>
            <w:hyperlink r:id="rId10" w:tooltip="View additional details of ACMMG006" w:history="1">
              <w:r w:rsidRPr="006B4BC2">
                <w:rPr>
                  <w:rStyle w:val="Hyperlink"/>
                  <w:rFonts w:eastAsia="SimSun"/>
                  <w:sz w:val="20"/>
                </w:rPr>
                <w:t>(ACMMG006)</w:t>
              </w:r>
            </w:hyperlink>
          </w:p>
          <w:p w:rsidR="00DE3527" w:rsidRPr="00030551" w:rsidRDefault="00DE3527" w:rsidP="002C418C">
            <w:pPr>
              <w:pStyle w:val="Tablebullets"/>
              <w:ind w:left="283" w:hanging="283"/>
            </w:pPr>
            <w:r w:rsidRPr="00154E94">
              <w:t>Compare and order the duration of events using the everyday language of time</w:t>
            </w:r>
            <w:r w:rsidRPr="002C418C">
              <w:t> </w:t>
            </w:r>
            <w:hyperlink r:id="rId11" w:tooltip="View additional details of ACMMG007" w:history="1">
              <w:r w:rsidRPr="006B4BC2">
                <w:rPr>
                  <w:rStyle w:val="Hyperlink"/>
                  <w:rFonts w:eastAsia="SimSun"/>
                  <w:sz w:val="20"/>
                </w:rPr>
                <w:t>(ACMMG007)</w:t>
              </w:r>
            </w:hyperlink>
          </w:p>
        </w:tc>
        <w:tc>
          <w:tcPr>
            <w:tcW w:w="1246" w:type="pct"/>
            <w:shd w:val="clear" w:color="auto" w:fill="auto"/>
          </w:tcPr>
          <w:p w:rsidR="00DE3527" w:rsidRPr="00D07D4D" w:rsidRDefault="00DE3527" w:rsidP="00D07D4D">
            <w:pPr>
              <w:pStyle w:val="Tabletext"/>
            </w:pPr>
          </w:p>
        </w:tc>
        <w:tc>
          <w:tcPr>
            <w:tcW w:w="1262" w:type="pct"/>
            <w:shd w:val="clear" w:color="auto" w:fill="auto"/>
          </w:tcPr>
          <w:p w:rsidR="00E71825" w:rsidRDefault="00221C0F" w:rsidP="00E71825">
            <w:pPr>
              <w:pStyle w:val="Tablesubhead"/>
              <w:tabs>
                <w:tab w:val="left" w:pos="510"/>
              </w:tabs>
              <w:ind w:left="510" w:hanging="510"/>
            </w:pPr>
            <w:r>
              <w:rPr>
                <w:noProof/>
                <w:sz w:val="17"/>
                <w:szCs w:val="17"/>
                <w:lang w:eastAsia="en-AU"/>
              </w:rPr>
              <w:drawing>
                <wp:inline distT="0" distB="0" distL="0" distR="0">
                  <wp:extent cx="189865" cy="189865"/>
                  <wp:effectExtent l="0" t="0" r="635" b="635"/>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71825">
              <w:rPr>
                <w:sz w:val="17"/>
                <w:szCs w:val="17"/>
              </w:rPr>
              <w:tab/>
            </w:r>
            <w:r w:rsidR="00E71825" w:rsidRPr="00790B29">
              <w:t>Literacy</w:t>
            </w:r>
          </w:p>
          <w:p w:rsidR="00E71825" w:rsidRDefault="00E71825" w:rsidP="00E71825">
            <w:pPr>
              <w:pStyle w:val="Tablebullets"/>
              <w:ind w:left="283" w:hanging="283"/>
            </w:pPr>
            <w:r>
              <w:t>Develop language of comparison</w:t>
            </w:r>
          </w:p>
          <w:p w:rsidR="00E71825" w:rsidRDefault="00221C0F" w:rsidP="00E71825">
            <w:pPr>
              <w:pStyle w:val="Tablesubhead"/>
              <w:tabs>
                <w:tab w:val="left" w:pos="510"/>
              </w:tabs>
              <w:ind w:left="510" w:hanging="510"/>
            </w:pPr>
            <w:r>
              <w:rPr>
                <w:noProof/>
                <w:sz w:val="17"/>
                <w:szCs w:val="17"/>
                <w:lang w:eastAsia="en-AU"/>
              </w:rPr>
              <w:drawing>
                <wp:inline distT="0" distB="0" distL="0" distR="0">
                  <wp:extent cx="198120" cy="19812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71825">
              <w:rPr>
                <w:sz w:val="17"/>
                <w:szCs w:val="17"/>
              </w:rPr>
              <w:tab/>
            </w:r>
            <w:r w:rsidR="00E71825">
              <w:t>Numeracy</w:t>
            </w:r>
          </w:p>
          <w:p w:rsidR="00E71825" w:rsidRPr="00790B29" w:rsidRDefault="00E71825" w:rsidP="00E71825">
            <w:pPr>
              <w:pStyle w:val="Tablebullets"/>
              <w:ind w:left="283" w:hanging="283"/>
            </w:pPr>
            <w:r>
              <w:t>Develop estimation skill</w:t>
            </w:r>
          </w:p>
          <w:p w:rsidR="00E71825" w:rsidRPr="00790B29" w:rsidRDefault="00221C0F" w:rsidP="00E71825">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71825">
              <w:rPr>
                <w:sz w:val="17"/>
                <w:szCs w:val="17"/>
              </w:rPr>
              <w:tab/>
            </w:r>
            <w:r w:rsidR="00E71825">
              <w:rPr>
                <w:b/>
              </w:rPr>
              <w:t>ICT</w:t>
            </w:r>
            <w:r w:rsidR="00E71825" w:rsidRPr="00790B29">
              <w:rPr>
                <w:b/>
              </w:rPr>
              <w:t xml:space="preserve"> </w:t>
            </w:r>
            <w:r w:rsidR="00976529">
              <w:rPr>
                <w:b/>
              </w:rPr>
              <w:t>capability</w:t>
            </w:r>
          </w:p>
          <w:p w:rsidR="00E71825" w:rsidRPr="00F16628" w:rsidRDefault="00E71825" w:rsidP="00E71825">
            <w:pPr>
              <w:pStyle w:val="Tablebullets"/>
              <w:ind w:left="283" w:hanging="283"/>
            </w:pPr>
            <w:r>
              <w:t>Use digital technologies to create online and pictographic representations of ordering</w:t>
            </w:r>
          </w:p>
          <w:p w:rsidR="00E71825" w:rsidRPr="00790B29" w:rsidRDefault="00221C0F" w:rsidP="00E71825">
            <w:pPr>
              <w:pStyle w:val="Tablesubhead"/>
              <w:tabs>
                <w:tab w:val="left" w:pos="510"/>
              </w:tabs>
              <w:ind w:left="510" w:hanging="510"/>
            </w:pPr>
            <w:r>
              <w:rPr>
                <w:noProof/>
                <w:sz w:val="17"/>
                <w:szCs w:val="17"/>
                <w:lang w:eastAsia="en-AU"/>
              </w:rPr>
              <w:drawing>
                <wp:inline distT="0" distB="0" distL="0" distR="0">
                  <wp:extent cx="198120" cy="19812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71825">
              <w:rPr>
                <w:sz w:val="17"/>
                <w:szCs w:val="17"/>
              </w:rPr>
              <w:tab/>
            </w:r>
            <w:r w:rsidR="00E71825" w:rsidRPr="00790B29">
              <w:t>Critical and creative thinking</w:t>
            </w:r>
          </w:p>
          <w:p w:rsidR="00E71825" w:rsidRPr="00F16628" w:rsidRDefault="00E71825" w:rsidP="00E71825">
            <w:pPr>
              <w:pStyle w:val="Tablebullets"/>
              <w:ind w:left="283" w:hanging="283"/>
            </w:pPr>
            <w:r>
              <w:t>Use thinking skills to complete group activities and open-ended tasks</w:t>
            </w:r>
          </w:p>
          <w:p w:rsidR="00E71825" w:rsidRPr="00790B29" w:rsidRDefault="00221C0F" w:rsidP="00E71825">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71825">
              <w:rPr>
                <w:sz w:val="17"/>
                <w:szCs w:val="17"/>
              </w:rPr>
              <w:tab/>
            </w:r>
            <w:r w:rsidR="00E71825" w:rsidRPr="00790B29">
              <w:rPr>
                <w:b/>
              </w:rPr>
              <w:t xml:space="preserve">Personal and social </w:t>
            </w:r>
            <w:r w:rsidR="00976529">
              <w:rPr>
                <w:b/>
              </w:rPr>
              <w:t>capability</w:t>
            </w:r>
          </w:p>
          <w:p w:rsidR="00DE3527" w:rsidRPr="00030551" w:rsidRDefault="00E71825" w:rsidP="00987499">
            <w:pPr>
              <w:pStyle w:val="Tablebullets"/>
              <w:ind w:left="283" w:hanging="283"/>
            </w:pPr>
            <w:r>
              <w:t>D</w:t>
            </w:r>
            <w:r w:rsidRPr="009A0A7F">
              <w:t>evelop communication skills for conversation</w:t>
            </w:r>
            <w:r>
              <w:t xml:space="preserve"> and communication of ideas</w:t>
            </w:r>
          </w:p>
        </w:tc>
      </w:tr>
      <w:tr w:rsidR="00DE3527" w:rsidRPr="00561E58" w:rsidTr="00D07D4D">
        <w:trPr>
          <w:jc w:val="center"/>
        </w:trPr>
        <w:tc>
          <w:tcPr>
            <w:tcW w:w="5000" w:type="pct"/>
            <w:gridSpan w:val="4"/>
            <w:shd w:val="clear" w:color="auto" w:fill="CFE7E6"/>
          </w:tcPr>
          <w:p w:rsidR="00DE3527" w:rsidRPr="004E0C69" w:rsidRDefault="00DE3527" w:rsidP="006E5417">
            <w:pPr>
              <w:pStyle w:val="Tablesubhead"/>
              <w:rPr>
                <w:highlight w:val="magenta"/>
              </w:rPr>
            </w:pPr>
            <w:r>
              <w:t>A</w:t>
            </w:r>
            <w:r w:rsidRPr="004E0C69">
              <w:t>chievement standard</w:t>
            </w:r>
          </w:p>
        </w:tc>
      </w:tr>
      <w:tr w:rsidR="00E71825" w:rsidRPr="00561E58" w:rsidTr="00D07D4D">
        <w:trPr>
          <w:jc w:val="center"/>
        </w:trPr>
        <w:tc>
          <w:tcPr>
            <w:tcW w:w="5000" w:type="pct"/>
            <w:gridSpan w:val="4"/>
            <w:shd w:val="clear" w:color="auto" w:fill="auto"/>
          </w:tcPr>
          <w:p w:rsidR="00E71825" w:rsidRDefault="00E71825" w:rsidP="00287F00">
            <w:pPr>
              <w:pStyle w:val="Tabletext"/>
            </w:pPr>
            <w:r>
              <w:t>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rsidR="00E71825" w:rsidRPr="00D15658" w:rsidRDefault="00E71825" w:rsidP="00287F00">
            <w:pPr>
              <w:pStyle w:val="Tabletext"/>
            </w:pPr>
            <w:r>
              <w:t>Students count to and from 20 and order small collections. They group objects based on common characteristics and sort shapes and objects. Students answer simple questions to collect information.</w:t>
            </w:r>
          </w:p>
        </w:tc>
      </w:tr>
    </w:tbl>
    <w:p w:rsidR="008B6DCC" w:rsidRDefault="008B6DCC">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E71825" w:rsidRPr="00561E58" w:rsidTr="00D07D4D">
        <w:trPr>
          <w:jc w:val="center"/>
        </w:trPr>
        <w:tc>
          <w:tcPr>
            <w:tcW w:w="5000" w:type="pct"/>
            <w:gridSpan w:val="2"/>
            <w:tcBorders>
              <w:bottom w:val="single" w:sz="4" w:space="0" w:color="00928F"/>
            </w:tcBorders>
            <w:shd w:val="clear" w:color="auto" w:fill="CFE7E6"/>
          </w:tcPr>
          <w:p w:rsidR="00E71825" w:rsidRPr="007B343C" w:rsidRDefault="00E71825" w:rsidP="006E5417">
            <w:pPr>
              <w:pStyle w:val="Tablesubhead"/>
            </w:pPr>
            <w:r>
              <w:t>Proficiencies</w:t>
            </w:r>
          </w:p>
        </w:tc>
      </w:tr>
      <w:tr w:rsidR="00E71825" w:rsidRPr="00561E58" w:rsidTr="00D07D4D">
        <w:trPr>
          <w:jc w:val="center"/>
        </w:trPr>
        <w:tc>
          <w:tcPr>
            <w:tcW w:w="2500" w:type="pct"/>
            <w:tcBorders>
              <w:right w:val="nil"/>
            </w:tcBorders>
            <w:shd w:val="clear" w:color="auto" w:fill="auto"/>
          </w:tcPr>
          <w:p w:rsidR="00E71825" w:rsidRPr="00E71825" w:rsidRDefault="00E71825" w:rsidP="00135DA5">
            <w:pPr>
              <w:pStyle w:val="Tabletext"/>
            </w:pPr>
            <w:r w:rsidRPr="00E71825">
              <w:t>Opportunities to develop proficiencies include:</w:t>
            </w:r>
          </w:p>
          <w:p w:rsidR="00E71825" w:rsidRPr="00E71825" w:rsidRDefault="00E71825" w:rsidP="00E71825">
            <w:pPr>
              <w:pStyle w:val="Tabletext"/>
              <w:rPr>
                <w:rFonts w:eastAsia="HelveticaNeueLTStd-Lt-Identity-"/>
                <w:lang w:val="en-US"/>
              </w:rPr>
            </w:pPr>
            <w:r w:rsidRPr="00E71825">
              <w:rPr>
                <w:rFonts w:eastAsia="HelveticaNeueLTStd-Lt-Identity-"/>
                <w:b/>
                <w:lang w:val="en-US"/>
              </w:rPr>
              <w:t>Understanding</w:t>
            </w:r>
            <w:r w:rsidRPr="00E71825">
              <w:rPr>
                <w:rFonts w:eastAsia="HelveticaNeueLTStd-Lt-Identity-"/>
                <w:lang w:val="en-US"/>
              </w:rPr>
              <w:t xml:space="preserve"> </w:t>
            </w:r>
          </w:p>
          <w:p w:rsidR="00E71825" w:rsidRPr="00E71825" w:rsidRDefault="00E71825" w:rsidP="00E71825">
            <w:pPr>
              <w:pStyle w:val="Tablebullets"/>
              <w:rPr>
                <w:rFonts w:eastAsia="HelveticaNeueLTStd-Lt-Identity-"/>
                <w:lang w:val="en-US"/>
              </w:rPr>
            </w:pPr>
            <w:r w:rsidRPr="00E71825">
              <w:rPr>
                <w:rFonts w:eastAsia="HelveticaNeueLTStd-Lt-Identity-"/>
                <w:lang w:val="en-US"/>
              </w:rPr>
              <w:t>connecting names, numerals and quantities</w:t>
            </w:r>
          </w:p>
          <w:p w:rsidR="00E71825" w:rsidRPr="00E71825" w:rsidRDefault="00E71825" w:rsidP="00E71825">
            <w:pPr>
              <w:pStyle w:val="Tabletext"/>
              <w:rPr>
                <w:rFonts w:eastAsia="HelveticaNeueLTStd-Lt-Identity-"/>
                <w:lang w:val="en-US"/>
              </w:rPr>
            </w:pPr>
            <w:r w:rsidRPr="00E71825">
              <w:rPr>
                <w:rFonts w:eastAsia="HelveticaNeueLTStd-Lt-Identity-"/>
                <w:b/>
                <w:lang w:val="en-US"/>
              </w:rPr>
              <w:t>Fluency</w:t>
            </w:r>
            <w:r w:rsidRPr="00E71825">
              <w:rPr>
                <w:rFonts w:eastAsia="HelveticaNeueLTStd-Lt-Identity-"/>
                <w:lang w:val="en-US"/>
              </w:rPr>
              <w:t xml:space="preserve"> </w:t>
            </w:r>
          </w:p>
          <w:p w:rsidR="00E71825" w:rsidRPr="00E71825" w:rsidRDefault="00E71825" w:rsidP="00E71825">
            <w:pPr>
              <w:pStyle w:val="Tablebullets"/>
              <w:rPr>
                <w:rFonts w:eastAsia="HelveticaNeueLTStd-Lt-Identity-"/>
                <w:lang w:val="en-US"/>
              </w:rPr>
            </w:pPr>
            <w:r w:rsidRPr="00E71825">
              <w:rPr>
                <w:rFonts w:eastAsia="HelveticaNeueLTStd-Lt-Identity-"/>
                <w:lang w:val="en-US"/>
              </w:rPr>
              <w:t xml:space="preserve">comparing the lengths of objects </w:t>
            </w:r>
          </w:p>
          <w:p w:rsidR="00E71825" w:rsidRPr="00E71825" w:rsidRDefault="00E71825" w:rsidP="00E71825">
            <w:pPr>
              <w:pStyle w:val="Tabletext"/>
            </w:pPr>
          </w:p>
        </w:tc>
        <w:tc>
          <w:tcPr>
            <w:tcW w:w="2500" w:type="pct"/>
            <w:tcBorders>
              <w:left w:val="nil"/>
            </w:tcBorders>
            <w:shd w:val="clear" w:color="auto" w:fill="auto"/>
          </w:tcPr>
          <w:p w:rsidR="00E71825" w:rsidRPr="00E71825" w:rsidRDefault="00E71825" w:rsidP="00E71825">
            <w:pPr>
              <w:pStyle w:val="Tabletext"/>
              <w:rPr>
                <w:rFonts w:eastAsia="HelveticaNeueLTStd-Lt-Identity-"/>
                <w:lang w:val="en-US"/>
              </w:rPr>
            </w:pPr>
            <w:r w:rsidRPr="00E71825">
              <w:rPr>
                <w:rFonts w:eastAsia="HelveticaNeueLTStd-Lt-Identity-"/>
                <w:b/>
                <w:lang w:val="en-US"/>
              </w:rPr>
              <w:t>Problem Solving</w:t>
            </w:r>
            <w:r w:rsidRPr="00E71825">
              <w:rPr>
                <w:rFonts w:eastAsia="HelveticaNeueLTStd-Lt-Identity-"/>
                <w:lang w:val="en-US"/>
              </w:rPr>
              <w:t xml:space="preserve"> </w:t>
            </w:r>
          </w:p>
          <w:p w:rsidR="00E71825" w:rsidRPr="00E71825" w:rsidRDefault="00E71825" w:rsidP="00E71825">
            <w:pPr>
              <w:pStyle w:val="Tablebullets"/>
              <w:rPr>
                <w:rFonts w:eastAsia="HelveticaNeueLTStd-Lt-Identity-"/>
                <w:lang w:val="en-US"/>
              </w:rPr>
            </w:pPr>
            <w:r w:rsidRPr="00E71825">
              <w:rPr>
                <w:rFonts w:eastAsia="HelveticaNeueLTStd-Lt-Identity-"/>
                <w:lang w:val="en-US"/>
              </w:rPr>
              <w:t>using materia</w:t>
            </w:r>
            <w:r>
              <w:rPr>
                <w:rFonts w:eastAsia="HelveticaNeueLTStd-Lt-Identity-"/>
                <w:lang w:val="en-US"/>
              </w:rPr>
              <w:t>ls to model authentic problems</w:t>
            </w:r>
          </w:p>
          <w:p w:rsidR="00E71825" w:rsidRPr="00E71825" w:rsidRDefault="00E71825" w:rsidP="00E71825">
            <w:pPr>
              <w:pStyle w:val="Tablebullets"/>
              <w:rPr>
                <w:rFonts w:eastAsia="HelveticaNeueLTStd-Lt-Identity-"/>
                <w:lang w:val="en-US"/>
              </w:rPr>
            </w:pPr>
            <w:r>
              <w:rPr>
                <w:rFonts w:eastAsia="HelveticaNeueLTStd-Lt-Identity-"/>
                <w:lang w:val="en-US"/>
              </w:rPr>
              <w:t>sorting objects</w:t>
            </w:r>
            <w:r w:rsidRPr="00E71825">
              <w:rPr>
                <w:rFonts w:eastAsia="HelveticaNeueLTStd-Lt-Identity-"/>
                <w:lang w:val="en-US"/>
              </w:rPr>
              <w:t xml:space="preserve"> </w:t>
            </w:r>
          </w:p>
          <w:p w:rsidR="00E71825" w:rsidRPr="00E71825" w:rsidRDefault="00E71825" w:rsidP="00E71825">
            <w:pPr>
              <w:pStyle w:val="Tablebullets"/>
              <w:rPr>
                <w:rFonts w:eastAsia="HelveticaNeueLTStd-Lt-Identity-"/>
                <w:lang w:val="en-US"/>
              </w:rPr>
            </w:pPr>
            <w:r w:rsidRPr="00E71825">
              <w:rPr>
                <w:rFonts w:eastAsia="HelveticaNeueLTStd-Lt-Identity-"/>
                <w:lang w:val="en-US"/>
              </w:rPr>
              <w:t>using familiar counting sequences to solve unfamiliar problems</w:t>
            </w:r>
          </w:p>
          <w:p w:rsidR="00E71825" w:rsidRPr="00E71825" w:rsidRDefault="00E71825" w:rsidP="00E71825">
            <w:pPr>
              <w:pStyle w:val="Tablebullets"/>
              <w:rPr>
                <w:rFonts w:eastAsia="HelveticaNeueLTStd-Lt-Identity-"/>
                <w:lang w:val="en-US"/>
              </w:rPr>
            </w:pPr>
            <w:r w:rsidRPr="00E71825">
              <w:rPr>
                <w:rFonts w:eastAsia="HelveticaNeueLTStd-Lt-Identity-"/>
                <w:lang w:val="en-US"/>
              </w:rPr>
              <w:t>discussing the reasonable</w:t>
            </w:r>
            <w:r>
              <w:rPr>
                <w:rFonts w:eastAsia="HelveticaNeueLTStd-Lt-Identity-"/>
                <w:lang w:val="en-US"/>
              </w:rPr>
              <w:t>ness of the answer</w:t>
            </w:r>
          </w:p>
          <w:p w:rsidR="00E71825" w:rsidRPr="00E71825" w:rsidRDefault="00E71825" w:rsidP="00E71825">
            <w:pPr>
              <w:pStyle w:val="Tabletext"/>
              <w:rPr>
                <w:rFonts w:eastAsia="HelveticaNeueLTStd-Lt-Identity-"/>
                <w:lang w:val="en-US"/>
              </w:rPr>
            </w:pPr>
            <w:r w:rsidRPr="00E71825">
              <w:rPr>
                <w:rFonts w:eastAsia="HelveticaNeueLTStd-Lt-Identity-"/>
                <w:b/>
                <w:lang w:val="en-US"/>
              </w:rPr>
              <w:t>Reasoning</w:t>
            </w:r>
            <w:r w:rsidRPr="00E71825">
              <w:rPr>
                <w:rFonts w:eastAsia="HelveticaNeueLTStd-Lt-Identity-"/>
                <w:lang w:val="en-US"/>
              </w:rPr>
              <w:t xml:space="preserve"> </w:t>
            </w:r>
          </w:p>
          <w:p w:rsidR="00E71825" w:rsidRPr="00E71825" w:rsidRDefault="00E71825" w:rsidP="00E71825">
            <w:pPr>
              <w:pStyle w:val="Tablebullets"/>
              <w:rPr>
                <w:rFonts w:eastAsia="HelveticaNeueLTStd-Lt-Identity-"/>
                <w:lang w:val="en-US"/>
              </w:rPr>
            </w:pPr>
            <w:r w:rsidRPr="00E71825">
              <w:rPr>
                <w:rFonts w:eastAsia="HelveticaNeueLTStd-Lt-Identity-"/>
                <w:lang w:val="en-US"/>
              </w:rPr>
              <w:t>explaining comparisons of quantities</w:t>
            </w:r>
          </w:p>
          <w:p w:rsidR="00E71825" w:rsidRPr="00E71825" w:rsidRDefault="00E71825" w:rsidP="00E71825">
            <w:pPr>
              <w:pStyle w:val="Tablebullets"/>
            </w:pPr>
            <w:r w:rsidRPr="00E71825">
              <w:rPr>
                <w:rFonts w:eastAsia="HelveticaNeueLTStd-Lt-Identity-"/>
                <w:lang w:val="en-US"/>
              </w:rPr>
              <w:t>explaining processes f</w:t>
            </w:r>
            <w:r>
              <w:rPr>
                <w:rFonts w:eastAsia="HelveticaNeueLTStd-Lt-Identity-"/>
                <w:lang w:val="en-US"/>
              </w:rPr>
              <w:t>or indirect comparison of length</w:t>
            </w:r>
          </w:p>
        </w:tc>
      </w:tr>
      <w:tr w:rsidR="00A074F3" w:rsidRPr="004E0C69" w:rsidTr="00A074F3">
        <w:trPr>
          <w:jc w:val="center"/>
        </w:trPr>
        <w:tc>
          <w:tcPr>
            <w:tcW w:w="2500" w:type="pct"/>
            <w:shd w:val="clear" w:color="auto" w:fill="CFE7E6"/>
          </w:tcPr>
          <w:p w:rsidR="00A074F3" w:rsidRPr="004E0C69" w:rsidRDefault="00A074F3" w:rsidP="00A074F3">
            <w:pPr>
              <w:pStyle w:val="Tablesubhead"/>
            </w:pPr>
            <w:r w:rsidRPr="004E0C69">
              <w:t>Relevant prior curriculum</w:t>
            </w:r>
          </w:p>
        </w:tc>
        <w:tc>
          <w:tcPr>
            <w:tcW w:w="2500" w:type="pct"/>
            <w:shd w:val="clear" w:color="auto" w:fill="CFE7E6"/>
          </w:tcPr>
          <w:p w:rsidR="00A074F3" w:rsidRPr="004E0C69" w:rsidRDefault="00A074F3" w:rsidP="00A074F3">
            <w:pPr>
              <w:pStyle w:val="Tablesubhead"/>
            </w:pPr>
            <w:r w:rsidRPr="004E0C69">
              <w:t>Curriculum working towards</w:t>
            </w:r>
          </w:p>
        </w:tc>
      </w:tr>
      <w:tr w:rsidR="00A074F3" w:rsidRPr="00030551" w:rsidTr="00A074F3">
        <w:trPr>
          <w:jc w:val="center"/>
        </w:trPr>
        <w:tc>
          <w:tcPr>
            <w:tcW w:w="2500" w:type="pct"/>
            <w:shd w:val="clear" w:color="auto" w:fill="auto"/>
          </w:tcPr>
          <w:p w:rsidR="00A074F3" w:rsidRPr="004A5D41" w:rsidRDefault="00A074F3" w:rsidP="00A074F3">
            <w:pPr>
              <w:pStyle w:val="Tabletext"/>
              <w:rPr>
                <w:b/>
              </w:rPr>
            </w:pPr>
            <w:r w:rsidRPr="004A5D41">
              <w:rPr>
                <w:b/>
              </w:rPr>
              <w:t>In the Queensland kindergarten learning guideline</w:t>
            </w:r>
          </w:p>
          <w:p w:rsidR="00A074F3" w:rsidRPr="00875503" w:rsidRDefault="00A074F3" w:rsidP="00A074F3">
            <w:pPr>
              <w:pStyle w:val="Tablesubhead"/>
            </w:pPr>
            <w:r w:rsidRPr="00875503">
              <w:t>Active learning key focus</w:t>
            </w:r>
          </w:p>
          <w:p w:rsidR="00A074F3" w:rsidRPr="00507E23" w:rsidRDefault="00A074F3" w:rsidP="00A074F3">
            <w:pPr>
              <w:pStyle w:val="Tabletext"/>
            </w:pPr>
            <w:r w:rsidRPr="00875503">
              <w:t xml:space="preserve">Knowledge, skills and </w:t>
            </w:r>
            <w:r w:rsidRPr="00507E23">
              <w:t>dispositions:</w:t>
            </w:r>
          </w:p>
          <w:p w:rsidR="00A074F3" w:rsidRPr="00030551" w:rsidRDefault="00A074F3" w:rsidP="00A074F3">
            <w:pPr>
              <w:pStyle w:val="Tablebullets"/>
              <w:ind w:left="283" w:hanging="283"/>
            </w:pPr>
            <w:r w:rsidRPr="00507E23">
              <w:t>active investigation of mathematical ideas, processes and language in everyday life related to shape and to comparing</w:t>
            </w:r>
            <w:r w:rsidRPr="00165B15">
              <w:t>, changing, measuring and recording quantities</w:t>
            </w:r>
            <w:r>
              <w:t>.</w:t>
            </w:r>
          </w:p>
        </w:tc>
        <w:tc>
          <w:tcPr>
            <w:tcW w:w="2500" w:type="pct"/>
            <w:shd w:val="clear" w:color="auto" w:fill="auto"/>
          </w:tcPr>
          <w:p w:rsidR="00A074F3" w:rsidRPr="004A5D41" w:rsidRDefault="00A074F3" w:rsidP="00A074F3">
            <w:pPr>
              <w:pStyle w:val="Tabletext"/>
              <w:rPr>
                <w:b/>
              </w:rPr>
            </w:pPr>
            <w:r w:rsidRPr="004A5D41">
              <w:rPr>
                <w:b/>
              </w:rPr>
              <w:t>In the Australian Curriculum: Mathematics at Year 1</w:t>
            </w:r>
          </w:p>
          <w:p w:rsidR="00A074F3" w:rsidRPr="007E32E4" w:rsidRDefault="00A074F3" w:rsidP="00A074F3">
            <w:pPr>
              <w:pStyle w:val="Tablesubhead"/>
            </w:pPr>
            <w:r w:rsidRPr="007E32E4">
              <w:t xml:space="preserve">Number and </w:t>
            </w:r>
            <w:r>
              <w:t>A</w:t>
            </w:r>
            <w:r w:rsidRPr="007E32E4">
              <w:t>lgebra</w:t>
            </w:r>
          </w:p>
          <w:p w:rsidR="00A074F3" w:rsidRPr="00565CA5" w:rsidRDefault="00A074F3" w:rsidP="00A074F3">
            <w:pPr>
              <w:pStyle w:val="Tabletext"/>
            </w:pPr>
            <w:r w:rsidRPr="00565CA5">
              <w:t>Number and place value</w:t>
            </w:r>
          </w:p>
          <w:p w:rsidR="00A074F3" w:rsidRDefault="00A074F3" w:rsidP="00A074F3">
            <w:pPr>
              <w:pStyle w:val="Tablebullets"/>
            </w:pPr>
            <w:r>
              <w:rPr>
                <w:rFonts w:cs="Arial"/>
              </w:rPr>
              <w:t xml:space="preserve">Count collections to 100 by </w:t>
            </w:r>
            <w:r w:rsidRPr="00165B15">
              <w:rPr>
                <w:rFonts w:eastAsia="SimSun"/>
                <w:sz w:val="21"/>
              </w:rPr>
              <w:t>partitioning</w:t>
            </w:r>
            <w:r>
              <w:rPr>
                <w:rFonts w:cs="Arial"/>
              </w:rPr>
              <w:t xml:space="preserve"> numbers using </w:t>
            </w:r>
            <w:r w:rsidRPr="00165B15">
              <w:rPr>
                <w:rFonts w:eastAsia="SimSun"/>
                <w:sz w:val="21"/>
              </w:rPr>
              <w:t>place value</w:t>
            </w:r>
            <w:r>
              <w:rPr>
                <w:rFonts w:eastAsia="SimSun"/>
                <w:sz w:val="21"/>
              </w:rPr>
              <w:t>.</w:t>
            </w:r>
          </w:p>
          <w:p w:rsidR="00A074F3" w:rsidRPr="00A930C5" w:rsidRDefault="00A074F3" w:rsidP="00A074F3">
            <w:pPr>
              <w:pStyle w:val="Tablesubhead"/>
            </w:pPr>
            <w:r w:rsidRPr="00A930C5">
              <w:t xml:space="preserve">Measurement and </w:t>
            </w:r>
            <w:r>
              <w:t>G</w:t>
            </w:r>
            <w:r w:rsidRPr="00A930C5">
              <w:t>eometry</w:t>
            </w:r>
          </w:p>
          <w:p w:rsidR="00A074F3" w:rsidRPr="00565CA5" w:rsidRDefault="00A074F3" w:rsidP="00A074F3">
            <w:pPr>
              <w:pStyle w:val="Tabletext"/>
            </w:pPr>
            <w:r w:rsidRPr="00565CA5">
              <w:t>Using units of measurement</w:t>
            </w:r>
          </w:p>
          <w:p w:rsidR="00A074F3" w:rsidRPr="00165B15" w:rsidRDefault="00A074F3" w:rsidP="00A074F3">
            <w:pPr>
              <w:pStyle w:val="Tablebullets"/>
              <w:ind w:left="283" w:hanging="283"/>
            </w:pPr>
            <w:r w:rsidRPr="00165B15">
              <w:t>Measure and compare the lengths and capacities of pairs of objects using uniform informal units</w:t>
            </w:r>
            <w:r>
              <w:t>.</w:t>
            </w:r>
          </w:p>
          <w:p w:rsidR="00A074F3" w:rsidRPr="00030551" w:rsidRDefault="00A074F3" w:rsidP="00A074F3">
            <w:pPr>
              <w:pStyle w:val="Tablebullets"/>
              <w:ind w:left="283" w:hanging="283"/>
            </w:pPr>
            <w:r w:rsidRPr="00165B15">
              <w:t>Describe duration using months, weeks, days and hours</w:t>
            </w:r>
            <w:r>
              <w:t>.</w:t>
            </w:r>
          </w:p>
        </w:tc>
      </w:tr>
      <w:tr w:rsidR="00A074F3" w:rsidRPr="004E0C69" w:rsidTr="00A074F3">
        <w:trPr>
          <w:jc w:val="center"/>
        </w:trPr>
        <w:tc>
          <w:tcPr>
            <w:tcW w:w="5000" w:type="pct"/>
            <w:gridSpan w:val="2"/>
            <w:shd w:val="clear" w:color="auto" w:fill="CFE7E6"/>
          </w:tcPr>
          <w:p w:rsidR="00A074F3" w:rsidRPr="004E0C69" w:rsidRDefault="00A074F3" w:rsidP="00A074F3">
            <w:pPr>
              <w:pStyle w:val="Tablesubhead"/>
            </w:pPr>
            <w:r w:rsidRPr="004E0C69">
              <w:t>Bridging content</w:t>
            </w:r>
          </w:p>
        </w:tc>
      </w:tr>
      <w:tr w:rsidR="00A074F3" w:rsidRPr="00030551" w:rsidTr="00A074F3">
        <w:trPr>
          <w:jc w:val="center"/>
        </w:trPr>
        <w:tc>
          <w:tcPr>
            <w:tcW w:w="5000" w:type="pct"/>
            <w:gridSpan w:val="2"/>
            <w:shd w:val="clear" w:color="auto" w:fill="auto"/>
          </w:tcPr>
          <w:p w:rsidR="00A074F3" w:rsidRPr="00165B15" w:rsidRDefault="00A074F3" w:rsidP="00A074F3">
            <w:pPr>
              <w:pStyle w:val="Tabletext"/>
            </w:pPr>
            <w:r w:rsidRPr="00507E23">
              <w:t>In</w:t>
            </w:r>
            <w:r w:rsidRPr="001C3EA6">
              <w:t xml:space="preserve"> the </w:t>
            </w:r>
            <w:r w:rsidRPr="00420E6B">
              <w:t>Early Years Curriculum Guidelines</w:t>
            </w:r>
          </w:p>
          <w:p w:rsidR="00A074F3" w:rsidRPr="00DC44D4" w:rsidRDefault="00A074F3" w:rsidP="00A074F3">
            <w:pPr>
              <w:pStyle w:val="Tablesubhead"/>
            </w:pPr>
            <w:r w:rsidRPr="00DC44D4">
              <w:t>Early mathematical understandings</w:t>
            </w:r>
          </w:p>
          <w:p w:rsidR="00A074F3" w:rsidRPr="00875503" w:rsidRDefault="00A074F3" w:rsidP="00A074F3">
            <w:pPr>
              <w:pStyle w:val="Tabletext"/>
            </w:pPr>
            <w:r w:rsidRPr="00875503">
              <w:t>Children build early mathematical understandings about number, patterns &amp; algebra, measurement, chance &amp; data and space by:</w:t>
            </w:r>
          </w:p>
          <w:p w:rsidR="00A074F3" w:rsidRPr="00030551" w:rsidRDefault="00A074F3" w:rsidP="00A074F3">
            <w:pPr>
              <w:pStyle w:val="Tablebullets"/>
              <w:ind w:left="283" w:hanging="283"/>
            </w:pPr>
            <w:r w:rsidRPr="00DC44D4">
              <w:t>investigating and communicating about quantities and their representations, and</w:t>
            </w:r>
            <w:r>
              <w:t xml:space="preserve"> </w:t>
            </w:r>
            <w:r w:rsidRPr="00DC44D4">
              <w:t>attributes of objects and collections</w:t>
            </w:r>
            <w:r>
              <w:t>.</w:t>
            </w:r>
          </w:p>
        </w:tc>
      </w:tr>
      <w:tr w:rsidR="00A074F3" w:rsidRPr="001F6C01" w:rsidTr="00A074F3">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A074F3" w:rsidRPr="001F6C01" w:rsidRDefault="00A074F3" w:rsidP="00A074F3">
            <w:pPr>
              <w:pStyle w:val="Tablesubhead"/>
            </w:pPr>
            <w:r w:rsidRPr="001F6C01">
              <w:t>Links to other learning areas</w:t>
            </w:r>
          </w:p>
        </w:tc>
      </w:tr>
      <w:tr w:rsidR="00A074F3" w:rsidRPr="00CB4C06" w:rsidTr="00A074F3">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A074F3" w:rsidRPr="00CB4C06" w:rsidRDefault="00A074F3" w:rsidP="00A074F3">
            <w:pPr>
              <w:pStyle w:val="Tabletext"/>
              <w:rPr>
                <w:b/>
                <w:highlight w:val="yellow"/>
              </w:rPr>
            </w:pPr>
            <w:r w:rsidRPr="00BF793E">
              <w:t xml:space="preserve">Learning is integrated within early years contexts for learning and embedded across a range of </w:t>
            </w:r>
            <w:r>
              <w:t xml:space="preserve">learning areas, </w:t>
            </w:r>
            <w:r w:rsidRPr="00DC44D4">
              <w:t>including Social and personal learning, Health and physical lear</w:t>
            </w:r>
            <w:r>
              <w:t xml:space="preserve">ning, and Active learning processes. </w:t>
            </w:r>
          </w:p>
        </w:tc>
      </w:tr>
    </w:tbl>
    <w:p w:rsidR="00364E09" w:rsidRPr="008300AE" w:rsidRDefault="00364E09" w:rsidP="00364E09">
      <w:pPr>
        <w:pStyle w:val="smallspace"/>
      </w:pPr>
      <w:r>
        <w:br w:type="page"/>
      </w:r>
    </w:p>
    <w:p w:rsidR="00365706" w:rsidRPr="008300AE" w:rsidRDefault="00365706" w:rsidP="00365706">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F06591">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061C7E" w:rsidRDefault="00061C7E" w:rsidP="00061C7E">
            <w:pPr>
              <w:pStyle w:val="Tablesubhead"/>
            </w:pPr>
            <w:r>
              <w:t>Understanding</w:t>
            </w:r>
          </w:p>
          <w:p w:rsidR="00061C7E" w:rsidRDefault="00F06591" w:rsidP="00061C7E">
            <w:pPr>
              <w:pStyle w:val="Tablebullets"/>
              <w:ind w:left="283" w:hanging="283"/>
            </w:pPr>
            <w:r>
              <w:t xml:space="preserve">description and identification of concepts </w:t>
            </w:r>
          </w:p>
          <w:p w:rsidR="00061C7E" w:rsidRDefault="00F06591" w:rsidP="00061C7E">
            <w:pPr>
              <w:pStyle w:val="Tablebullets"/>
              <w:ind w:left="283" w:hanging="283"/>
            </w:pPr>
            <w:r>
              <w:t>description of choices made, strategies used, and checks of reasonableness of answers in mathematical investigations</w:t>
            </w:r>
          </w:p>
          <w:p w:rsidR="00061C7E" w:rsidRDefault="00F06591" w:rsidP="00061C7E">
            <w:pPr>
              <w:pStyle w:val="Tablebullets"/>
              <w:ind w:left="283" w:hanging="283"/>
            </w:pPr>
            <w:r>
              <w:t xml:space="preserve">modelling </w:t>
            </w:r>
            <w:r w:rsidR="00061C7E">
              <w:t xml:space="preserve">and representation </w:t>
            </w:r>
          </w:p>
          <w:p w:rsidR="00061C7E" w:rsidRDefault="00061C7E" w:rsidP="00061C7E">
            <w:pPr>
              <w:pStyle w:val="Tablesubhead"/>
            </w:pPr>
            <w:r>
              <w:t>Skills</w:t>
            </w:r>
          </w:p>
          <w:p w:rsidR="00061C7E" w:rsidRDefault="00F06591" w:rsidP="00061C7E">
            <w:pPr>
              <w:pStyle w:val="Tablebullets"/>
              <w:ind w:left="283" w:hanging="283"/>
            </w:pPr>
            <w:r>
              <w:t>use of problem</w:t>
            </w:r>
            <w:r w:rsidR="009178C5">
              <w:t>-</w:t>
            </w:r>
            <w:r>
              <w:t>solving strategies to investigate situations</w:t>
            </w:r>
          </w:p>
          <w:p w:rsidR="00061C7E" w:rsidRDefault="00F06591" w:rsidP="00061C7E">
            <w:pPr>
              <w:pStyle w:val="Tablebullets"/>
              <w:ind w:left="283" w:hanging="283"/>
            </w:pPr>
            <w:r>
              <w:t>recall and use of  mathematical facts, concepts</w:t>
            </w:r>
            <w:r w:rsidR="009178C5">
              <w:t>,</w:t>
            </w:r>
            <w:r>
              <w:t xml:space="preserve"> calculations and procedures</w:t>
            </w:r>
          </w:p>
          <w:p w:rsidR="00D07D4D" w:rsidRDefault="00F06591" w:rsidP="003D1F55">
            <w:pPr>
              <w:pStyle w:val="Tablebullets"/>
              <w:spacing w:after="120"/>
            </w:pPr>
            <w:r>
              <w:t>communication of calculations, answers and explanations, using mathematical language</w:t>
            </w:r>
            <w:r w:rsidR="00061C7E">
              <w:t>, conventions and symbols</w:t>
            </w:r>
          </w:p>
          <w:p w:rsidR="004A5D41" w:rsidRPr="0053281C" w:rsidRDefault="004A5D41" w:rsidP="004A5D41">
            <w:pPr>
              <w:pStyle w:val="Tablebullets"/>
              <w:numPr>
                <w:ilvl w:val="0"/>
                <w:numId w:val="0"/>
              </w:numPr>
            </w:pPr>
            <w:r w:rsidRPr="0053281C">
              <w:t xml:space="preserve">For further advice and guidelines on constructing guides to making judgments refer to the Learning area standard descriptors: </w:t>
            </w:r>
            <w:hyperlink r:id="rId17" w:history="1">
              <w:r w:rsidRPr="0053281C">
                <w:rPr>
                  <w:color w:val="0000FF"/>
                </w:rPr>
                <w:t>www.qsa.qld.edu.au</w:t>
              </w:r>
            </w:hyperlink>
          </w:p>
        </w:tc>
      </w:tr>
      <w:tr w:rsidR="00D07D4D" w:rsidRPr="00030551" w:rsidTr="00D07D4D">
        <w:trPr>
          <w:trHeight w:val="2581"/>
          <w:jc w:val="center"/>
        </w:trPr>
        <w:tc>
          <w:tcPr>
            <w:tcW w:w="2642" w:type="pct"/>
            <w:tcBorders>
              <w:bottom w:val="nil"/>
            </w:tcBorders>
            <w:shd w:val="clear" w:color="auto" w:fill="auto"/>
          </w:tcPr>
          <w:p w:rsidR="00D07D4D" w:rsidRDefault="00D07D4D" w:rsidP="00366376">
            <w:pPr>
              <w:pStyle w:val="Tabletext"/>
              <w:spacing w:before="60" w:after="60"/>
            </w:pPr>
            <w:r>
              <w:t>Students are given opportunities to demonstrate their knowledge, skills and understanding through both formative and summative assessment. The assessment is collated in student folios and allows for ongoing feedback to students on their learning.</w:t>
            </w:r>
          </w:p>
          <w:p w:rsidR="00D07D4D" w:rsidRDefault="00180A93" w:rsidP="00366376">
            <w:pPr>
              <w:pStyle w:val="Tabletext"/>
              <w:spacing w:before="60" w:after="60"/>
            </w:pPr>
            <w:r>
              <w:t xml:space="preserve">Prep </w:t>
            </w:r>
            <w:r w:rsidR="00D07D4D">
              <w:t>teachers make decisions about the length of time required to complete the tasks and the conditions under which the assessment is to be conducted.</w:t>
            </w:r>
          </w:p>
          <w:p w:rsidR="00D07D4D" w:rsidRPr="00D07D4D" w:rsidRDefault="00D07D4D" w:rsidP="00366376">
            <w:pPr>
              <w:pStyle w:val="Tabletext"/>
              <w:spacing w:before="60" w:after="6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shd w:val="clear" w:color="auto" w:fill="auto"/>
          </w:tcPr>
          <w:p w:rsidR="00D07D4D" w:rsidRPr="00D07D4D" w:rsidRDefault="00180A93" w:rsidP="00D07D4D">
            <w:pPr>
              <w:pStyle w:val="Tabletext"/>
            </w:pPr>
            <w:r>
              <w:t>Ongoing — driven by the developmental sequence of the unit.</w:t>
            </w:r>
          </w:p>
        </w:tc>
        <w:tc>
          <w:tcPr>
            <w:tcW w:w="1452" w:type="pct"/>
            <w:vMerge/>
            <w:shd w:val="clear" w:color="auto" w:fill="auto"/>
          </w:tcPr>
          <w:p w:rsidR="00D07D4D" w:rsidRPr="00030551" w:rsidRDefault="00D07D4D" w:rsidP="00030551">
            <w:pPr>
              <w:pStyle w:val="Tabletext"/>
            </w:pPr>
          </w:p>
        </w:tc>
      </w:tr>
      <w:tr w:rsidR="00D07D4D" w:rsidRPr="00030551" w:rsidTr="00A05D27">
        <w:trPr>
          <w:trHeight w:val="2121"/>
          <w:jc w:val="center"/>
        </w:trPr>
        <w:tc>
          <w:tcPr>
            <w:tcW w:w="2642" w:type="pct"/>
            <w:tcBorders>
              <w:top w:val="nil"/>
            </w:tcBorders>
            <w:shd w:val="clear" w:color="auto" w:fill="auto"/>
          </w:tcPr>
          <w:p w:rsidR="00180A93" w:rsidRDefault="00180A93" w:rsidP="00366376">
            <w:pPr>
              <w:pStyle w:val="Tabletext"/>
              <w:spacing w:before="60" w:after="60"/>
            </w:pPr>
            <w:r>
              <w:t xml:space="preserve">The </w:t>
            </w:r>
            <w:r w:rsidR="0034485F">
              <w:t xml:space="preserve">QSA </w:t>
            </w:r>
            <w:r w:rsidR="004A5D41">
              <w:t>A</w:t>
            </w:r>
            <w:r>
              <w:t xml:space="preserve">ssessment </w:t>
            </w:r>
            <w:r w:rsidR="004A5D41">
              <w:t>B</w:t>
            </w:r>
            <w:r>
              <w:t xml:space="preserve">ank package </w:t>
            </w:r>
            <w:r w:rsidRPr="00180A93">
              <w:rPr>
                <w:i/>
              </w:rPr>
              <w:t>Pick-a-package</w:t>
            </w:r>
            <w:r>
              <w:t xml:space="preserve"> has been developed to support this unit. It focuses on direct and indirect comparisons of mass in a socio-dramatic play situation</w:t>
            </w:r>
          </w:p>
          <w:p w:rsidR="0070158E" w:rsidRPr="0070158E" w:rsidRDefault="0070158E" w:rsidP="00366376">
            <w:pPr>
              <w:pStyle w:val="Tabletext"/>
              <w:spacing w:before="60" w:after="60"/>
              <w:rPr>
                <w:b/>
              </w:rPr>
            </w:pPr>
            <w:r w:rsidRPr="0070158E">
              <w:rPr>
                <w:b/>
              </w:rPr>
              <w:t>Mathematical investigation (Demonstration)</w:t>
            </w:r>
          </w:p>
          <w:p w:rsidR="00180A93" w:rsidRPr="00D63996" w:rsidRDefault="00180A93" w:rsidP="00366376">
            <w:pPr>
              <w:pStyle w:val="Tabletext"/>
              <w:spacing w:before="60" w:after="60"/>
            </w:pPr>
            <w:r>
              <w:t xml:space="preserve">Children are given a series of challenges with different objects to measure using direct and </w:t>
            </w:r>
            <w:r w:rsidRPr="00D63996">
              <w:t xml:space="preserve">indirect means of comparison. </w:t>
            </w:r>
          </w:p>
          <w:p w:rsidR="00180A93" w:rsidRDefault="00180A93" w:rsidP="00366376">
            <w:pPr>
              <w:pStyle w:val="Tabletext"/>
              <w:spacing w:before="60" w:after="60"/>
            </w:pPr>
            <w:r w:rsidRPr="00D63996">
              <w:t>Challenges are performed across the term to check for understanding of the concepts as they</w:t>
            </w:r>
            <w:r>
              <w:t xml:space="preserve"> are developed. Challenges need to reflect </w:t>
            </w:r>
            <w:r w:rsidR="0070158E">
              <w:t>direct and indirect comparisons and could include:</w:t>
            </w:r>
          </w:p>
          <w:p w:rsidR="00180A93" w:rsidRDefault="000F0020" w:rsidP="00366376">
            <w:pPr>
              <w:pStyle w:val="Tablebullets"/>
              <w:spacing w:before="60" w:after="60"/>
            </w:pPr>
            <w:r>
              <w:t xml:space="preserve">longer </w:t>
            </w:r>
            <w:r w:rsidR="00180A93">
              <w:t>(length)</w:t>
            </w:r>
            <w:r w:rsidR="00F06591">
              <w:t xml:space="preserve"> —</w:t>
            </w:r>
            <w:r w:rsidR="00180A93">
              <w:t xml:space="preserve"> measure and compare the length of the feet of children in the class</w:t>
            </w:r>
          </w:p>
          <w:p w:rsidR="00180A93" w:rsidRDefault="000F0020" w:rsidP="00366376">
            <w:pPr>
              <w:pStyle w:val="Tablebullets"/>
              <w:spacing w:before="60" w:after="60"/>
            </w:pPr>
            <w:r>
              <w:t xml:space="preserve">longer </w:t>
            </w:r>
            <w:r w:rsidR="00180A93">
              <w:t>(height)</w:t>
            </w:r>
            <w:r w:rsidR="00F06591">
              <w:t xml:space="preserve"> —</w:t>
            </w:r>
            <w:r w:rsidR="00180A93">
              <w:t xml:space="preserve"> measure and compare the height of children in the class</w:t>
            </w:r>
          </w:p>
          <w:p w:rsidR="00180A93" w:rsidRDefault="000F0020" w:rsidP="00366376">
            <w:pPr>
              <w:pStyle w:val="Tablebullets"/>
              <w:spacing w:before="60" w:after="60"/>
            </w:pPr>
            <w:r>
              <w:t xml:space="preserve">heavier </w:t>
            </w:r>
            <w:r w:rsidR="00F06591">
              <w:t>—</w:t>
            </w:r>
            <w:r w:rsidR="00180A93">
              <w:t xml:space="preserve"> compare a series of different fruits and place them in order of lightest to heaviest</w:t>
            </w:r>
          </w:p>
          <w:p w:rsidR="00180A93" w:rsidRDefault="000F0020" w:rsidP="00366376">
            <w:pPr>
              <w:pStyle w:val="Tablebullets"/>
              <w:spacing w:before="60" w:after="60"/>
            </w:pPr>
            <w:r>
              <w:t xml:space="preserve">holds </w:t>
            </w:r>
            <w:r w:rsidR="00180A93">
              <w:t>more</w:t>
            </w:r>
            <w:r w:rsidR="00F06591">
              <w:t xml:space="preserve"> —</w:t>
            </w:r>
            <w:r w:rsidR="00180A93">
              <w:t xml:space="preserve"> which cup holds more?</w:t>
            </w:r>
          </w:p>
          <w:p w:rsidR="00180A93" w:rsidRDefault="000F0020" w:rsidP="00366376">
            <w:pPr>
              <w:pStyle w:val="Tablebullets"/>
              <w:spacing w:before="60" w:after="60"/>
            </w:pPr>
            <w:r>
              <w:t xml:space="preserve">time </w:t>
            </w:r>
            <w:r w:rsidR="00F06591">
              <w:t>—</w:t>
            </w:r>
            <w:r w:rsidR="00180A93">
              <w:t xml:space="preserve"> which activ</w:t>
            </w:r>
            <w:r w:rsidR="0034485F">
              <w:t>ity will take the longest time?</w:t>
            </w:r>
          </w:p>
          <w:p w:rsidR="00180A93" w:rsidRDefault="00180A93" w:rsidP="00366376">
            <w:pPr>
              <w:pStyle w:val="Tabletext"/>
              <w:spacing w:before="60" w:after="60"/>
            </w:pPr>
            <w:r>
              <w:t xml:space="preserve">Teachers observe the children’s ability to make comparisons and explain their reasoning. In explaining their reasoning, children describe the attributes they use to make their comparisons. </w:t>
            </w:r>
          </w:p>
          <w:p w:rsidR="00180A93" w:rsidRDefault="00180A93" w:rsidP="00366376">
            <w:pPr>
              <w:pStyle w:val="Tabletext"/>
              <w:keepNext/>
              <w:spacing w:before="60" w:after="60"/>
            </w:pPr>
            <w:r>
              <w:t>Throughout the unit teachers gather evidence about children’s learning</w:t>
            </w:r>
            <w:r w:rsidR="009178C5">
              <w:t xml:space="preserve">, </w:t>
            </w:r>
            <w:r w:rsidR="008C4C1A">
              <w:t>including</w:t>
            </w:r>
            <w:r>
              <w:t>:</w:t>
            </w:r>
          </w:p>
          <w:p w:rsidR="00180A93" w:rsidRPr="00165B15" w:rsidRDefault="00180A93" w:rsidP="00366376">
            <w:pPr>
              <w:pStyle w:val="Tablebullets"/>
              <w:spacing w:before="60" w:after="60"/>
              <w:ind w:left="283" w:hanging="283"/>
            </w:pPr>
            <w:r>
              <w:t>a</w:t>
            </w:r>
            <w:r w:rsidRPr="00165B15">
              <w:t>necdotal notes and observations about individual children</w:t>
            </w:r>
            <w:r>
              <w:t>’s</w:t>
            </w:r>
            <w:r w:rsidR="003C3C27">
              <w:t xml:space="preserve"> progress </w:t>
            </w:r>
            <w:r w:rsidR="0034485F">
              <w:t>toward Number and Algebra and Measurement and G</w:t>
            </w:r>
            <w:r w:rsidRPr="00165B15">
              <w:t>eometry knowledge, skills and understandings during everyday learning experiences</w:t>
            </w:r>
          </w:p>
          <w:p w:rsidR="00180A93" w:rsidRDefault="00180A93" w:rsidP="00366376">
            <w:pPr>
              <w:pStyle w:val="Tablebullets"/>
              <w:spacing w:before="60" w:after="60"/>
              <w:ind w:left="283" w:hanging="283"/>
            </w:pPr>
            <w:r>
              <w:t>o</w:t>
            </w:r>
            <w:r w:rsidRPr="00165B15">
              <w:t xml:space="preserve">bjects or artefacts </w:t>
            </w:r>
            <w:r w:rsidR="00F2553B">
              <w:t xml:space="preserve">that </w:t>
            </w:r>
            <w:r w:rsidRPr="00165B15">
              <w:t>the children develop or make within everyday learning experiences</w:t>
            </w:r>
            <w:r w:rsidR="00F2553B">
              <w:t>,</w:t>
            </w:r>
            <w:r w:rsidRPr="00165B15">
              <w:t xml:space="preserve"> e.g. collage constructions demonstrating shapes, drawings and illustrations (including reasoning)</w:t>
            </w:r>
          </w:p>
          <w:p w:rsidR="00D07D4D" w:rsidRPr="00D07D4D" w:rsidRDefault="00180A93" w:rsidP="00366376">
            <w:pPr>
              <w:pStyle w:val="Tablebullets"/>
              <w:spacing w:before="60" w:after="60"/>
              <w:ind w:left="283" w:hanging="283"/>
            </w:pPr>
            <w:r>
              <w:t>annotated digital photo story of comparisons.</w:t>
            </w:r>
          </w:p>
        </w:tc>
        <w:tc>
          <w:tcPr>
            <w:tcW w:w="906" w:type="pct"/>
            <w:vMerge/>
            <w:shd w:val="clear" w:color="auto" w:fill="auto"/>
          </w:tcPr>
          <w:p w:rsidR="00D07D4D" w:rsidRDefault="00D07D4D" w:rsidP="008068E1">
            <w:pPr>
              <w:pStyle w:val="Instructions"/>
            </w:pPr>
          </w:p>
        </w:tc>
        <w:tc>
          <w:tcPr>
            <w:tcW w:w="1452" w:type="pct"/>
            <w:vMerge/>
            <w:shd w:val="clear" w:color="auto" w:fill="auto"/>
          </w:tcPr>
          <w:p w:rsidR="00D07D4D" w:rsidRPr="00030551" w:rsidRDefault="00D07D4D"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E56A9B">
        <w:trPr>
          <w:tblHeader/>
          <w:jc w:val="cent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2C0575" w:rsidP="002C0575">
            <w:pPr>
              <w:pStyle w:val="Tablesubhead"/>
            </w:pPr>
            <w:r w:rsidRPr="002C0575">
              <w:t>Adjustments for needs of learners</w:t>
            </w:r>
          </w:p>
        </w:tc>
        <w:tc>
          <w:tcPr>
            <w:tcW w:w="1117" w:type="pct"/>
            <w:tcBorders>
              <w:bottom w:val="single" w:sz="4" w:space="0" w:color="00928F"/>
            </w:tcBorders>
            <w:shd w:val="clear" w:color="auto" w:fill="CFE7E6"/>
          </w:tcPr>
          <w:p w:rsidR="002C0575" w:rsidRPr="002C0575" w:rsidRDefault="002C0575" w:rsidP="002C0575">
            <w:pPr>
              <w:pStyle w:val="Tablesubhead"/>
            </w:pPr>
            <w:r w:rsidRPr="002C0575">
              <w:t>Resources</w:t>
            </w:r>
          </w:p>
        </w:tc>
      </w:tr>
      <w:tr w:rsidR="00180A93" w:rsidRPr="00030551" w:rsidTr="00E56A9B">
        <w:trPr>
          <w:trHeight w:val="8028"/>
          <w:jc w:val="center"/>
        </w:trPr>
        <w:tc>
          <w:tcPr>
            <w:tcW w:w="2680" w:type="pct"/>
            <w:tcBorders>
              <w:bottom w:val="single" w:sz="4" w:space="0" w:color="00928F"/>
            </w:tcBorders>
            <w:shd w:val="clear" w:color="auto" w:fill="auto"/>
          </w:tcPr>
          <w:p w:rsidR="00180A93" w:rsidRPr="006C2730" w:rsidRDefault="00180A93" w:rsidP="00287F00">
            <w:pPr>
              <w:pStyle w:val="Tablesubhead"/>
            </w:pPr>
            <w:r>
              <w:t>Socio</w:t>
            </w:r>
            <w:r w:rsidR="008B3CF9">
              <w:t>-</w:t>
            </w:r>
            <w:r w:rsidRPr="006C2730">
              <w:t xml:space="preserve">dramatic </w:t>
            </w:r>
            <w:r w:rsidR="008B3CF9">
              <w:t>p</w:t>
            </w:r>
            <w:r w:rsidRPr="006C2730">
              <w:t xml:space="preserve">lay </w:t>
            </w:r>
          </w:p>
          <w:p w:rsidR="00180A93" w:rsidRPr="007C7A82" w:rsidRDefault="00180A93" w:rsidP="00287F00">
            <w:pPr>
              <w:pStyle w:val="Tabletext"/>
            </w:pPr>
            <w:r w:rsidRPr="00CA4BC6">
              <w:t>Children</w:t>
            </w:r>
            <w:r>
              <w:t xml:space="preserve"> use the language of direct and indirect comparison within socio</w:t>
            </w:r>
            <w:r w:rsidR="008B3CF9">
              <w:t>-</w:t>
            </w:r>
            <w:r>
              <w:t>dramatic play, e.g. the longest truck in the sandpit, the widest road.</w:t>
            </w:r>
          </w:p>
          <w:p w:rsidR="00180A93" w:rsidRPr="007C7A82" w:rsidRDefault="00180A93" w:rsidP="00287F00">
            <w:pPr>
              <w:pStyle w:val="Tablesubhead"/>
            </w:pPr>
            <w:r w:rsidRPr="007C7A82">
              <w:t xml:space="preserve">Exploratory </w:t>
            </w:r>
            <w:r w:rsidR="008B3CF9">
              <w:t>p</w:t>
            </w:r>
            <w:r w:rsidRPr="007C7A82">
              <w:t xml:space="preserve">lay: Indoors </w:t>
            </w:r>
          </w:p>
          <w:p w:rsidR="00180A93" w:rsidRPr="00CA4BC6" w:rsidRDefault="00180A93" w:rsidP="00287F00">
            <w:pPr>
              <w:pStyle w:val="Tabletext"/>
            </w:pPr>
            <w:r>
              <w:t>Children:</w:t>
            </w:r>
          </w:p>
          <w:p w:rsidR="00180A93" w:rsidRDefault="00180A93" w:rsidP="00287F00">
            <w:pPr>
              <w:pStyle w:val="Tablebullets"/>
            </w:pPr>
            <w:r>
              <w:t>t</w:t>
            </w:r>
            <w:r w:rsidRPr="007C7A82">
              <w:t xml:space="preserve">alk about, explain and describe their </w:t>
            </w:r>
            <w:r>
              <w:t>comparisons</w:t>
            </w:r>
            <w:r w:rsidRPr="007C7A82">
              <w:t xml:space="preserve"> for the class using langua</w:t>
            </w:r>
            <w:r>
              <w:t>ge associated with measurement and comparison, e.g. activities involving measurement and the language of comparison.</w:t>
            </w:r>
          </w:p>
          <w:p w:rsidR="00180A93" w:rsidRPr="00CA4BC6" w:rsidRDefault="00180A93" w:rsidP="00287F00">
            <w:pPr>
              <w:pStyle w:val="Tabletext"/>
            </w:pPr>
            <w:r w:rsidRPr="00CA4BC6">
              <w:t xml:space="preserve">Teacher: </w:t>
            </w:r>
          </w:p>
          <w:p w:rsidR="00180A93" w:rsidRDefault="00180A93" w:rsidP="00287F00">
            <w:pPr>
              <w:pStyle w:val="Tablebullets"/>
            </w:pPr>
            <w:r>
              <w:t>supports investigations in exploratory play, e.g. prompting explanation of comparison of everyday objects</w:t>
            </w:r>
          </w:p>
          <w:p w:rsidR="00180A93" w:rsidRDefault="00180A93" w:rsidP="00287F00">
            <w:pPr>
              <w:pStyle w:val="Tablebullets"/>
            </w:pPr>
            <w:r>
              <w:t>facilitates drawing of diagrams and writing of explanations to demonstrate strategies for comparing</w:t>
            </w:r>
            <w:bookmarkStart w:id="1" w:name="OLE_LINK2"/>
            <w:bookmarkStart w:id="2" w:name="OLE_LINK3"/>
          </w:p>
          <w:p w:rsidR="00180A93" w:rsidRDefault="00180A93" w:rsidP="00287F00">
            <w:pPr>
              <w:pStyle w:val="Tablebullets"/>
            </w:pPr>
            <w:r>
              <w:t xml:space="preserve">introduces new vocabulary and models the use of new words within all play experiences relating to comparing measurements </w:t>
            </w:r>
          </w:p>
          <w:p w:rsidR="00180A93" w:rsidRDefault="00180A93" w:rsidP="00287F00">
            <w:pPr>
              <w:pStyle w:val="Tablebullets"/>
            </w:pPr>
            <w:r>
              <w:t xml:space="preserve">begins to create relevant </w:t>
            </w:r>
            <w:r w:rsidR="00E04373">
              <w:t>w</w:t>
            </w:r>
            <w:r>
              <w:t xml:space="preserve">ord </w:t>
            </w:r>
            <w:r w:rsidR="00E04373">
              <w:t>w</w:t>
            </w:r>
            <w:r>
              <w:t>alls, including pictures.</w:t>
            </w:r>
          </w:p>
          <w:bookmarkEnd w:id="1"/>
          <w:bookmarkEnd w:id="2"/>
          <w:p w:rsidR="00180A93" w:rsidRDefault="00180A93" w:rsidP="00287F00">
            <w:pPr>
              <w:pStyle w:val="Tablesubhead"/>
            </w:pPr>
            <w:r w:rsidRPr="007C7A82">
              <w:t xml:space="preserve">Exploratory </w:t>
            </w:r>
            <w:r w:rsidR="00E04373">
              <w:t>p</w:t>
            </w:r>
            <w:r w:rsidRPr="007C7A82">
              <w:t xml:space="preserve">lay: </w:t>
            </w:r>
            <w:r>
              <w:t>Out</w:t>
            </w:r>
            <w:r w:rsidRPr="007C7A82">
              <w:t>doors</w:t>
            </w:r>
          </w:p>
          <w:p w:rsidR="00180A93" w:rsidRPr="00CA4BC6" w:rsidRDefault="00180A93" w:rsidP="00287F00">
            <w:pPr>
              <w:pStyle w:val="Tabletext"/>
            </w:pPr>
            <w:r w:rsidRPr="00CA4BC6">
              <w:t>Teacher</w:t>
            </w:r>
            <w:r>
              <w:t xml:space="preserve"> and c</w:t>
            </w:r>
            <w:r w:rsidRPr="00CA4BC6">
              <w:t>hildren:</w:t>
            </w:r>
          </w:p>
          <w:p w:rsidR="00180A93" w:rsidRPr="006E2EAB" w:rsidRDefault="00180A93" w:rsidP="00287F00">
            <w:pPr>
              <w:pStyle w:val="Tablebullets"/>
              <w:rPr>
                <w:i/>
              </w:rPr>
            </w:pPr>
            <w:r>
              <w:t>actively investigate quantities,</w:t>
            </w:r>
            <w:r w:rsidR="00E04373">
              <w:t xml:space="preserve"> and</w:t>
            </w:r>
            <w:r>
              <w:t xml:space="preserve"> select and create suitable measurements</w:t>
            </w:r>
          </w:p>
          <w:p w:rsidR="00180A93" w:rsidRPr="00213FE8" w:rsidRDefault="00180A93" w:rsidP="00287F00">
            <w:pPr>
              <w:pStyle w:val="Tablebullets"/>
              <w:rPr>
                <w:i/>
              </w:rPr>
            </w:pPr>
            <w:r>
              <w:t>use a variety of scales, rulers, tape measures and other measuring tools to talk about and compare length, mass, capacity, time.</w:t>
            </w:r>
            <w:r w:rsidR="00E04373">
              <w:t xml:space="preserve"> They i</w:t>
            </w:r>
            <w:r>
              <w:t xml:space="preserve">nvestigate how we use measurement in everyday situations. </w:t>
            </w:r>
          </w:p>
          <w:p w:rsidR="00180A93" w:rsidRPr="00CA4BC6" w:rsidRDefault="00180A93" w:rsidP="00287F00">
            <w:pPr>
              <w:pStyle w:val="Tabletext"/>
            </w:pPr>
            <w:r w:rsidRPr="00CA4BC6">
              <w:t xml:space="preserve">Teacher: </w:t>
            </w:r>
          </w:p>
          <w:p w:rsidR="00180A93" w:rsidRDefault="00180A93" w:rsidP="00287F00">
            <w:pPr>
              <w:pStyle w:val="Tablebullets"/>
            </w:pPr>
            <w:r>
              <w:t xml:space="preserve">makes explicit the language of comparison of quantities during exploratory play, e.g. in sand and water play. </w:t>
            </w:r>
          </w:p>
          <w:p w:rsidR="00180A93" w:rsidRPr="007C7A82" w:rsidRDefault="00180A93" w:rsidP="00287F00">
            <w:pPr>
              <w:pStyle w:val="Tablesubhead"/>
            </w:pPr>
            <w:r>
              <w:t>Routines and transitions</w:t>
            </w:r>
          </w:p>
          <w:p w:rsidR="00180A93" w:rsidRPr="00030551" w:rsidRDefault="00180A93" w:rsidP="00287F00">
            <w:pPr>
              <w:pStyle w:val="Tablebullets"/>
            </w:pPr>
            <w:r w:rsidRPr="00CA4BC6">
              <w:t>Teacher</w:t>
            </w:r>
            <w:r>
              <w:t xml:space="preserve"> and </w:t>
            </w:r>
            <w:r w:rsidRPr="00CA4BC6">
              <w:t>children</w:t>
            </w:r>
            <w:r>
              <w:t xml:space="preserve"> play </w:t>
            </w:r>
            <w:r w:rsidRPr="00CC151A">
              <w:t>transition</w:t>
            </w:r>
            <w:r>
              <w:t xml:space="preserve"> games, e.g. “pass the bag”</w:t>
            </w:r>
            <w:r w:rsidR="00E04373">
              <w:t xml:space="preserve">, where </w:t>
            </w:r>
            <w:r>
              <w:t>children select and compare two objects (hefting, length).</w:t>
            </w:r>
          </w:p>
        </w:tc>
        <w:tc>
          <w:tcPr>
            <w:tcW w:w="1203" w:type="pct"/>
            <w:tcBorders>
              <w:bottom w:val="single" w:sz="4" w:space="0" w:color="00928F"/>
            </w:tcBorders>
            <w:shd w:val="clear" w:color="auto" w:fill="auto"/>
          </w:tcPr>
          <w:p w:rsidR="00180A93" w:rsidRDefault="00180A93" w:rsidP="00FA4C69">
            <w:pPr>
              <w:pStyle w:val="Tabletext"/>
            </w:pPr>
            <w:r>
              <w:t xml:space="preserve">Section 6 of the </w:t>
            </w:r>
            <w:r>
              <w:rPr>
                <w:i/>
              </w:rPr>
              <w:t xml:space="preserve">Disability Standards for Education </w:t>
            </w:r>
            <w:r>
              <w:t>(The Standards for Curriculum Development, Accreditation and Delivery) state</w:t>
            </w:r>
            <w:r w:rsidR="00C01025">
              <w:t>s</w:t>
            </w:r>
            <w:r>
              <w:t xml:space="preserve"> that education providers, including class teachers, must take reasonable steps to ensure a course/program is designed to allow any student to participate and experience success in learning. </w:t>
            </w:r>
          </w:p>
          <w:p w:rsidR="00180A93" w:rsidRDefault="00180A93"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180A93" w:rsidRPr="00D07D4D" w:rsidRDefault="00180A93" w:rsidP="00D07D4D">
            <w:pPr>
              <w:pStyle w:val="Tabletext"/>
            </w:pPr>
          </w:p>
        </w:tc>
        <w:tc>
          <w:tcPr>
            <w:tcW w:w="1117" w:type="pct"/>
            <w:tcBorders>
              <w:bottom w:val="single" w:sz="4" w:space="0" w:color="00928F"/>
            </w:tcBorders>
            <w:shd w:val="clear" w:color="auto" w:fill="auto"/>
          </w:tcPr>
          <w:p w:rsidR="00180A93" w:rsidRPr="008A7DD9" w:rsidRDefault="00180A93" w:rsidP="00287F00">
            <w:pPr>
              <w:pStyle w:val="Tabletext"/>
              <w:rPr>
                <w:b/>
              </w:rPr>
            </w:pPr>
            <w:r w:rsidRPr="008A7DD9">
              <w:rPr>
                <w:b/>
              </w:rPr>
              <w:t xml:space="preserve">ICT </w:t>
            </w:r>
          </w:p>
          <w:p w:rsidR="00180A93" w:rsidRPr="0041741A" w:rsidRDefault="00180A93" w:rsidP="00180A93">
            <w:pPr>
              <w:pStyle w:val="Tablebullets"/>
              <w:ind w:left="283" w:hanging="283"/>
            </w:pPr>
            <w:r w:rsidRPr="0041741A">
              <w:t>interactive whiteboards or learning objects that look at ordering and comparing</w:t>
            </w:r>
          </w:p>
          <w:p w:rsidR="00180A93" w:rsidRPr="008A7DD9" w:rsidRDefault="001B3CCE" w:rsidP="00287F00">
            <w:pPr>
              <w:pStyle w:val="Tabletext"/>
              <w:rPr>
                <w:b/>
              </w:rPr>
            </w:pPr>
            <w:r w:rsidRPr="008A7DD9">
              <w:rPr>
                <w:b/>
              </w:rPr>
              <w:t>Equipment</w:t>
            </w:r>
          </w:p>
          <w:p w:rsidR="00180A93" w:rsidRPr="00427FF0" w:rsidRDefault="00180A93" w:rsidP="003F2EBC">
            <w:pPr>
              <w:pStyle w:val="Tablebullets"/>
              <w:rPr>
                <w:szCs w:val="21"/>
              </w:rPr>
            </w:pPr>
            <w:r>
              <w:rPr>
                <w:szCs w:val="21"/>
              </w:rPr>
              <w:t>s</w:t>
            </w:r>
            <w:r w:rsidRPr="00427FF0">
              <w:rPr>
                <w:szCs w:val="21"/>
              </w:rPr>
              <w:t>coops</w:t>
            </w:r>
          </w:p>
          <w:p w:rsidR="00180A93" w:rsidRPr="00427FF0" w:rsidRDefault="00180A93" w:rsidP="003F2EBC">
            <w:pPr>
              <w:pStyle w:val="Tablebullets"/>
              <w:rPr>
                <w:szCs w:val="21"/>
              </w:rPr>
            </w:pPr>
            <w:r>
              <w:rPr>
                <w:szCs w:val="21"/>
              </w:rPr>
              <w:t>f</w:t>
            </w:r>
            <w:r w:rsidRPr="00427FF0">
              <w:rPr>
                <w:szCs w:val="21"/>
              </w:rPr>
              <w:t>unnels</w:t>
            </w:r>
          </w:p>
          <w:p w:rsidR="00180A93" w:rsidRPr="00427FF0" w:rsidRDefault="00180A93" w:rsidP="003F2EBC">
            <w:pPr>
              <w:pStyle w:val="Tablebullets"/>
              <w:rPr>
                <w:szCs w:val="21"/>
              </w:rPr>
            </w:pPr>
            <w:r>
              <w:rPr>
                <w:szCs w:val="21"/>
              </w:rPr>
              <w:t>b</w:t>
            </w:r>
            <w:r w:rsidRPr="00427FF0">
              <w:rPr>
                <w:szCs w:val="21"/>
              </w:rPr>
              <w:t>uckets</w:t>
            </w:r>
          </w:p>
          <w:p w:rsidR="00180A93" w:rsidRDefault="00180A93" w:rsidP="003F2EBC">
            <w:pPr>
              <w:pStyle w:val="Tablebullets"/>
              <w:rPr>
                <w:szCs w:val="21"/>
              </w:rPr>
            </w:pPr>
            <w:r>
              <w:rPr>
                <w:szCs w:val="21"/>
              </w:rPr>
              <w:t>b</w:t>
            </w:r>
            <w:r w:rsidRPr="00427FF0">
              <w:rPr>
                <w:szCs w:val="21"/>
              </w:rPr>
              <w:t>ottles</w:t>
            </w:r>
          </w:p>
          <w:p w:rsidR="00180A93" w:rsidRDefault="00180A93" w:rsidP="003F2EBC">
            <w:pPr>
              <w:pStyle w:val="Tablebullets"/>
              <w:rPr>
                <w:szCs w:val="21"/>
              </w:rPr>
            </w:pPr>
            <w:r>
              <w:rPr>
                <w:szCs w:val="21"/>
              </w:rPr>
              <w:t>sand</w:t>
            </w:r>
          </w:p>
          <w:p w:rsidR="00180A93" w:rsidRDefault="00180A93" w:rsidP="003F2EBC">
            <w:pPr>
              <w:pStyle w:val="Tablebullets"/>
              <w:rPr>
                <w:szCs w:val="21"/>
              </w:rPr>
            </w:pPr>
            <w:r>
              <w:rPr>
                <w:szCs w:val="21"/>
              </w:rPr>
              <w:t>water</w:t>
            </w:r>
          </w:p>
          <w:p w:rsidR="00180A93" w:rsidRDefault="00180A93" w:rsidP="003F2EBC">
            <w:pPr>
              <w:pStyle w:val="Tablebullets"/>
              <w:rPr>
                <w:szCs w:val="21"/>
              </w:rPr>
            </w:pPr>
            <w:r>
              <w:rPr>
                <w:szCs w:val="21"/>
              </w:rPr>
              <w:t>jugs</w:t>
            </w:r>
          </w:p>
          <w:p w:rsidR="00180A93" w:rsidRDefault="00180A93" w:rsidP="003F2EBC">
            <w:pPr>
              <w:pStyle w:val="Tablebullets"/>
              <w:rPr>
                <w:szCs w:val="21"/>
              </w:rPr>
            </w:pPr>
            <w:r>
              <w:rPr>
                <w:szCs w:val="21"/>
              </w:rPr>
              <w:t>measuring cups</w:t>
            </w:r>
          </w:p>
          <w:p w:rsidR="00180A93" w:rsidRDefault="00180A93" w:rsidP="003F2EBC">
            <w:pPr>
              <w:pStyle w:val="Tablebullets"/>
              <w:rPr>
                <w:szCs w:val="21"/>
              </w:rPr>
            </w:pPr>
            <w:r>
              <w:rPr>
                <w:szCs w:val="21"/>
              </w:rPr>
              <w:t>spoons</w:t>
            </w:r>
          </w:p>
          <w:p w:rsidR="00180A93" w:rsidRDefault="00180A93" w:rsidP="003F2EBC">
            <w:pPr>
              <w:pStyle w:val="Tablebullets"/>
              <w:rPr>
                <w:szCs w:val="21"/>
              </w:rPr>
            </w:pPr>
            <w:r>
              <w:rPr>
                <w:szCs w:val="21"/>
              </w:rPr>
              <w:t>rain gauge</w:t>
            </w:r>
          </w:p>
          <w:p w:rsidR="00180A93" w:rsidRDefault="00180A93" w:rsidP="003F2EBC">
            <w:pPr>
              <w:pStyle w:val="Tablebullets"/>
              <w:rPr>
                <w:szCs w:val="21"/>
              </w:rPr>
            </w:pPr>
            <w:r>
              <w:rPr>
                <w:szCs w:val="21"/>
              </w:rPr>
              <w:t>measuring tapes</w:t>
            </w:r>
          </w:p>
          <w:p w:rsidR="00180A93" w:rsidRPr="0041741A" w:rsidRDefault="00180A93" w:rsidP="003F2EBC">
            <w:pPr>
              <w:pStyle w:val="Tablebullets"/>
              <w:rPr>
                <w:szCs w:val="21"/>
              </w:rPr>
            </w:pPr>
            <w:r>
              <w:t>blocks</w:t>
            </w:r>
          </w:p>
        </w:tc>
      </w:tr>
      <w:tr w:rsidR="00E56A9B" w:rsidRPr="00030551" w:rsidTr="00E56A9B">
        <w:trPr>
          <w:trHeight w:val="272"/>
          <w:jc w:val="center"/>
        </w:trPr>
        <w:tc>
          <w:tcPr>
            <w:tcW w:w="2680" w:type="pct"/>
            <w:tcBorders>
              <w:top w:val="single" w:sz="4" w:space="0" w:color="00928F"/>
            </w:tcBorders>
            <w:shd w:val="clear" w:color="auto" w:fill="auto"/>
          </w:tcPr>
          <w:p w:rsidR="00E56A9B" w:rsidRDefault="00E56A9B" w:rsidP="00E56A9B">
            <w:pPr>
              <w:pStyle w:val="Tablebullets"/>
              <w:keepNext/>
            </w:pPr>
            <w:r w:rsidRPr="00CA4BC6">
              <w:t>Teacher</w:t>
            </w:r>
            <w:r>
              <w:t xml:space="preserve">, on a daily basis, makes explicit the regular patterns of the day through use of a digital daily planner. </w:t>
            </w:r>
          </w:p>
          <w:p w:rsidR="00E56A9B" w:rsidRPr="007C7A82" w:rsidRDefault="00E56A9B" w:rsidP="00287F00">
            <w:pPr>
              <w:pStyle w:val="Tablesubhead"/>
            </w:pPr>
            <w:r>
              <w:t>Real-life situations</w:t>
            </w:r>
          </w:p>
          <w:p w:rsidR="00E56A9B" w:rsidRPr="003727F0" w:rsidRDefault="00E56A9B" w:rsidP="00287F00">
            <w:pPr>
              <w:pStyle w:val="Tablebullets"/>
            </w:pPr>
            <w:r>
              <w:t xml:space="preserve">Teacher and </w:t>
            </w:r>
            <w:r w:rsidRPr="00CA4BC6">
              <w:t>children</w:t>
            </w:r>
            <w:r>
              <w:t xml:space="preserve"> collaboratively investigate comparison problems and draw solutions.</w:t>
            </w:r>
            <w:r w:rsidRPr="003727F0">
              <w:t xml:space="preserve"> </w:t>
            </w:r>
          </w:p>
          <w:p w:rsidR="00E56A9B" w:rsidRDefault="00E56A9B" w:rsidP="00287F00">
            <w:pPr>
              <w:pStyle w:val="Tablebullets"/>
            </w:pPr>
            <w:r w:rsidRPr="00CA4BC6">
              <w:t>Teacher</w:t>
            </w:r>
            <w:r>
              <w:t xml:space="preserve"> uses comparative language to describe objects brought into the classroom.</w:t>
            </w:r>
          </w:p>
          <w:p w:rsidR="00E56A9B" w:rsidRPr="007C7A82" w:rsidRDefault="00E56A9B" w:rsidP="00287F00">
            <w:pPr>
              <w:pStyle w:val="Tablesubhead"/>
            </w:pPr>
            <w:r>
              <w:t>Focused learning and teaching</w:t>
            </w:r>
          </w:p>
          <w:p w:rsidR="00E56A9B" w:rsidRPr="00CA4BC6" w:rsidRDefault="00E56A9B" w:rsidP="00287F00">
            <w:pPr>
              <w:pStyle w:val="Tabletext"/>
            </w:pPr>
            <w:r w:rsidRPr="00CA4BC6">
              <w:t>Teachers</w:t>
            </w:r>
            <w:r>
              <w:t xml:space="preserve"> and</w:t>
            </w:r>
            <w:r w:rsidRPr="00CA4BC6">
              <w:t xml:space="preserve"> children:</w:t>
            </w:r>
          </w:p>
          <w:p w:rsidR="00E56A9B" w:rsidRDefault="00E56A9B" w:rsidP="00287F00">
            <w:pPr>
              <w:pStyle w:val="Tablebullets"/>
            </w:pPr>
            <w:r>
              <w:t xml:space="preserve">roleplay being human balance scales, e.g. they hold up their arms: “Imagine if I had an orange in this hand and a brick in the other. What would happen? Why?” </w:t>
            </w:r>
          </w:p>
          <w:p w:rsidR="00E56A9B" w:rsidRDefault="00E56A9B" w:rsidP="00287F00">
            <w:pPr>
              <w:pStyle w:val="Tablebullets"/>
            </w:pPr>
            <w:r>
              <w:t>actively compare different measurements, such as length of the wrist and length around head.</w:t>
            </w:r>
          </w:p>
          <w:p w:rsidR="00E56A9B" w:rsidRPr="00CA4BC6" w:rsidRDefault="00E56A9B" w:rsidP="00287F00">
            <w:pPr>
              <w:pStyle w:val="Tabletext"/>
            </w:pPr>
            <w:r w:rsidRPr="00CA4BC6">
              <w:t>Teacher:</w:t>
            </w:r>
          </w:p>
          <w:p w:rsidR="00E56A9B" w:rsidRPr="00DE17C2" w:rsidRDefault="00E56A9B" w:rsidP="00287F00">
            <w:pPr>
              <w:pStyle w:val="Tablebullets"/>
            </w:pPr>
            <w:r>
              <w:t>creates counting and sorting activities using a variety of materials</w:t>
            </w:r>
          </w:p>
          <w:p w:rsidR="00E56A9B" w:rsidRDefault="00E56A9B" w:rsidP="00287F00">
            <w:pPr>
              <w:pStyle w:val="Tablebullets"/>
            </w:pPr>
            <w:r>
              <w:t>uses explicit language of comparison including:</w:t>
            </w:r>
          </w:p>
          <w:p w:rsidR="00E56A9B" w:rsidRDefault="00E56A9B" w:rsidP="00287F00">
            <w:pPr>
              <w:pStyle w:val="Tablebullets2"/>
              <w:numPr>
                <w:ilvl w:val="0"/>
                <w:numId w:val="8"/>
              </w:numPr>
              <w:ind w:left="568" w:hanging="284"/>
            </w:pPr>
            <w:r>
              <w:t>longer: length, long, longer, longest, longer than, short, shorter, shortest, shorter than, height</w:t>
            </w:r>
          </w:p>
          <w:p w:rsidR="00E56A9B" w:rsidRDefault="00E56A9B" w:rsidP="00287F00">
            <w:pPr>
              <w:pStyle w:val="Tablebullets2"/>
              <w:numPr>
                <w:ilvl w:val="0"/>
                <w:numId w:val="8"/>
              </w:numPr>
              <w:ind w:left="568" w:hanging="284"/>
            </w:pPr>
            <w:r>
              <w:t>heavier: mass, heavy, light, heavier than, lighter than, scales, balance</w:t>
            </w:r>
          </w:p>
          <w:p w:rsidR="00E56A9B" w:rsidRDefault="00E56A9B" w:rsidP="00287F00">
            <w:pPr>
              <w:pStyle w:val="Tablebullets2"/>
              <w:numPr>
                <w:ilvl w:val="0"/>
                <w:numId w:val="8"/>
              </w:numPr>
              <w:ind w:left="568" w:hanging="284"/>
            </w:pPr>
            <w:r>
              <w:t>holds more: capacity, volume, full, empty, half full, hollow, solid</w:t>
            </w:r>
          </w:p>
          <w:p w:rsidR="00E56A9B" w:rsidRPr="00DE17C2" w:rsidRDefault="00E56A9B" w:rsidP="00287F00">
            <w:pPr>
              <w:pStyle w:val="Tablebullets2"/>
              <w:numPr>
                <w:ilvl w:val="0"/>
                <w:numId w:val="8"/>
              </w:numPr>
              <w:ind w:left="568" w:hanging="284"/>
            </w:pPr>
            <w:r>
              <w:t>time: fast, slow, slowly, quick, quickly, hurry, before, after</w:t>
            </w:r>
          </w:p>
          <w:p w:rsidR="00E56A9B" w:rsidRPr="00DE17C2" w:rsidRDefault="00E56A9B" w:rsidP="00180A93">
            <w:pPr>
              <w:pStyle w:val="Tablebullets"/>
              <w:ind w:left="283" w:hanging="283"/>
            </w:pPr>
            <w:r>
              <w:t>models indirect comparison of measurement through scaffolded experiences with real-life materials describing attributes used to make comparisons</w:t>
            </w:r>
          </w:p>
          <w:p w:rsidR="00E56A9B" w:rsidRPr="00DE17C2" w:rsidRDefault="00E56A9B" w:rsidP="00180A93">
            <w:pPr>
              <w:pStyle w:val="Tablebullets"/>
              <w:ind w:left="283" w:hanging="283"/>
            </w:pPr>
            <w:r>
              <w:t>models the hefting process to compare objects</w:t>
            </w:r>
          </w:p>
          <w:p w:rsidR="00E56A9B" w:rsidRDefault="00E56A9B" w:rsidP="00180A93">
            <w:pPr>
              <w:pStyle w:val="Tablebullets"/>
              <w:ind w:left="283" w:hanging="283"/>
            </w:pPr>
            <w:r>
              <w:t>reads texts to children that explore and expand on comparative measurement language.</w:t>
            </w:r>
          </w:p>
        </w:tc>
        <w:tc>
          <w:tcPr>
            <w:tcW w:w="1203" w:type="pct"/>
            <w:tcBorders>
              <w:top w:val="single" w:sz="4" w:space="0" w:color="00928F"/>
            </w:tcBorders>
            <w:shd w:val="clear" w:color="auto" w:fill="auto"/>
          </w:tcPr>
          <w:p w:rsidR="00E56A9B" w:rsidRDefault="00E56A9B" w:rsidP="00D07D4D">
            <w:pPr>
              <w:pStyle w:val="Tabletext"/>
            </w:pPr>
          </w:p>
        </w:tc>
        <w:tc>
          <w:tcPr>
            <w:tcW w:w="1117" w:type="pct"/>
            <w:tcBorders>
              <w:top w:val="single" w:sz="4" w:space="0" w:color="00928F"/>
            </w:tcBorders>
            <w:shd w:val="clear" w:color="auto" w:fill="auto"/>
          </w:tcPr>
          <w:p w:rsidR="00E56A9B" w:rsidRPr="008A7DD9" w:rsidRDefault="00E56A9B" w:rsidP="0044499C">
            <w:pPr>
              <w:pStyle w:val="Tablebullets"/>
              <w:numPr>
                <w:ilvl w:val="0"/>
                <w:numId w:val="0"/>
              </w:numPr>
              <w:ind w:left="284"/>
              <w:rPr>
                <w:b/>
              </w:rPr>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children on their strengths and areas for improvement.</w:t>
            </w:r>
          </w:p>
          <w:p w:rsidR="00B622C7" w:rsidRPr="00D07D4D" w:rsidRDefault="00F530ED" w:rsidP="00D07D4D">
            <w:pPr>
              <w:pStyle w:val="Tabletext"/>
            </w:pPr>
            <w:r>
              <w:t>Children</w:t>
            </w:r>
            <w:r w:rsidR="00B622C7" w:rsidRPr="00D07D4D">
              <w:t xml:space="preserve"> reflect on and discuss with their teachers or peers what they can do well and what they need to improve.</w:t>
            </w:r>
          </w:p>
          <w:p w:rsidR="00B622C7" w:rsidRPr="00D07D4D" w:rsidRDefault="00B622C7" w:rsidP="00D07D4D">
            <w:pPr>
              <w:pStyle w:val="Tabletext"/>
            </w:pPr>
            <w:r w:rsidRPr="00D07D4D">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p w:rsidR="00A074F3" w:rsidRPr="008300AE" w:rsidRDefault="00A074F3"/>
    <w:sectPr w:rsidR="00A074F3" w:rsidRPr="008300AE" w:rsidSect="00D45F49">
      <w:footerReference w:type="even" r:id="rId18"/>
      <w:footerReference w:type="default" r:id="rId19"/>
      <w:headerReference w:type="first" r:id="rId20"/>
      <w:footerReference w:type="first" r:id="rId21"/>
      <w:pgSz w:w="16840" w:h="11907" w:orient="landscape" w:code="9"/>
      <w:pgMar w:top="1134" w:right="964" w:bottom="1418"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B4" w:rsidRDefault="00204FB4">
      <w:r>
        <w:separator/>
      </w:r>
    </w:p>
  </w:endnote>
  <w:endnote w:type="continuationSeparator" w:id="0">
    <w:p w:rsidR="00204FB4" w:rsidRDefault="0020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5F" w:rsidRDefault="0034485F"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21C0F">
      <w:rPr>
        <w:rStyle w:val="Footerbold"/>
        <w:noProof/>
      </w:rPr>
      <w:t>2</w:t>
    </w:r>
    <w:r w:rsidRPr="001947AE">
      <w:rPr>
        <w:rStyle w:val="Footerbold"/>
      </w:rPr>
      <w:fldChar w:fldCharType="end"/>
    </w:r>
    <w:r w:rsidRPr="00AA55F1">
      <w:tab/>
      <w:t>|</w:t>
    </w:r>
    <w:r w:rsidRPr="00AA55F1">
      <w:tab/>
    </w:r>
    <w:r>
      <w:rPr>
        <w:rStyle w:val="Footerbold"/>
      </w:rPr>
      <w:t>Prep</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5F" w:rsidRDefault="0034485F"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ED3C27">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21C0F">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5F" w:rsidRDefault="00221C0F"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B4" w:rsidRDefault="00204FB4">
      <w:r>
        <w:separator/>
      </w:r>
    </w:p>
  </w:footnote>
  <w:footnote w:type="continuationSeparator" w:id="0">
    <w:p w:rsidR="00204FB4" w:rsidRDefault="0020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5F" w:rsidRPr="002E4C72" w:rsidRDefault="00221C0F"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34485F" w:rsidTr="004E0C69">
      <w:tc>
        <w:tcPr>
          <w:tcW w:w="10450" w:type="dxa"/>
          <w:shd w:val="clear" w:color="auto" w:fill="auto"/>
        </w:tcPr>
        <w:p w:rsidR="0034485F" w:rsidRPr="00F561C0" w:rsidRDefault="0034485F" w:rsidP="00F561C0">
          <w:r w:rsidRPr="00F561C0">
            <w:t>Insert fact sheet title</w:t>
          </w:r>
        </w:p>
        <w:p w:rsidR="0034485F" w:rsidRPr="00F561C0" w:rsidRDefault="0034485F" w:rsidP="00F561C0">
          <w:r w:rsidRPr="00F561C0">
            <w:t>Insert fact sheet subtitle (if necessary)</w:t>
          </w:r>
        </w:p>
        <w:p w:rsidR="0034485F" w:rsidRPr="004E0C69" w:rsidRDefault="0034485F" w:rsidP="004E0C69">
          <w:pPr>
            <w:tabs>
              <w:tab w:val="left" w:pos="-110"/>
              <w:tab w:val="left" w:pos="220"/>
            </w:tabs>
            <w:ind w:left="-437"/>
            <w:rPr>
              <w:color w:val="00928F"/>
              <w:szCs w:val="16"/>
            </w:rPr>
          </w:pPr>
        </w:p>
      </w:tc>
    </w:tr>
  </w:tbl>
  <w:p w:rsidR="0034485F" w:rsidRPr="00954490" w:rsidRDefault="0034485F"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7E"/>
    <w:rsid w:val="00001DE7"/>
    <w:rsid w:val="00025D91"/>
    <w:rsid w:val="00030551"/>
    <w:rsid w:val="00032413"/>
    <w:rsid w:val="00033DBD"/>
    <w:rsid w:val="00035203"/>
    <w:rsid w:val="00042417"/>
    <w:rsid w:val="00042CCA"/>
    <w:rsid w:val="00043015"/>
    <w:rsid w:val="00046924"/>
    <w:rsid w:val="00061C7E"/>
    <w:rsid w:val="0006205A"/>
    <w:rsid w:val="000658BE"/>
    <w:rsid w:val="00067264"/>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2D55"/>
    <w:rsid w:val="000D4545"/>
    <w:rsid w:val="000E1FFE"/>
    <w:rsid w:val="000E3F33"/>
    <w:rsid w:val="000E49E2"/>
    <w:rsid w:val="000F0020"/>
    <w:rsid w:val="000F1EC4"/>
    <w:rsid w:val="000F76EF"/>
    <w:rsid w:val="001029DB"/>
    <w:rsid w:val="0012142A"/>
    <w:rsid w:val="00123F10"/>
    <w:rsid w:val="00124A32"/>
    <w:rsid w:val="00130772"/>
    <w:rsid w:val="00135C0D"/>
    <w:rsid w:val="00135DA5"/>
    <w:rsid w:val="00140672"/>
    <w:rsid w:val="00145904"/>
    <w:rsid w:val="0015354A"/>
    <w:rsid w:val="001551A7"/>
    <w:rsid w:val="001703E9"/>
    <w:rsid w:val="001739A8"/>
    <w:rsid w:val="00177A03"/>
    <w:rsid w:val="00180A93"/>
    <w:rsid w:val="001947AE"/>
    <w:rsid w:val="001975A9"/>
    <w:rsid w:val="001A51A3"/>
    <w:rsid w:val="001A7D7B"/>
    <w:rsid w:val="001B3CCE"/>
    <w:rsid w:val="001C11BE"/>
    <w:rsid w:val="001C6D32"/>
    <w:rsid w:val="001D6C85"/>
    <w:rsid w:val="001E1961"/>
    <w:rsid w:val="001F1CE1"/>
    <w:rsid w:val="001F2178"/>
    <w:rsid w:val="001F6C01"/>
    <w:rsid w:val="00200478"/>
    <w:rsid w:val="002008B6"/>
    <w:rsid w:val="0020301A"/>
    <w:rsid w:val="00204FB4"/>
    <w:rsid w:val="00205D97"/>
    <w:rsid w:val="00207832"/>
    <w:rsid w:val="00210577"/>
    <w:rsid w:val="00212A63"/>
    <w:rsid w:val="00221C0F"/>
    <w:rsid w:val="00221C9C"/>
    <w:rsid w:val="00227B1B"/>
    <w:rsid w:val="00230B64"/>
    <w:rsid w:val="00233BB5"/>
    <w:rsid w:val="00234025"/>
    <w:rsid w:val="002538C9"/>
    <w:rsid w:val="00274EBE"/>
    <w:rsid w:val="0028641F"/>
    <w:rsid w:val="00286A7F"/>
    <w:rsid w:val="00287F00"/>
    <w:rsid w:val="00292FF4"/>
    <w:rsid w:val="002A67FA"/>
    <w:rsid w:val="002B66CD"/>
    <w:rsid w:val="002C0575"/>
    <w:rsid w:val="002C1F67"/>
    <w:rsid w:val="002C3949"/>
    <w:rsid w:val="002C418C"/>
    <w:rsid w:val="002D23BF"/>
    <w:rsid w:val="002D290F"/>
    <w:rsid w:val="002D7859"/>
    <w:rsid w:val="002E4C72"/>
    <w:rsid w:val="002E5DB1"/>
    <w:rsid w:val="002F25CE"/>
    <w:rsid w:val="002F33A4"/>
    <w:rsid w:val="003044FC"/>
    <w:rsid w:val="0031651D"/>
    <w:rsid w:val="00330CF7"/>
    <w:rsid w:val="003361C7"/>
    <w:rsid w:val="003406AC"/>
    <w:rsid w:val="00343E0D"/>
    <w:rsid w:val="0034485F"/>
    <w:rsid w:val="00346E9C"/>
    <w:rsid w:val="003547DB"/>
    <w:rsid w:val="0036333C"/>
    <w:rsid w:val="003636A6"/>
    <w:rsid w:val="00364E09"/>
    <w:rsid w:val="00365706"/>
    <w:rsid w:val="00366376"/>
    <w:rsid w:val="003664A3"/>
    <w:rsid w:val="00370703"/>
    <w:rsid w:val="00372E92"/>
    <w:rsid w:val="00373EC2"/>
    <w:rsid w:val="00374483"/>
    <w:rsid w:val="00393E8B"/>
    <w:rsid w:val="0039537C"/>
    <w:rsid w:val="00396C14"/>
    <w:rsid w:val="003B07B0"/>
    <w:rsid w:val="003C3C27"/>
    <w:rsid w:val="003C5172"/>
    <w:rsid w:val="003C6914"/>
    <w:rsid w:val="003D1F55"/>
    <w:rsid w:val="003D7CEA"/>
    <w:rsid w:val="003E0E83"/>
    <w:rsid w:val="003E62B0"/>
    <w:rsid w:val="003F1A88"/>
    <w:rsid w:val="003F1B1C"/>
    <w:rsid w:val="003F2EBC"/>
    <w:rsid w:val="003F37BF"/>
    <w:rsid w:val="003F61AA"/>
    <w:rsid w:val="003F65E2"/>
    <w:rsid w:val="004005C2"/>
    <w:rsid w:val="004100FC"/>
    <w:rsid w:val="00415B31"/>
    <w:rsid w:val="004167A6"/>
    <w:rsid w:val="00417E9D"/>
    <w:rsid w:val="00423A60"/>
    <w:rsid w:val="00433BEC"/>
    <w:rsid w:val="0044499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92AAE"/>
    <w:rsid w:val="004A2506"/>
    <w:rsid w:val="004A3149"/>
    <w:rsid w:val="004A5D41"/>
    <w:rsid w:val="004A60BB"/>
    <w:rsid w:val="004A63FF"/>
    <w:rsid w:val="004A69B7"/>
    <w:rsid w:val="004A6B37"/>
    <w:rsid w:val="004B3AB1"/>
    <w:rsid w:val="004B495D"/>
    <w:rsid w:val="004C146C"/>
    <w:rsid w:val="004C3954"/>
    <w:rsid w:val="004C43C1"/>
    <w:rsid w:val="004C7384"/>
    <w:rsid w:val="004D04F0"/>
    <w:rsid w:val="004D19DD"/>
    <w:rsid w:val="004E0C69"/>
    <w:rsid w:val="004E5C44"/>
    <w:rsid w:val="004F36D4"/>
    <w:rsid w:val="004F3B8B"/>
    <w:rsid w:val="004F6801"/>
    <w:rsid w:val="004F6974"/>
    <w:rsid w:val="005052ED"/>
    <w:rsid w:val="005057A7"/>
    <w:rsid w:val="00512C81"/>
    <w:rsid w:val="005138E3"/>
    <w:rsid w:val="0052010F"/>
    <w:rsid w:val="005213F2"/>
    <w:rsid w:val="0052313B"/>
    <w:rsid w:val="0053281C"/>
    <w:rsid w:val="00532DA1"/>
    <w:rsid w:val="0053360D"/>
    <w:rsid w:val="00537D1B"/>
    <w:rsid w:val="00544562"/>
    <w:rsid w:val="0055092E"/>
    <w:rsid w:val="005632AE"/>
    <w:rsid w:val="005665EE"/>
    <w:rsid w:val="005678C2"/>
    <w:rsid w:val="005710FF"/>
    <w:rsid w:val="00576206"/>
    <w:rsid w:val="00580090"/>
    <w:rsid w:val="005915C0"/>
    <w:rsid w:val="005A29D0"/>
    <w:rsid w:val="005A481B"/>
    <w:rsid w:val="005A6DDB"/>
    <w:rsid w:val="005C0F27"/>
    <w:rsid w:val="005C5B93"/>
    <w:rsid w:val="005C68F1"/>
    <w:rsid w:val="005D333E"/>
    <w:rsid w:val="005D7E39"/>
    <w:rsid w:val="005E1659"/>
    <w:rsid w:val="005E1AD6"/>
    <w:rsid w:val="005E6236"/>
    <w:rsid w:val="005E70B4"/>
    <w:rsid w:val="005F1C74"/>
    <w:rsid w:val="005F397C"/>
    <w:rsid w:val="005F7BF6"/>
    <w:rsid w:val="00604E1C"/>
    <w:rsid w:val="00610F64"/>
    <w:rsid w:val="00622EEE"/>
    <w:rsid w:val="00632199"/>
    <w:rsid w:val="00642462"/>
    <w:rsid w:val="00643FEC"/>
    <w:rsid w:val="00644EF5"/>
    <w:rsid w:val="00660414"/>
    <w:rsid w:val="00677F9B"/>
    <w:rsid w:val="00683DF5"/>
    <w:rsid w:val="00686073"/>
    <w:rsid w:val="00686DF2"/>
    <w:rsid w:val="00687891"/>
    <w:rsid w:val="00687F39"/>
    <w:rsid w:val="00696083"/>
    <w:rsid w:val="006A03B7"/>
    <w:rsid w:val="006A5222"/>
    <w:rsid w:val="006B22CB"/>
    <w:rsid w:val="006B4BC2"/>
    <w:rsid w:val="006B57D6"/>
    <w:rsid w:val="006B6B74"/>
    <w:rsid w:val="006B708E"/>
    <w:rsid w:val="006B71ED"/>
    <w:rsid w:val="006C7B26"/>
    <w:rsid w:val="006E229B"/>
    <w:rsid w:val="006E5417"/>
    <w:rsid w:val="006F6BFB"/>
    <w:rsid w:val="0070158E"/>
    <w:rsid w:val="00704F62"/>
    <w:rsid w:val="00704FE1"/>
    <w:rsid w:val="00707D7E"/>
    <w:rsid w:val="00711051"/>
    <w:rsid w:val="007211E7"/>
    <w:rsid w:val="00722885"/>
    <w:rsid w:val="00722EF6"/>
    <w:rsid w:val="00726039"/>
    <w:rsid w:val="00727790"/>
    <w:rsid w:val="007322C6"/>
    <w:rsid w:val="00737522"/>
    <w:rsid w:val="00751DEF"/>
    <w:rsid w:val="0075321B"/>
    <w:rsid w:val="00783EF7"/>
    <w:rsid w:val="00791E9D"/>
    <w:rsid w:val="0079287A"/>
    <w:rsid w:val="00795430"/>
    <w:rsid w:val="007A570B"/>
    <w:rsid w:val="007B1E7A"/>
    <w:rsid w:val="007B343C"/>
    <w:rsid w:val="007B69DC"/>
    <w:rsid w:val="007C7063"/>
    <w:rsid w:val="007E14E8"/>
    <w:rsid w:val="007E6289"/>
    <w:rsid w:val="00801CCA"/>
    <w:rsid w:val="008035EA"/>
    <w:rsid w:val="008068E1"/>
    <w:rsid w:val="008108D8"/>
    <w:rsid w:val="00814CF4"/>
    <w:rsid w:val="008248FF"/>
    <w:rsid w:val="00825079"/>
    <w:rsid w:val="008300AE"/>
    <w:rsid w:val="008331B9"/>
    <w:rsid w:val="00837BCB"/>
    <w:rsid w:val="008406A0"/>
    <w:rsid w:val="00842772"/>
    <w:rsid w:val="00842D41"/>
    <w:rsid w:val="008721B3"/>
    <w:rsid w:val="00880AC4"/>
    <w:rsid w:val="00881EFD"/>
    <w:rsid w:val="0088630F"/>
    <w:rsid w:val="0089026E"/>
    <w:rsid w:val="00893925"/>
    <w:rsid w:val="00893B6D"/>
    <w:rsid w:val="008A0351"/>
    <w:rsid w:val="008A12B0"/>
    <w:rsid w:val="008A1957"/>
    <w:rsid w:val="008A31C9"/>
    <w:rsid w:val="008A7DD9"/>
    <w:rsid w:val="008B3CF9"/>
    <w:rsid w:val="008B6DCC"/>
    <w:rsid w:val="008C4C1A"/>
    <w:rsid w:val="008C4F74"/>
    <w:rsid w:val="008C78DF"/>
    <w:rsid w:val="008D28C8"/>
    <w:rsid w:val="008D55A1"/>
    <w:rsid w:val="008D7E32"/>
    <w:rsid w:val="008E05BD"/>
    <w:rsid w:val="008E1D6A"/>
    <w:rsid w:val="008F2C5C"/>
    <w:rsid w:val="00905658"/>
    <w:rsid w:val="00905E95"/>
    <w:rsid w:val="00912EE6"/>
    <w:rsid w:val="009178C5"/>
    <w:rsid w:val="00933AC0"/>
    <w:rsid w:val="0094644D"/>
    <w:rsid w:val="00952A73"/>
    <w:rsid w:val="00954490"/>
    <w:rsid w:val="00954542"/>
    <w:rsid w:val="00962F1D"/>
    <w:rsid w:val="00976529"/>
    <w:rsid w:val="00980DE3"/>
    <w:rsid w:val="00987336"/>
    <w:rsid w:val="00987499"/>
    <w:rsid w:val="009915CF"/>
    <w:rsid w:val="00992940"/>
    <w:rsid w:val="009938E2"/>
    <w:rsid w:val="0099576A"/>
    <w:rsid w:val="00997F6F"/>
    <w:rsid w:val="009A2E8A"/>
    <w:rsid w:val="009A4FDB"/>
    <w:rsid w:val="009A5922"/>
    <w:rsid w:val="009B25E8"/>
    <w:rsid w:val="009C39B5"/>
    <w:rsid w:val="009E5523"/>
    <w:rsid w:val="009F58CB"/>
    <w:rsid w:val="009F6B3E"/>
    <w:rsid w:val="00A002C7"/>
    <w:rsid w:val="00A05D27"/>
    <w:rsid w:val="00A074F3"/>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67D60"/>
    <w:rsid w:val="00A7126D"/>
    <w:rsid w:val="00A72C38"/>
    <w:rsid w:val="00A7585D"/>
    <w:rsid w:val="00A84EFE"/>
    <w:rsid w:val="00A8733F"/>
    <w:rsid w:val="00A9101E"/>
    <w:rsid w:val="00A93A2E"/>
    <w:rsid w:val="00AB7E76"/>
    <w:rsid w:val="00AE7F34"/>
    <w:rsid w:val="00AF5074"/>
    <w:rsid w:val="00AF543B"/>
    <w:rsid w:val="00B02A7A"/>
    <w:rsid w:val="00B04CEE"/>
    <w:rsid w:val="00B05173"/>
    <w:rsid w:val="00B101E4"/>
    <w:rsid w:val="00B13144"/>
    <w:rsid w:val="00B34144"/>
    <w:rsid w:val="00B37312"/>
    <w:rsid w:val="00B4591B"/>
    <w:rsid w:val="00B57D25"/>
    <w:rsid w:val="00B622C7"/>
    <w:rsid w:val="00B62E37"/>
    <w:rsid w:val="00B84A97"/>
    <w:rsid w:val="00B94A92"/>
    <w:rsid w:val="00B96411"/>
    <w:rsid w:val="00BA0862"/>
    <w:rsid w:val="00BA5999"/>
    <w:rsid w:val="00BA5AF0"/>
    <w:rsid w:val="00BB200B"/>
    <w:rsid w:val="00BB52A6"/>
    <w:rsid w:val="00BC3210"/>
    <w:rsid w:val="00BC5F38"/>
    <w:rsid w:val="00BC6005"/>
    <w:rsid w:val="00BC7A1D"/>
    <w:rsid w:val="00BF3F25"/>
    <w:rsid w:val="00C01025"/>
    <w:rsid w:val="00C032ED"/>
    <w:rsid w:val="00C0652E"/>
    <w:rsid w:val="00C06B50"/>
    <w:rsid w:val="00C17C5D"/>
    <w:rsid w:val="00C313F2"/>
    <w:rsid w:val="00C32150"/>
    <w:rsid w:val="00C3798D"/>
    <w:rsid w:val="00C4086D"/>
    <w:rsid w:val="00C42C8E"/>
    <w:rsid w:val="00C44783"/>
    <w:rsid w:val="00C45ABF"/>
    <w:rsid w:val="00C466B4"/>
    <w:rsid w:val="00C518D4"/>
    <w:rsid w:val="00C52CEF"/>
    <w:rsid w:val="00C61DBF"/>
    <w:rsid w:val="00C64DE9"/>
    <w:rsid w:val="00C66DDE"/>
    <w:rsid w:val="00C80AA2"/>
    <w:rsid w:val="00C832FB"/>
    <w:rsid w:val="00C8500A"/>
    <w:rsid w:val="00C8736D"/>
    <w:rsid w:val="00C90DCF"/>
    <w:rsid w:val="00CA11A8"/>
    <w:rsid w:val="00CC1119"/>
    <w:rsid w:val="00CC1967"/>
    <w:rsid w:val="00CC1BEC"/>
    <w:rsid w:val="00CC3C1B"/>
    <w:rsid w:val="00CC3D59"/>
    <w:rsid w:val="00CC3ECB"/>
    <w:rsid w:val="00CC6607"/>
    <w:rsid w:val="00CC76F5"/>
    <w:rsid w:val="00CD553C"/>
    <w:rsid w:val="00CD7584"/>
    <w:rsid w:val="00CE1AC5"/>
    <w:rsid w:val="00CE5415"/>
    <w:rsid w:val="00CF0F03"/>
    <w:rsid w:val="00CF1348"/>
    <w:rsid w:val="00CF3501"/>
    <w:rsid w:val="00CF525B"/>
    <w:rsid w:val="00D02E2F"/>
    <w:rsid w:val="00D07D4D"/>
    <w:rsid w:val="00D1265B"/>
    <w:rsid w:val="00D14778"/>
    <w:rsid w:val="00D14D37"/>
    <w:rsid w:val="00D15107"/>
    <w:rsid w:val="00D1758B"/>
    <w:rsid w:val="00D22FF0"/>
    <w:rsid w:val="00D256AF"/>
    <w:rsid w:val="00D31800"/>
    <w:rsid w:val="00D32FF2"/>
    <w:rsid w:val="00D3575B"/>
    <w:rsid w:val="00D368B1"/>
    <w:rsid w:val="00D41726"/>
    <w:rsid w:val="00D43C31"/>
    <w:rsid w:val="00D45F49"/>
    <w:rsid w:val="00D53556"/>
    <w:rsid w:val="00D57915"/>
    <w:rsid w:val="00D6503F"/>
    <w:rsid w:val="00D71B49"/>
    <w:rsid w:val="00D75580"/>
    <w:rsid w:val="00D8768B"/>
    <w:rsid w:val="00D87F03"/>
    <w:rsid w:val="00D90209"/>
    <w:rsid w:val="00DA23E4"/>
    <w:rsid w:val="00DA2605"/>
    <w:rsid w:val="00DA3A7B"/>
    <w:rsid w:val="00DA3F5B"/>
    <w:rsid w:val="00DA4B94"/>
    <w:rsid w:val="00DB20D3"/>
    <w:rsid w:val="00DB5734"/>
    <w:rsid w:val="00DC2CDE"/>
    <w:rsid w:val="00DC2DC8"/>
    <w:rsid w:val="00DC3157"/>
    <w:rsid w:val="00DC4258"/>
    <w:rsid w:val="00DD721B"/>
    <w:rsid w:val="00DD75F1"/>
    <w:rsid w:val="00DD7720"/>
    <w:rsid w:val="00DE2DC2"/>
    <w:rsid w:val="00DE3527"/>
    <w:rsid w:val="00DE3E6E"/>
    <w:rsid w:val="00DE4B3F"/>
    <w:rsid w:val="00DE5D56"/>
    <w:rsid w:val="00DE7B47"/>
    <w:rsid w:val="00DF08A9"/>
    <w:rsid w:val="00DF7381"/>
    <w:rsid w:val="00E04373"/>
    <w:rsid w:val="00E2355E"/>
    <w:rsid w:val="00E24044"/>
    <w:rsid w:val="00E37EC9"/>
    <w:rsid w:val="00E411C4"/>
    <w:rsid w:val="00E4148E"/>
    <w:rsid w:val="00E450BE"/>
    <w:rsid w:val="00E45D49"/>
    <w:rsid w:val="00E515B0"/>
    <w:rsid w:val="00E56A9B"/>
    <w:rsid w:val="00E71123"/>
    <w:rsid w:val="00E71825"/>
    <w:rsid w:val="00E80F35"/>
    <w:rsid w:val="00E83BAD"/>
    <w:rsid w:val="00E925E1"/>
    <w:rsid w:val="00E965F1"/>
    <w:rsid w:val="00EB0690"/>
    <w:rsid w:val="00EB4E34"/>
    <w:rsid w:val="00EB73D5"/>
    <w:rsid w:val="00EC2B44"/>
    <w:rsid w:val="00EC46AF"/>
    <w:rsid w:val="00EC50E3"/>
    <w:rsid w:val="00EC7E25"/>
    <w:rsid w:val="00ED3C27"/>
    <w:rsid w:val="00ED6C05"/>
    <w:rsid w:val="00EE0AFE"/>
    <w:rsid w:val="00EE2DC7"/>
    <w:rsid w:val="00EF12C0"/>
    <w:rsid w:val="00EF6A81"/>
    <w:rsid w:val="00F019BF"/>
    <w:rsid w:val="00F01D63"/>
    <w:rsid w:val="00F04407"/>
    <w:rsid w:val="00F06591"/>
    <w:rsid w:val="00F11918"/>
    <w:rsid w:val="00F142C3"/>
    <w:rsid w:val="00F24A94"/>
    <w:rsid w:val="00F2553B"/>
    <w:rsid w:val="00F30500"/>
    <w:rsid w:val="00F3327C"/>
    <w:rsid w:val="00F4206B"/>
    <w:rsid w:val="00F43651"/>
    <w:rsid w:val="00F502AA"/>
    <w:rsid w:val="00F530ED"/>
    <w:rsid w:val="00F551FC"/>
    <w:rsid w:val="00F561C0"/>
    <w:rsid w:val="00F662FF"/>
    <w:rsid w:val="00F7113A"/>
    <w:rsid w:val="00F71A88"/>
    <w:rsid w:val="00F7378C"/>
    <w:rsid w:val="00F744DD"/>
    <w:rsid w:val="00F76677"/>
    <w:rsid w:val="00F76C98"/>
    <w:rsid w:val="00F8272A"/>
    <w:rsid w:val="00F920BA"/>
    <w:rsid w:val="00F96E23"/>
    <w:rsid w:val="00F97316"/>
    <w:rsid w:val="00FA0595"/>
    <w:rsid w:val="00FA449E"/>
    <w:rsid w:val="00FA4C69"/>
    <w:rsid w:val="00FB1D8F"/>
    <w:rsid w:val="00FB3688"/>
    <w:rsid w:val="00FC195A"/>
    <w:rsid w:val="00FC4958"/>
    <w:rsid w:val="00FD01ED"/>
    <w:rsid w:val="00FD16AA"/>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F06591"/>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F06591"/>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qsa.qld.edu.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MMG007"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australiancurriculum.edu.au/Curriculum/ContentDescription/ACMMG00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ustraliancurriculum.edu.au/Curriculum/ContentDescription/ACMNA289"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CAEF-0B30-4B11-A6CD-423F102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Prep unit overview — Australian Curriculum: Mathematics</vt:lpstr>
    </vt:vector>
  </TitlesOfParts>
  <Company>Queensland Studies Authority</Company>
  <LinksUpToDate>false</LinksUpToDate>
  <CharactersWithSpaces>13328</CharactersWithSpaces>
  <SharedDoc>false</SharedDoc>
  <HLinks>
    <vt:vector size="24" baseType="variant">
      <vt:variant>
        <vt:i4>7340144</vt:i4>
      </vt:variant>
      <vt:variant>
        <vt:i4>9</vt:i4>
      </vt:variant>
      <vt:variant>
        <vt:i4>0</vt:i4>
      </vt:variant>
      <vt:variant>
        <vt:i4>5</vt:i4>
      </vt:variant>
      <vt:variant>
        <vt:lpwstr>http://www.qsa.qld.edu.au/</vt:lpwstr>
      </vt:variant>
      <vt:variant>
        <vt:lpwstr/>
      </vt:variant>
      <vt:variant>
        <vt:i4>4456464</vt:i4>
      </vt:variant>
      <vt:variant>
        <vt:i4>6</vt:i4>
      </vt:variant>
      <vt:variant>
        <vt:i4>0</vt:i4>
      </vt:variant>
      <vt:variant>
        <vt:i4>5</vt:i4>
      </vt:variant>
      <vt:variant>
        <vt:lpwstr>http://www.australiancurriculum.edu.au/Curriculum/ContentDescription/ACMMG007</vt:lpwstr>
      </vt:variant>
      <vt:variant>
        <vt:lpwstr/>
      </vt:variant>
      <vt:variant>
        <vt:i4>4456464</vt:i4>
      </vt:variant>
      <vt:variant>
        <vt:i4>3</vt:i4>
      </vt:variant>
      <vt:variant>
        <vt:i4>0</vt:i4>
      </vt:variant>
      <vt:variant>
        <vt:i4>5</vt:i4>
      </vt:variant>
      <vt:variant>
        <vt:lpwstr>http://www.australiancurriculum.edu.au/Curriculum/ContentDescription/ACMMG006</vt:lpwstr>
      </vt:variant>
      <vt:variant>
        <vt:lpwstr/>
      </vt:variant>
      <vt:variant>
        <vt:i4>4849681</vt:i4>
      </vt:variant>
      <vt:variant>
        <vt:i4>0</vt:i4>
      </vt:variant>
      <vt:variant>
        <vt:i4>0</vt:i4>
      </vt:variant>
      <vt:variant>
        <vt:i4>5</vt:i4>
      </vt:variant>
      <vt:variant>
        <vt:lpwstr>http://www.australiancurriculum.edu.au/Curriculum/ContentDescription/ACMNA289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unit overview — Australian Curriculum: Mathematics</dc:title>
  <dc:subject>Australian Curriculum</dc:subject>
  <dc:creator>Queensland Studies Authority</dc:creator>
  <cp:keywords/>
  <cp:lastModifiedBy>QSA</cp:lastModifiedBy>
  <cp:revision>2</cp:revision>
  <cp:lastPrinted>2011-12-16T00:28:00Z</cp:lastPrinted>
  <dcterms:created xsi:type="dcterms:W3CDTF">2014-06-18T06:05:00Z</dcterms:created>
  <dcterms:modified xsi:type="dcterms:W3CDTF">2014-06-18T06:05:00Z</dcterms:modified>
</cp:coreProperties>
</file>