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CF0F03" w:rsidP="005213F2">
      <w:pPr>
        <w:pStyle w:val="Heading1TOP"/>
        <w:tabs>
          <w:tab w:val="right" w:pos="14520"/>
        </w:tabs>
      </w:pPr>
      <w:bookmarkStart w:id="0" w:name="_GoBack"/>
      <w:bookmarkEnd w:id="0"/>
      <w:r>
        <w:t xml:space="preserve">Year </w:t>
      </w:r>
      <w:r w:rsidR="00DB689E">
        <w:t>4</w:t>
      </w:r>
      <w:r>
        <w:t xml:space="preserve"> </w:t>
      </w:r>
      <w:r w:rsidR="00F502AA">
        <w:t>u</w:t>
      </w:r>
      <w:r w:rsidR="008300AE">
        <w:t>nit overview</w:t>
      </w:r>
      <w:r>
        <w:t xml:space="preserve"> — Australian Curriculum</w:t>
      </w:r>
      <w:r w:rsidRPr="00414AA6">
        <w:t>:</w:t>
      </w:r>
      <w:r w:rsidR="008300AE">
        <w:t xml:space="preserve"> </w:t>
      </w:r>
      <w:r w:rsidR="00632199" w:rsidRPr="00632199">
        <w:t>English</w:t>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281806">
        <w:rPr>
          <w:i/>
        </w:rPr>
        <w:t>3</w:t>
      </w:r>
      <w:r w:rsidRPr="00545B63">
        <w:rPr>
          <w:i/>
        </w:rPr>
        <w:t>.0</w:t>
      </w:r>
      <w:r w:rsidRPr="007A7FF0">
        <w:rPr>
          <w:i/>
        </w:rPr>
        <w:t xml:space="preserve">: </w:t>
      </w:r>
      <w:r>
        <w:rPr>
          <w:i/>
        </w:rPr>
        <w:t>English</w:t>
      </w:r>
      <w:r w:rsidRPr="007A7FF0">
        <w:rPr>
          <w:i/>
        </w:rPr>
        <w:t xml:space="preserve"> for Foundation–10</w:t>
      </w:r>
      <w:r w:rsidRPr="007A7FF0">
        <w:t>,</w:t>
      </w:r>
      <w:r w:rsidR="001E288D">
        <w:t xml:space="preserve"> </w:t>
      </w:r>
      <w:r w:rsidRPr="007A7FF0">
        <w:t>&lt;www.australiancurriculum.edu.au/</w:t>
      </w:r>
      <w:r>
        <w:t>English</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A0810">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3D50D5" w:rsidRPr="00BC1996" w:rsidTr="005213F2">
        <w:trPr>
          <w:jc w:val="center"/>
        </w:trPr>
        <w:tc>
          <w:tcPr>
            <w:tcW w:w="1208" w:type="pct"/>
            <w:shd w:val="clear" w:color="auto" w:fill="auto"/>
          </w:tcPr>
          <w:p w:rsidR="003D50D5" w:rsidRPr="00B549BE" w:rsidRDefault="003D50D5" w:rsidP="001E285F">
            <w:pPr>
              <w:pStyle w:val="Tabletext"/>
            </w:pPr>
            <w:r>
              <w:t>Our school</w:t>
            </w:r>
          </w:p>
        </w:tc>
        <w:tc>
          <w:tcPr>
            <w:tcW w:w="2572" w:type="pct"/>
            <w:shd w:val="clear" w:color="auto" w:fill="auto"/>
          </w:tcPr>
          <w:p w:rsidR="003D50D5" w:rsidRPr="00B549BE" w:rsidRDefault="003D50D5" w:rsidP="001E285F">
            <w:pPr>
              <w:pStyle w:val="Tabletext"/>
            </w:pPr>
            <w:r>
              <w:t>Playing with words</w:t>
            </w:r>
          </w:p>
        </w:tc>
        <w:tc>
          <w:tcPr>
            <w:tcW w:w="1220" w:type="pct"/>
            <w:shd w:val="clear" w:color="auto" w:fill="auto"/>
          </w:tcPr>
          <w:p w:rsidR="003D50D5" w:rsidRPr="00B549BE" w:rsidRDefault="003D50D5" w:rsidP="001E285F">
            <w:pPr>
              <w:pStyle w:val="Tabletext"/>
            </w:pPr>
            <w:r>
              <w:t>8 weeks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A0810">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3D50D5" w:rsidRDefault="003D50D5" w:rsidP="003D50D5">
            <w:pPr>
              <w:pStyle w:val="Tabletext"/>
            </w:pPr>
            <w:r w:rsidRPr="003B5AE9">
              <w:t xml:space="preserve">Students </w:t>
            </w:r>
            <w:r w:rsidR="00811BD7">
              <w:t>are</w:t>
            </w:r>
            <w:r w:rsidRPr="003B5AE9">
              <w:t xml:space="preserve"> introduced to the term </w:t>
            </w:r>
            <w:r w:rsidRPr="00064FE2">
              <w:rPr>
                <w:i/>
              </w:rPr>
              <w:t>aesthetic</w:t>
            </w:r>
            <w:r w:rsidRPr="003B5AE9">
              <w:t>. Students listen to, read, view and interpret spoken</w:t>
            </w:r>
            <w:r>
              <w:t>,</w:t>
            </w:r>
            <w:r w:rsidRPr="003B5AE9">
              <w:t xml:space="preserve"> written and multimodal texts in which examples of nonsense words, spoonerisms, neologisms and puns are used to provoke an emotional response</w:t>
            </w:r>
            <w:r>
              <w:t>.</w:t>
            </w:r>
            <w:r w:rsidRPr="003B5AE9">
              <w:t xml:space="preserve"> They develop interest and skill in playing with words in literary texts, including poetry. </w:t>
            </w:r>
          </w:p>
          <w:p w:rsidR="003D50D5" w:rsidRDefault="003D50D5" w:rsidP="003D50D5">
            <w:pPr>
              <w:pStyle w:val="Tabletext"/>
            </w:pPr>
            <w:r>
              <w:t>In the context of introducing the idea of the aesthetic, students develop understandings of:</w:t>
            </w:r>
          </w:p>
          <w:p w:rsidR="003D50D5" w:rsidRPr="0057551D" w:rsidRDefault="00811BD7" w:rsidP="003D50D5">
            <w:pPr>
              <w:pStyle w:val="Tablebullets"/>
              <w:numPr>
                <w:ilvl w:val="0"/>
                <w:numId w:val="7"/>
              </w:numPr>
              <w:ind w:left="283" w:hanging="283"/>
            </w:pPr>
            <w:r>
              <w:t xml:space="preserve">the </w:t>
            </w:r>
            <w:r w:rsidR="003D50D5">
              <w:t xml:space="preserve">use of </w:t>
            </w:r>
            <w:r w:rsidR="003D50D5" w:rsidRPr="0057551D">
              <w:t>words and language for specific purpose</w:t>
            </w:r>
            <w:r>
              <w:t xml:space="preserve">, </w:t>
            </w:r>
            <w:r w:rsidR="003D50D5" w:rsidRPr="0057551D">
              <w:t>understanding the difference between the language of opinion and feeling and the language of factual reporting or recording</w:t>
            </w:r>
          </w:p>
          <w:p w:rsidR="003D50D5" w:rsidRPr="0057551D" w:rsidRDefault="003D50D5" w:rsidP="003D50D5">
            <w:pPr>
              <w:pStyle w:val="Tablebullets"/>
              <w:numPr>
                <w:ilvl w:val="0"/>
                <w:numId w:val="7"/>
              </w:numPr>
              <w:ind w:left="283" w:hanging="283"/>
            </w:pPr>
            <w:r w:rsidRPr="0057551D">
              <w:t xml:space="preserve">a range of devices and deliberate word play in poetry and other literary texts </w:t>
            </w:r>
          </w:p>
          <w:p w:rsidR="003D50D5" w:rsidRDefault="003D50D5" w:rsidP="003D50D5">
            <w:pPr>
              <w:pStyle w:val="Tablebullets"/>
              <w:numPr>
                <w:ilvl w:val="0"/>
                <w:numId w:val="7"/>
              </w:numPr>
              <w:ind w:left="283" w:hanging="283"/>
            </w:pPr>
            <w:r w:rsidRPr="0057551D">
              <w:t>literal and</w:t>
            </w:r>
            <w:r>
              <w:t xml:space="preserve"> inferred meaning.</w:t>
            </w:r>
          </w:p>
          <w:p w:rsidR="003D50D5" w:rsidRDefault="003D50D5" w:rsidP="003D50D5">
            <w:pPr>
              <w:pStyle w:val="Tabletext"/>
            </w:pPr>
            <w:r>
              <w:t>Inquiry questions for the unit:</w:t>
            </w:r>
          </w:p>
          <w:p w:rsidR="003D50D5" w:rsidRPr="0057551D" w:rsidRDefault="003D50D5" w:rsidP="003D50D5">
            <w:pPr>
              <w:pStyle w:val="Tablebullets"/>
              <w:numPr>
                <w:ilvl w:val="0"/>
                <w:numId w:val="7"/>
              </w:numPr>
              <w:ind w:left="283" w:hanging="283"/>
            </w:pPr>
            <w:r w:rsidRPr="003B5AE9">
              <w:t xml:space="preserve">What do we </w:t>
            </w:r>
            <w:r w:rsidRPr="0057551D">
              <w:t>mean by aesthetic?</w:t>
            </w:r>
          </w:p>
          <w:p w:rsidR="003D50D5" w:rsidRPr="0057551D" w:rsidRDefault="003D50D5" w:rsidP="003D50D5">
            <w:pPr>
              <w:pStyle w:val="Tablebullets"/>
              <w:numPr>
                <w:ilvl w:val="0"/>
                <w:numId w:val="7"/>
              </w:numPr>
              <w:ind w:left="283" w:hanging="283"/>
            </w:pPr>
            <w:r w:rsidRPr="0057551D">
              <w:t>How and why do authors play with language?</w:t>
            </w:r>
          </w:p>
          <w:p w:rsidR="00704F62" w:rsidRPr="003D50D5" w:rsidRDefault="003D50D5" w:rsidP="00DB689E">
            <w:pPr>
              <w:pStyle w:val="Tablebullets"/>
              <w:numPr>
                <w:ilvl w:val="0"/>
                <w:numId w:val="7"/>
              </w:numPr>
              <w:ind w:left="283" w:hanging="283"/>
            </w:pPr>
            <w:r w:rsidRPr="0057551D">
              <w:t>What are some</w:t>
            </w:r>
            <w:r w:rsidRPr="003B5AE9">
              <w:t xml:space="preserve"> of the devices and word plays that authors use for effect?</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3631"/>
        <w:gridCol w:w="3678"/>
      </w:tblGrid>
      <w:tr w:rsidR="005D333E" w:rsidRPr="00561E58" w:rsidTr="00D16AEA">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D16AEA">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632199" w:rsidRPr="00561E58" w:rsidTr="00D16AEA">
        <w:trPr>
          <w:jc w:val="center"/>
        </w:trPr>
        <w:tc>
          <w:tcPr>
            <w:tcW w:w="1246" w:type="pct"/>
            <w:shd w:val="clear" w:color="auto" w:fill="CFE7E6"/>
          </w:tcPr>
          <w:p w:rsidR="00632199" w:rsidRPr="001B3B82" w:rsidRDefault="00632199" w:rsidP="00632199">
            <w:pPr>
              <w:pStyle w:val="Tablesubhead"/>
            </w:pPr>
            <w:r w:rsidRPr="001B3B82">
              <w:t>Language</w:t>
            </w:r>
          </w:p>
        </w:tc>
        <w:tc>
          <w:tcPr>
            <w:tcW w:w="1246" w:type="pct"/>
            <w:shd w:val="clear" w:color="auto" w:fill="CFE7E6"/>
          </w:tcPr>
          <w:p w:rsidR="00632199" w:rsidRPr="001B3B82" w:rsidRDefault="00632199" w:rsidP="00632199">
            <w:pPr>
              <w:pStyle w:val="Tablesubhead"/>
            </w:pPr>
            <w:r w:rsidRPr="001B3B82">
              <w:t>Literature</w:t>
            </w:r>
          </w:p>
        </w:tc>
        <w:tc>
          <w:tcPr>
            <w:tcW w:w="1246" w:type="pct"/>
            <w:shd w:val="clear" w:color="auto" w:fill="CFE7E6"/>
          </w:tcPr>
          <w:p w:rsidR="00632199" w:rsidRDefault="00632199" w:rsidP="00632199">
            <w:pPr>
              <w:pStyle w:val="Tablesubhead"/>
            </w:pPr>
            <w:r w:rsidRPr="001B3B82">
              <w:t>Literacy</w:t>
            </w:r>
          </w:p>
        </w:tc>
        <w:tc>
          <w:tcPr>
            <w:tcW w:w="1262" w:type="pct"/>
            <w:vMerge/>
            <w:shd w:val="clear" w:color="auto" w:fill="CFE7E6"/>
          </w:tcPr>
          <w:p w:rsidR="00632199" w:rsidRPr="00364E09" w:rsidRDefault="00632199" w:rsidP="00433BEC">
            <w:pPr>
              <w:pStyle w:val="Tablesubhead"/>
            </w:pPr>
          </w:p>
        </w:tc>
      </w:tr>
      <w:tr w:rsidR="003D50D5" w:rsidRPr="00561E58" w:rsidTr="00604E1C">
        <w:trPr>
          <w:jc w:val="center"/>
        </w:trPr>
        <w:tc>
          <w:tcPr>
            <w:tcW w:w="1246" w:type="pct"/>
            <w:shd w:val="clear" w:color="auto" w:fill="auto"/>
          </w:tcPr>
          <w:p w:rsidR="003D50D5" w:rsidRPr="00CB1FB7" w:rsidRDefault="003D50D5" w:rsidP="003D50D5">
            <w:pPr>
              <w:pStyle w:val="Tablesubhead"/>
            </w:pPr>
            <w:r w:rsidRPr="00CB1FB7">
              <w:t xml:space="preserve">Language variation and change </w:t>
            </w:r>
          </w:p>
          <w:p w:rsidR="003D50D5" w:rsidRPr="00CB1FB7" w:rsidRDefault="003D50D5" w:rsidP="003D50D5">
            <w:pPr>
              <w:pStyle w:val="Tablebullets"/>
              <w:numPr>
                <w:ilvl w:val="0"/>
                <w:numId w:val="7"/>
              </w:numPr>
              <w:ind w:left="283" w:hanging="283"/>
            </w:pPr>
            <w:r w:rsidRPr="00CB1FB7">
              <w:t xml:space="preserve">Understand that </w:t>
            </w:r>
            <w:hyperlink r:id="rId8" w:history="1">
              <w:r w:rsidRPr="00CB1FB7">
                <w:t>Standard Australian English</w:t>
              </w:r>
            </w:hyperlink>
            <w:r w:rsidRPr="00CB1FB7">
              <w:t xml:space="preserve"> is one of many social dialects used in Australia, and that while it </w:t>
            </w:r>
            <w:r w:rsidRPr="00DE3208">
              <w:t>originated</w:t>
            </w:r>
            <w:r w:rsidRPr="00CB1FB7">
              <w:t xml:space="preserve"> in England it has been influenced by many other languages</w:t>
            </w:r>
            <w:r w:rsidR="00EB217A">
              <w:t xml:space="preserve"> </w:t>
            </w:r>
            <w:hyperlink r:id="rId9" w:tooltip="View additional details of ACELA1487" w:history="1">
              <w:r w:rsidR="00EB217A" w:rsidRPr="00B02A01">
                <w:rPr>
                  <w:rStyle w:val="Hyperlink"/>
                  <w:sz w:val="20"/>
                </w:rPr>
                <w:t>(ACELA1487)</w:t>
              </w:r>
            </w:hyperlink>
          </w:p>
          <w:p w:rsidR="003D50D5" w:rsidRPr="00CB1FB7" w:rsidRDefault="003D50D5" w:rsidP="003D50D5">
            <w:pPr>
              <w:pStyle w:val="Tablesubhead"/>
            </w:pPr>
            <w:r w:rsidRPr="00CB1FB7">
              <w:t xml:space="preserve">Language for interaction </w:t>
            </w:r>
          </w:p>
          <w:p w:rsidR="003D50D5" w:rsidRPr="00CB1FB7" w:rsidRDefault="003D50D5" w:rsidP="003D50D5">
            <w:pPr>
              <w:pStyle w:val="Tablebullets"/>
              <w:numPr>
                <w:ilvl w:val="0"/>
                <w:numId w:val="7"/>
              </w:numPr>
              <w:ind w:left="283" w:hanging="283"/>
            </w:pPr>
            <w:r w:rsidRPr="00CB1FB7">
              <w:t xml:space="preserve">Understand differences between the language of </w:t>
            </w:r>
            <w:r w:rsidRPr="00DE3208">
              <w:t>opinion</w:t>
            </w:r>
            <w:r w:rsidRPr="00CB1FB7">
              <w:t xml:space="preserve"> and feeling and the language of factual reporting or recording </w:t>
            </w:r>
            <w:hyperlink r:id="rId10" w:tooltip="View additional details of ACELA1489" w:history="1">
              <w:r w:rsidR="00EB217A" w:rsidRPr="00B02A01">
                <w:rPr>
                  <w:rStyle w:val="Hyperlink"/>
                  <w:sz w:val="20"/>
                </w:rPr>
                <w:t>(ACELA1489)</w:t>
              </w:r>
            </w:hyperlink>
          </w:p>
          <w:p w:rsidR="003D50D5" w:rsidRPr="00CB1FB7" w:rsidRDefault="003D50D5" w:rsidP="003D50D5">
            <w:pPr>
              <w:pStyle w:val="Tablesubhead"/>
            </w:pPr>
            <w:r w:rsidRPr="00CB1FB7">
              <w:t xml:space="preserve">Text structure and organisation </w:t>
            </w:r>
          </w:p>
          <w:p w:rsidR="003D50D5" w:rsidRPr="00DE3208" w:rsidRDefault="003D50D5" w:rsidP="003D50D5">
            <w:pPr>
              <w:pStyle w:val="Tablebullets"/>
              <w:numPr>
                <w:ilvl w:val="0"/>
                <w:numId w:val="7"/>
              </w:numPr>
              <w:ind w:left="283" w:hanging="283"/>
            </w:pPr>
            <w:r w:rsidRPr="00CB1FB7">
              <w:t xml:space="preserve">Understand how texts vary in complexity and technicality depending on the approach to the topic, the </w:t>
            </w:r>
            <w:r w:rsidRPr="00DE3208">
              <w:t xml:space="preserve">purpose and the intended audience </w:t>
            </w:r>
            <w:hyperlink r:id="rId11" w:tooltip="View additional details of ACELA1490" w:history="1">
              <w:r w:rsidR="00EB217A" w:rsidRPr="00B02A01">
                <w:rPr>
                  <w:rStyle w:val="Hyperlink"/>
                  <w:sz w:val="20"/>
                </w:rPr>
                <w:t>(ACELA1490)</w:t>
              </w:r>
            </w:hyperlink>
          </w:p>
          <w:p w:rsidR="003D50D5" w:rsidRPr="00DE3208" w:rsidRDefault="003D50D5" w:rsidP="003D50D5">
            <w:pPr>
              <w:pStyle w:val="Tablebullets"/>
              <w:numPr>
                <w:ilvl w:val="0"/>
                <w:numId w:val="7"/>
              </w:numPr>
              <w:ind w:left="283" w:hanging="283"/>
            </w:pPr>
            <w:r w:rsidRPr="00DE3208">
              <w:t>Understand how texts are made cohesive through</w:t>
            </w:r>
            <w:r w:rsidRPr="00CB1FB7">
              <w:t xml:space="preserve"> the use of linking devices including pronoun </w:t>
            </w:r>
            <w:r>
              <w:t>reference and text connectives</w:t>
            </w:r>
            <w:r w:rsidR="00EB217A" w:rsidRPr="00B02A01">
              <w:t xml:space="preserve"> </w:t>
            </w:r>
            <w:hyperlink r:id="rId12" w:tooltip="View additional details of ACELA1491" w:history="1">
              <w:r w:rsidR="00EB217A" w:rsidRPr="00B02A01">
                <w:rPr>
                  <w:rStyle w:val="Hyperlink"/>
                  <w:sz w:val="20"/>
                </w:rPr>
                <w:t>(ACELA1491)</w:t>
              </w:r>
            </w:hyperlink>
          </w:p>
          <w:p w:rsidR="003D50D5" w:rsidRPr="00CB1FB7" w:rsidRDefault="003D50D5" w:rsidP="003D50D5">
            <w:pPr>
              <w:pStyle w:val="Tablesubhead"/>
            </w:pPr>
            <w:r w:rsidRPr="00CB1FB7">
              <w:t xml:space="preserve">Expressing and developing ideas </w:t>
            </w:r>
          </w:p>
          <w:p w:rsidR="003D50D5" w:rsidRPr="00DE3208" w:rsidRDefault="009D75ED" w:rsidP="009D75ED">
            <w:pPr>
              <w:pStyle w:val="Tablebullets"/>
              <w:numPr>
                <w:ilvl w:val="0"/>
                <w:numId w:val="7"/>
              </w:numPr>
              <w:ind w:left="360"/>
            </w:pPr>
            <w:r w:rsidRPr="009D75ED">
              <w:t xml:space="preserve">Understand that the meaning of sentences can be enriched through the use of noun groups/phrases and verb groups/phrases and prepositional phrases </w:t>
            </w:r>
            <w:hyperlink r:id="rId13" w:tooltip="View additional details of ACELA1493" w:history="1">
              <w:r w:rsidR="00EB217A" w:rsidRPr="00B02A01">
                <w:rPr>
                  <w:rStyle w:val="Hyperlink"/>
                  <w:sz w:val="20"/>
                </w:rPr>
                <w:t>(ACELA1493)</w:t>
              </w:r>
            </w:hyperlink>
          </w:p>
          <w:p w:rsidR="003D50D5" w:rsidRDefault="003D50D5" w:rsidP="003D50D5">
            <w:pPr>
              <w:pStyle w:val="Tablebullets"/>
              <w:numPr>
                <w:ilvl w:val="0"/>
                <w:numId w:val="7"/>
              </w:numPr>
              <w:ind w:left="283" w:hanging="283"/>
            </w:pPr>
            <w:r w:rsidRPr="00CB1FB7">
              <w:lastRenderedPageBreak/>
              <w:t xml:space="preserve">Understand how to use strategies for spelling words, including spelling rules, knowledge of morphemic word families, spelling generalisations, and letter combinations including double letters </w:t>
            </w:r>
            <w:hyperlink r:id="rId14" w:tooltip="View additional details of ACELA1779" w:history="1">
              <w:r w:rsidR="00EB217A" w:rsidRPr="00B02A01">
                <w:rPr>
                  <w:rStyle w:val="Hyperlink"/>
                  <w:sz w:val="20"/>
                </w:rPr>
                <w:t>(ACELA1779)</w:t>
              </w:r>
            </w:hyperlink>
          </w:p>
          <w:p w:rsidR="003D50D5" w:rsidRPr="003D50D5" w:rsidRDefault="003D50D5" w:rsidP="00C56154">
            <w:pPr>
              <w:pStyle w:val="Tablebullets"/>
              <w:numPr>
                <w:ilvl w:val="0"/>
                <w:numId w:val="7"/>
              </w:numPr>
              <w:ind w:left="283" w:hanging="283"/>
            </w:pPr>
            <w:r w:rsidRPr="00CB1FB7">
              <w:t xml:space="preserve">Recognise homophones and know how to use </w:t>
            </w:r>
            <w:hyperlink r:id="rId15" w:history="1">
              <w:r w:rsidRPr="00CB1FB7">
                <w:t>context</w:t>
              </w:r>
            </w:hyperlink>
            <w:r w:rsidRPr="00CB1FB7">
              <w:t xml:space="preserve"> to identify correct spelling</w:t>
            </w:r>
            <w:r>
              <w:t>.</w:t>
            </w:r>
            <w:r w:rsidR="00EB217A">
              <w:t xml:space="preserve"> </w:t>
            </w:r>
            <w:hyperlink r:id="rId16" w:tooltip="View additional details of ACELA1780" w:history="1">
              <w:r w:rsidR="00EB217A" w:rsidRPr="00B02A01">
                <w:rPr>
                  <w:rStyle w:val="Hyperlink"/>
                  <w:sz w:val="20"/>
                </w:rPr>
                <w:t>(ACELA1780)</w:t>
              </w:r>
            </w:hyperlink>
          </w:p>
        </w:tc>
        <w:tc>
          <w:tcPr>
            <w:tcW w:w="1246" w:type="pct"/>
            <w:shd w:val="clear" w:color="auto" w:fill="auto"/>
          </w:tcPr>
          <w:p w:rsidR="003D50D5" w:rsidRPr="00CB1FB7" w:rsidRDefault="003D50D5" w:rsidP="001E285F">
            <w:pPr>
              <w:pStyle w:val="Tablesubhead"/>
            </w:pPr>
            <w:r w:rsidRPr="00CB1FB7">
              <w:lastRenderedPageBreak/>
              <w:t>Literature and context</w:t>
            </w:r>
          </w:p>
          <w:p w:rsidR="003D50D5" w:rsidRPr="00CB1FB7" w:rsidRDefault="003D50D5" w:rsidP="003D50D5">
            <w:pPr>
              <w:pStyle w:val="Tablebullets"/>
              <w:numPr>
                <w:ilvl w:val="0"/>
                <w:numId w:val="7"/>
              </w:numPr>
              <w:ind w:left="283" w:hanging="283"/>
            </w:pPr>
            <w:r w:rsidRPr="00CB1FB7">
              <w:t xml:space="preserve">Make connections between the ways different authors may represent </w:t>
            </w:r>
            <w:r w:rsidRPr="00DE3208">
              <w:t>similar</w:t>
            </w:r>
            <w:r w:rsidRPr="00CB1FB7">
              <w:t xml:space="preserve"> storylines, ideas and relationships</w:t>
            </w:r>
            <w:r w:rsidR="00EB217A">
              <w:t xml:space="preserve"> </w:t>
            </w:r>
            <w:hyperlink r:id="rId17" w:tooltip="View additional details of ACELT1602" w:history="1">
              <w:r w:rsidR="00EB217A" w:rsidRPr="00B02A01">
                <w:rPr>
                  <w:rStyle w:val="Hyperlink"/>
                </w:rPr>
                <w:t>(ACELT1602)</w:t>
              </w:r>
            </w:hyperlink>
          </w:p>
          <w:p w:rsidR="003D50D5" w:rsidRPr="00CB1FB7" w:rsidRDefault="003D50D5" w:rsidP="001E285F">
            <w:pPr>
              <w:pStyle w:val="Tablesubhead"/>
            </w:pPr>
            <w:r w:rsidRPr="00CB1FB7">
              <w:t xml:space="preserve">Responding to literature </w:t>
            </w:r>
          </w:p>
          <w:p w:rsidR="003D50D5" w:rsidRDefault="003D50D5" w:rsidP="003D50D5">
            <w:pPr>
              <w:pStyle w:val="Tablebullets"/>
              <w:numPr>
                <w:ilvl w:val="0"/>
                <w:numId w:val="7"/>
              </w:numPr>
              <w:ind w:left="283" w:hanging="283"/>
            </w:pPr>
            <w:r w:rsidRPr="00CB1FB7">
              <w:t xml:space="preserve">Discuss literary experiences with others, sharing responses </w:t>
            </w:r>
            <w:r>
              <w:t xml:space="preserve">and expressing a point of view </w:t>
            </w:r>
            <w:hyperlink r:id="rId18" w:tooltip="View additional details of ACELT1603" w:history="1">
              <w:r w:rsidR="00EB217A" w:rsidRPr="00B02A01">
                <w:rPr>
                  <w:rStyle w:val="Hyperlink"/>
                  <w:sz w:val="20"/>
                </w:rPr>
                <w:t>(ACELT1603)</w:t>
              </w:r>
            </w:hyperlink>
          </w:p>
          <w:p w:rsidR="003D50D5" w:rsidRPr="00CB1FB7" w:rsidRDefault="003D50D5" w:rsidP="003D50D5">
            <w:pPr>
              <w:pStyle w:val="Tablebullets"/>
              <w:numPr>
                <w:ilvl w:val="0"/>
                <w:numId w:val="7"/>
              </w:numPr>
              <w:ind w:left="283" w:hanging="283"/>
            </w:pPr>
            <w:r w:rsidRPr="00DE3208">
              <w:t>Use metalanguage to describe the effects of ideas, text structures and language features</w:t>
            </w:r>
            <w:r w:rsidRPr="00CB1FB7">
              <w:t xml:space="preserve"> of literary texts </w:t>
            </w:r>
            <w:hyperlink r:id="rId19" w:tooltip="View additional details of ACELT1604" w:history="1">
              <w:r w:rsidR="00EB217A" w:rsidRPr="00B02A01">
                <w:rPr>
                  <w:rStyle w:val="Hyperlink"/>
                  <w:sz w:val="20"/>
                </w:rPr>
                <w:t>(ACELT1604)</w:t>
              </w:r>
            </w:hyperlink>
          </w:p>
          <w:p w:rsidR="003D50D5" w:rsidRPr="00CB1FB7" w:rsidRDefault="003D50D5" w:rsidP="001E285F">
            <w:pPr>
              <w:pStyle w:val="Tablesubhead"/>
            </w:pPr>
            <w:r w:rsidRPr="00CB1FB7">
              <w:t xml:space="preserve">Examining literature </w:t>
            </w:r>
          </w:p>
          <w:p w:rsidR="003D50D5" w:rsidRPr="00030551" w:rsidRDefault="003D50D5" w:rsidP="003D50D5">
            <w:pPr>
              <w:pStyle w:val="Tablebullets"/>
              <w:numPr>
                <w:ilvl w:val="0"/>
                <w:numId w:val="7"/>
              </w:numPr>
              <w:ind w:left="283" w:hanging="283"/>
            </w:pPr>
            <w:r w:rsidRPr="00CB1FB7">
              <w:t>Understand, interpret and experiment with a range of devices and deliberate word play in poetry and other literary texts, for example nonsense words, s</w:t>
            </w:r>
            <w:r>
              <w:t>poonerisms, neologisms and puns.</w:t>
            </w:r>
            <w:r w:rsidR="00EB217A">
              <w:t xml:space="preserve"> </w:t>
            </w:r>
            <w:hyperlink r:id="rId20" w:tooltip="View additional details of ACELT1606" w:history="1">
              <w:r w:rsidR="00EB217A" w:rsidRPr="00272EE1">
                <w:rPr>
                  <w:rStyle w:val="Hyperlink"/>
                  <w:sz w:val="20"/>
                </w:rPr>
                <w:t>(ACELT1606)</w:t>
              </w:r>
            </w:hyperlink>
          </w:p>
        </w:tc>
        <w:tc>
          <w:tcPr>
            <w:tcW w:w="1246" w:type="pct"/>
            <w:shd w:val="clear" w:color="auto" w:fill="auto"/>
          </w:tcPr>
          <w:p w:rsidR="003D50D5" w:rsidRPr="00CB1FB7" w:rsidRDefault="003D50D5" w:rsidP="003D50D5">
            <w:pPr>
              <w:pStyle w:val="Tablesubhead"/>
            </w:pPr>
            <w:r w:rsidRPr="00CB1FB7">
              <w:t xml:space="preserve">Interacting with others </w:t>
            </w:r>
          </w:p>
          <w:p w:rsidR="003D50D5" w:rsidRPr="00DE3208" w:rsidRDefault="003D50D5" w:rsidP="003D50D5">
            <w:pPr>
              <w:pStyle w:val="Tablebullets"/>
              <w:numPr>
                <w:ilvl w:val="0"/>
                <w:numId w:val="7"/>
              </w:numPr>
              <w:ind w:left="283" w:hanging="283"/>
            </w:pPr>
            <w:r w:rsidRPr="00CB1FB7">
              <w:t xml:space="preserve">Use interaction skills such as acknowledging another’s point of view and linking </w:t>
            </w:r>
            <w:r>
              <w:t>students’</w:t>
            </w:r>
            <w:r w:rsidRPr="00CB1FB7">
              <w:t xml:space="preserve"> response to the topic, </w:t>
            </w:r>
            <w:r w:rsidRPr="00DE3208">
              <w:t>using familiar and new vocabulary and a range of vocal effects such as tone, pace, pitch and volume to speak clearly and coherently</w:t>
            </w:r>
            <w:r w:rsidR="004F0A53">
              <w:t xml:space="preserve"> </w:t>
            </w:r>
            <w:hyperlink r:id="rId21" w:tooltip="View additional details of ACELY1688" w:history="1">
              <w:r w:rsidR="004F0A53" w:rsidRPr="00272EE1">
                <w:rPr>
                  <w:rStyle w:val="Hyperlink"/>
                  <w:sz w:val="20"/>
                </w:rPr>
                <w:t>(ACELY1688)</w:t>
              </w:r>
            </w:hyperlink>
          </w:p>
          <w:p w:rsidR="003D50D5" w:rsidRPr="00CB1FB7" w:rsidRDefault="003D50D5" w:rsidP="003D50D5">
            <w:pPr>
              <w:pStyle w:val="Tablebullets"/>
              <w:numPr>
                <w:ilvl w:val="0"/>
                <w:numId w:val="7"/>
              </w:numPr>
              <w:ind w:left="283" w:hanging="283"/>
            </w:pPr>
            <w:r w:rsidRPr="00CB1FB7">
              <w:t>Plan, rehearse and deliver presentations incorporating learned content and taking into account the particular purpose</w:t>
            </w:r>
            <w:r>
              <w:t>s</w:t>
            </w:r>
            <w:r w:rsidRPr="00CB1FB7">
              <w:t xml:space="preserve"> and audience</w:t>
            </w:r>
            <w:r>
              <w:t>s</w:t>
            </w:r>
            <w:r w:rsidRPr="00CB1FB7">
              <w:t xml:space="preserve"> </w:t>
            </w:r>
            <w:hyperlink r:id="rId22" w:tooltip="View additional details of ACELY1689" w:history="1">
              <w:r w:rsidR="004F0A53" w:rsidRPr="00272EE1">
                <w:rPr>
                  <w:rStyle w:val="Hyperlink"/>
                  <w:sz w:val="20"/>
                </w:rPr>
                <w:t>(ACELY1689)</w:t>
              </w:r>
            </w:hyperlink>
          </w:p>
          <w:p w:rsidR="003D50D5" w:rsidRPr="00CB1FB7" w:rsidRDefault="003D50D5" w:rsidP="003D50D5">
            <w:pPr>
              <w:pStyle w:val="Tablesubhead"/>
            </w:pPr>
            <w:r w:rsidRPr="00CB1FB7">
              <w:t>Interpreting, analysing, evaluating</w:t>
            </w:r>
          </w:p>
          <w:p w:rsidR="003D50D5" w:rsidRPr="00DE3208" w:rsidRDefault="004F7D3A" w:rsidP="003D50D5">
            <w:pPr>
              <w:pStyle w:val="Tablebullets"/>
              <w:numPr>
                <w:ilvl w:val="0"/>
                <w:numId w:val="7"/>
              </w:numPr>
              <w:ind w:left="283" w:hanging="283"/>
            </w:pPr>
            <w:hyperlink r:id="rId23" w:tooltip="Display the glossary entry for 'Read'" w:history="1">
              <w:r w:rsidR="003D50D5" w:rsidRPr="00CB1FB7">
                <w:t>Read</w:t>
              </w:r>
            </w:hyperlink>
            <w:r w:rsidR="003D50D5" w:rsidRPr="00CB1FB7">
              <w:t xml:space="preserve"> different </w:t>
            </w:r>
            <w:hyperlink r:id="rId24" w:tooltip="Display the glossary entry for 'types of texts'" w:history="1">
              <w:r w:rsidR="003D50D5" w:rsidRPr="00CB1FB7">
                <w:t>types of texts</w:t>
              </w:r>
            </w:hyperlink>
            <w:r w:rsidR="003D50D5" w:rsidRPr="00CB1FB7">
              <w:t xml:space="preserve"> by combining contextual, semantic, grammatical and phonic knowledge </w:t>
            </w:r>
            <w:r w:rsidR="003D50D5" w:rsidRPr="00DE3208">
              <w:t>using text processing strategies for example monitoring meaning, cross checking and reviewing</w:t>
            </w:r>
            <w:r w:rsidR="004F0A53">
              <w:t xml:space="preserve"> </w:t>
            </w:r>
            <w:hyperlink r:id="rId25" w:tooltip="View additional details of ACELY1691" w:history="1">
              <w:r w:rsidR="004F0A53" w:rsidRPr="00CE5CAB">
                <w:rPr>
                  <w:rStyle w:val="Hyperlink"/>
                  <w:sz w:val="20"/>
                </w:rPr>
                <w:t>(ACELY1691)</w:t>
              </w:r>
            </w:hyperlink>
          </w:p>
          <w:p w:rsidR="003D50D5" w:rsidRPr="00CB1FB7" w:rsidRDefault="003D50D5" w:rsidP="003D50D5">
            <w:pPr>
              <w:pStyle w:val="Tablebullets"/>
              <w:numPr>
                <w:ilvl w:val="0"/>
                <w:numId w:val="7"/>
              </w:numPr>
              <w:ind w:left="283" w:hanging="283"/>
            </w:pPr>
            <w:r w:rsidRPr="00DE3208">
              <w:t>Use comprehension strategies to build literal and inferred meaning to expand content knowledge</w:t>
            </w:r>
            <w:r w:rsidRPr="00CB1FB7">
              <w:t>, integrating and linking ideas and analysing and evaluating texts</w:t>
            </w:r>
            <w:r w:rsidR="004F0A53">
              <w:t xml:space="preserve"> </w:t>
            </w:r>
            <w:hyperlink r:id="rId26" w:tooltip="View additional details of ACELY1692" w:history="1">
              <w:r w:rsidR="004F0A53" w:rsidRPr="00CE5CAB">
                <w:rPr>
                  <w:rStyle w:val="Hyperlink"/>
                  <w:sz w:val="20"/>
                </w:rPr>
                <w:t>(ACELY1692)</w:t>
              </w:r>
            </w:hyperlink>
          </w:p>
          <w:p w:rsidR="003D50D5" w:rsidRPr="00CB1FB7" w:rsidRDefault="003D50D5" w:rsidP="003D50D5">
            <w:pPr>
              <w:pStyle w:val="Tablesubhead"/>
            </w:pPr>
            <w:r w:rsidRPr="00CB1FB7">
              <w:t>Creating texts</w:t>
            </w:r>
          </w:p>
          <w:p w:rsidR="003D50D5" w:rsidRPr="003D50D5" w:rsidRDefault="004F7D3A" w:rsidP="00205FDD">
            <w:pPr>
              <w:pStyle w:val="Tablebullets"/>
              <w:numPr>
                <w:ilvl w:val="0"/>
                <w:numId w:val="7"/>
              </w:numPr>
              <w:ind w:left="283" w:hanging="283"/>
            </w:pPr>
            <w:hyperlink r:id="rId27" w:tooltip="Display the glossary entry for 'Write'" w:history="1">
              <w:r w:rsidR="003D50D5" w:rsidRPr="00CB1FB7">
                <w:t>Write</w:t>
              </w:r>
            </w:hyperlink>
            <w:r w:rsidR="003D50D5" w:rsidRPr="00CB1FB7">
              <w:t xml:space="preserve"> using clearly</w:t>
            </w:r>
            <w:r w:rsidR="003D50D5">
              <w:t>-</w:t>
            </w:r>
            <w:r w:rsidR="003D50D5" w:rsidRPr="00CB1FB7">
              <w:t xml:space="preserve">formed joined letters, and develop increased </w:t>
            </w:r>
            <w:r w:rsidR="003D50D5" w:rsidRPr="00CB1FB7">
              <w:lastRenderedPageBreak/>
              <w:t>fluency and automaticity</w:t>
            </w:r>
            <w:r w:rsidR="003D50D5">
              <w:t>.</w:t>
            </w:r>
            <w:r w:rsidR="004F0A53">
              <w:t xml:space="preserve"> </w:t>
            </w:r>
            <w:hyperlink r:id="rId28" w:tooltip="View additional details of ACELY1696" w:history="1">
              <w:r w:rsidR="004F0A53" w:rsidRPr="00FE643B">
                <w:rPr>
                  <w:rStyle w:val="Hyperlink"/>
                  <w:sz w:val="20"/>
                </w:rPr>
                <w:t>(ACELY1696)</w:t>
              </w:r>
            </w:hyperlink>
          </w:p>
        </w:tc>
        <w:tc>
          <w:tcPr>
            <w:tcW w:w="1262" w:type="pct"/>
            <w:shd w:val="clear" w:color="auto" w:fill="auto"/>
          </w:tcPr>
          <w:p w:rsidR="003D50D5" w:rsidRDefault="00C97CE0" w:rsidP="00073A08">
            <w:pPr>
              <w:pStyle w:val="Tablesubhead"/>
              <w:tabs>
                <w:tab w:val="left" w:pos="510"/>
              </w:tabs>
              <w:ind w:left="510" w:hanging="510"/>
            </w:pPr>
            <w:r>
              <w:rPr>
                <w:noProof/>
                <w:sz w:val="17"/>
                <w:szCs w:val="17"/>
                <w:lang w:eastAsia="en-AU"/>
              </w:rPr>
              <w:lastRenderedPageBreak/>
              <w:drawing>
                <wp:inline distT="0" distB="0" distL="0" distR="0">
                  <wp:extent cx="189865" cy="189865"/>
                  <wp:effectExtent l="0" t="0" r="635" b="635"/>
                  <wp:docPr id="6"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D50D5">
              <w:rPr>
                <w:sz w:val="17"/>
                <w:szCs w:val="17"/>
              </w:rPr>
              <w:tab/>
            </w:r>
            <w:r w:rsidR="003D50D5" w:rsidRPr="00790B29">
              <w:t>Literacy</w:t>
            </w:r>
          </w:p>
          <w:p w:rsidR="0094440A" w:rsidRPr="00790B29" w:rsidRDefault="00454E0D" w:rsidP="0094440A">
            <w:pPr>
              <w:pStyle w:val="Tablebullets"/>
              <w:numPr>
                <w:ilvl w:val="0"/>
                <w:numId w:val="7"/>
              </w:numPr>
              <w:ind w:left="283" w:hanging="283"/>
            </w:pPr>
            <w:r>
              <w:t>L</w:t>
            </w:r>
            <w:r w:rsidR="0094440A" w:rsidRPr="003B5AE9">
              <w:t>isten</w:t>
            </w:r>
            <w:r w:rsidR="0094440A">
              <w:t xml:space="preserve"> to, read and view, write</w:t>
            </w:r>
            <w:r w:rsidR="0094440A" w:rsidRPr="003B5AE9">
              <w:t xml:space="preserve">, </w:t>
            </w:r>
            <w:r>
              <w:t xml:space="preserve">and </w:t>
            </w:r>
            <w:r w:rsidR="0094440A" w:rsidRPr="003B5AE9">
              <w:t>speak</w:t>
            </w:r>
            <w:r w:rsidR="0094440A">
              <w:t xml:space="preserve"> and create</w:t>
            </w:r>
            <w:r w:rsidR="0094440A" w:rsidRPr="003B5AE9">
              <w:t xml:space="preserve"> print, visual and digital materials in the process of planning, rehearsing and </w:t>
            </w:r>
            <w:r w:rsidRPr="003B5AE9">
              <w:t>present</w:t>
            </w:r>
            <w:r>
              <w:t>ing</w:t>
            </w:r>
            <w:r w:rsidRPr="003B5AE9">
              <w:t xml:space="preserve"> </w:t>
            </w:r>
            <w:r>
              <w:t>a</w:t>
            </w:r>
            <w:r w:rsidRPr="003B5AE9">
              <w:t xml:space="preserve"> </w:t>
            </w:r>
            <w:r w:rsidR="0094440A">
              <w:t>chosen poem</w:t>
            </w:r>
          </w:p>
          <w:p w:rsidR="003D50D5" w:rsidRPr="00790B29" w:rsidRDefault="00C97CE0" w:rsidP="00073A08">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5"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D50D5">
              <w:rPr>
                <w:sz w:val="17"/>
                <w:szCs w:val="17"/>
              </w:rPr>
              <w:tab/>
            </w:r>
            <w:r w:rsidR="003D50D5">
              <w:rPr>
                <w:b/>
              </w:rPr>
              <w:t>ICT</w:t>
            </w:r>
            <w:r w:rsidR="003D50D5" w:rsidRPr="00790B29">
              <w:rPr>
                <w:b/>
              </w:rPr>
              <w:t xml:space="preserve"> </w:t>
            </w:r>
            <w:r w:rsidR="00161825">
              <w:rPr>
                <w:b/>
              </w:rPr>
              <w:t>capability</w:t>
            </w:r>
          </w:p>
          <w:p w:rsidR="003D50D5" w:rsidRPr="00F16628" w:rsidRDefault="00454E0D" w:rsidP="0094440A">
            <w:pPr>
              <w:pStyle w:val="Tablebullets"/>
              <w:numPr>
                <w:ilvl w:val="0"/>
                <w:numId w:val="7"/>
              </w:numPr>
              <w:ind w:left="283" w:hanging="283"/>
            </w:pPr>
            <w:r>
              <w:t>E</w:t>
            </w:r>
            <w:r w:rsidR="0094440A">
              <w:t xml:space="preserve">xplore </w:t>
            </w:r>
            <w:r w:rsidR="0094440A" w:rsidRPr="003B5AE9">
              <w:t>poetry online, in song</w:t>
            </w:r>
            <w:r w:rsidR="0094440A">
              <w:t>s</w:t>
            </w:r>
            <w:r>
              <w:t xml:space="preserve"> and</w:t>
            </w:r>
            <w:r w:rsidR="0094440A" w:rsidRPr="003B5AE9">
              <w:t xml:space="preserve"> on video c</w:t>
            </w:r>
            <w:r w:rsidR="0094440A">
              <w:t>lips</w:t>
            </w:r>
          </w:p>
          <w:p w:rsidR="003D50D5" w:rsidRPr="00790B29" w:rsidRDefault="00C97CE0"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3"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D50D5">
              <w:rPr>
                <w:sz w:val="17"/>
                <w:szCs w:val="17"/>
              </w:rPr>
              <w:tab/>
            </w:r>
            <w:r w:rsidR="003D50D5" w:rsidRPr="00790B29">
              <w:t>Critical and creative thinking</w:t>
            </w:r>
          </w:p>
          <w:p w:rsidR="003D50D5" w:rsidRDefault="00454E0D" w:rsidP="00F54834">
            <w:pPr>
              <w:pStyle w:val="Tablebullets"/>
              <w:numPr>
                <w:ilvl w:val="0"/>
                <w:numId w:val="7"/>
              </w:numPr>
              <w:ind w:left="283" w:hanging="283"/>
            </w:pPr>
            <w:r>
              <w:t>R</w:t>
            </w:r>
            <w:r w:rsidR="00F54834">
              <w:t>espond</w:t>
            </w:r>
            <w:r w:rsidR="00F54834" w:rsidRPr="003B5AE9">
              <w:t xml:space="preserve"> to a range of poems in the formative stage of this unit and in selecting a poem to present to </w:t>
            </w:r>
            <w:r w:rsidR="00F54834">
              <w:t>peers</w:t>
            </w:r>
          </w:p>
          <w:p w:rsidR="003D50D5" w:rsidRPr="00790B29" w:rsidRDefault="00C97CE0" w:rsidP="00073A08">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4"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3D50D5">
              <w:rPr>
                <w:sz w:val="17"/>
                <w:szCs w:val="17"/>
              </w:rPr>
              <w:tab/>
            </w:r>
            <w:r w:rsidR="003D50D5" w:rsidRPr="00790B29">
              <w:rPr>
                <w:b/>
              </w:rPr>
              <w:t xml:space="preserve">Personal and social </w:t>
            </w:r>
            <w:r w:rsidR="00161825">
              <w:rPr>
                <w:b/>
              </w:rPr>
              <w:t>capability</w:t>
            </w:r>
          </w:p>
          <w:p w:rsidR="00F54834" w:rsidRDefault="00454E0D" w:rsidP="00161825">
            <w:pPr>
              <w:pStyle w:val="Tablebullets"/>
              <w:numPr>
                <w:ilvl w:val="0"/>
                <w:numId w:val="7"/>
              </w:numPr>
              <w:ind w:left="283" w:hanging="283"/>
            </w:pPr>
            <w:r>
              <w:t>P</w:t>
            </w:r>
            <w:r w:rsidR="00F54834">
              <w:t>rovide</w:t>
            </w:r>
            <w:r w:rsidR="00F54834" w:rsidRPr="003B5AE9">
              <w:t xml:space="preserve"> </w:t>
            </w:r>
            <w:r w:rsidR="00F54834">
              <w:t>constructive feedback in pairs</w:t>
            </w:r>
          </w:p>
          <w:p w:rsidR="003D50D5" w:rsidRPr="00454E0D" w:rsidRDefault="00454E0D" w:rsidP="00161825">
            <w:pPr>
              <w:pStyle w:val="Tablebullets"/>
              <w:numPr>
                <w:ilvl w:val="0"/>
                <w:numId w:val="7"/>
              </w:numPr>
              <w:ind w:left="283" w:hanging="283"/>
            </w:pPr>
            <w:r w:rsidRPr="00454E0D">
              <w:t>L</w:t>
            </w:r>
            <w:r w:rsidR="00F54834" w:rsidRPr="00454E0D">
              <w:t>isten and respond to others’ work and show respect during others’ performances</w:t>
            </w:r>
            <w:r w:rsidR="003D50D5" w:rsidRPr="008B55C8">
              <w:tab/>
            </w:r>
          </w:p>
        </w:tc>
      </w:tr>
      <w:tr w:rsidR="0072405D" w:rsidRPr="00561E58" w:rsidTr="0072405D">
        <w:trPr>
          <w:jc w:val="center"/>
        </w:trPr>
        <w:tc>
          <w:tcPr>
            <w:tcW w:w="5000" w:type="pct"/>
            <w:gridSpan w:val="4"/>
            <w:shd w:val="clear" w:color="auto" w:fill="CFE7E6"/>
          </w:tcPr>
          <w:p w:rsidR="0072405D" w:rsidRDefault="0072405D" w:rsidP="00073A08">
            <w:pPr>
              <w:pStyle w:val="Tablesubhead"/>
              <w:tabs>
                <w:tab w:val="left" w:pos="510"/>
              </w:tabs>
              <w:ind w:left="510" w:hanging="510"/>
              <w:rPr>
                <w:noProof/>
                <w:sz w:val="17"/>
                <w:szCs w:val="17"/>
                <w:lang w:eastAsia="en-AU"/>
              </w:rPr>
            </w:pPr>
            <w:r>
              <w:lastRenderedPageBreak/>
              <w:t>A</w:t>
            </w:r>
            <w:r w:rsidRPr="004E0C69">
              <w:t>chievement standard</w:t>
            </w:r>
          </w:p>
        </w:tc>
      </w:tr>
      <w:tr w:rsidR="0072405D" w:rsidRPr="00561E58" w:rsidTr="0072405D">
        <w:trPr>
          <w:jc w:val="center"/>
        </w:trPr>
        <w:tc>
          <w:tcPr>
            <w:tcW w:w="5000" w:type="pct"/>
            <w:gridSpan w:val="4"/>
            <w:shd w:val="clear" w:color="auto" w:fill="auto"/>
          </w:tcPr>
          <w:p w:rsidR="0072405D" w:rsidRPr="0072405D" w:rsidRDefault="0072405D" w:rsidP="0072405D">
            <w:pPr>
              <w:pStyle w:val="Tablesubhead"/>
            </w:pPr>
            <w:r w:rsidRPr="0072405D">
              <w:t>Receptive modes (listening, reading and viewing)</w:t>
            </w:r>
          </w:p>
          <w:p w:rsidR="0072405D" w:rsidRPr="0072405D" w:rsidRDefault="0072405D" w:rsidP="0072405D">
            <w:pPr>
              <w:pStyle w:val="Tabletext"/>
            </w:pPr>
            <w:r w:rsidRPr="0072405D">
              <w:t xml:space="preserve">By the end of Year 4, students understand that texts have different text structures depending on purpose and audience. They explain how language features, images and vocabulary are used to engage the interest of audiences. </w:t>
            </w:r>
          </w:p>
          <w:p w:rsidR="0072405D" w:rsidRPr="0072405D" w:rsidRDefault="0072405D" w:rsidP="0072405D">
            <w:pPr>
              <w:pStyle w:val="Tabletext"/>
            </w:pPr>
            <w:r w:rsidRPr="0072405D">
              <w:t>They describe literal and implied meaning connecting ideas in different texts. They express preferences for particular texts, and respond to others’ viewpoints. They listen for key points in discussions.</w:t>
            </w:r>
          </w:p>
          <w:p w:rsidR="0072405D" w:rsidRPr="0072405D" w:rsidRDefault="0072405D" w:rsidP="0072405D">
            <w:pPr>
              <w:pStyle w:val="Tablesubhead"/>
            </w:pPr>
            <w:r w:rsidRPr="0072405D">
              <w:t>Productive modes (speaking, writing and creating)</w:t>
            </w:r>
          </w:p>
          <w:p w:rsidR="0072405D" w:rsidRPr="0072405D" w:rsidRDefault="0072405D" w:rsidP="0072405D">
            <w:pPr>
              <w:pStyle w:val="Tabletext"/>
              <w:spacing w:after="0"/>
            </w:pPr>
            <w:r w:rsidRPr="0072405D">
              <w:t>Students use language features to create coherence and add detail to their texts. They understand how to express an opinion based on information in a text. They create texts that show understanding of how images and detail can be used to extend key ideas.</w:t>
            </w:r>
          </w:p>
          <w:p w:rsidR="0072405D" w:rsidRDefault="0072405D" w:rsidP="0072405D">
            <w:pPr>
              <w:pStyle w:val="Tabletext"/>
              <w:spacing w:after="0"/>
              <w:rPr>
                <w:noProof/>
                <w:sz w:val="17"/>
                <w:szCs w:val="17"/>
                <w:lang w:eastAsia="en-AU"/>
              </w:rPr>
            </w:pPr>
            <w:r w:rsidRPr="0072405D">
              <w:t>Students create structured texts to explain ideas for different audiences. They make presentations and contribute actively to class and group discussions, varying language according to context. They demonstrate understanding of grammar, select vocabulary from a range of resources and use accurate spelling and punctuation, editing their work to improve meaning.</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C8736D">
        <w:trPr>
          <w:jc w:val="center"/>
        </w:trPr>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1F6C01" w:rsidRPr="009927F7" w:rsidTr="001F6C01">
        <w:trPr>
          <w:jc w:val="center"/>
        </w:trPr>
        <w:tc>
          <w:tcPr>
            <w:tcW w:w="2519" w:type="pct"/>
            <w:shd w:val="clear" w:color="auto" w:fill="auto"/>
          </w:tcPr>
          <w:p w:rsidR="00454E0D" w:rsidRDefault="006F78AA" w:rsidP="006D7DCE">
            <w:pPr>
              <w:pStyle w:val="Tablesubhead"/>
            </w:pPr>
            <w:r>
              <w:t xml:space="preserve">The Queensland Essential Learnings by the end of Year 3 </w:t>
            </w:r>
          </w:p>
          <w:p w:rsidR="001F6C01" w:rsidRPr="008B55C8" w:rsidRDefault="00454E0D" w:rsidP="006D7DCE">
            <w:pPr>
              <w:pStyle w:val="Tablesubhead"/>
              <w:rPr>
                <w:b w:val="0"/>
              </w:rPr>
            </w:pPr>
            <w:r w:rsidRPr="008B55C8">
              <w:rPr>
                <w:b w:val="0"/>
              </w:rPr>
              <w:t>S</w:t>
            </w:r>
            <w:r w:rsidR="006F78AA" w:rsidRPr="008B55C8">
              <w:rPr>
                <w:b w:val="0"/>
              </w:rPr>
              <w:t xml:space="preserve">tudents </w:t>
            </w:r>
            <w:r w:rsidRPr="008B55C8">
              <w:rPr>
                <w:b w:val="0"/>
              </w:rPr>
              <w:t xml:space="preserve">will </w:t>
            </w:r>
            <w:r w:rsidR="006F78AA" w:rsidRPr="008B55C8">
              <w:rPr>
                <w:b w:val="0"/>
              </w:rPr>
              <w:t>have been provided with opportunities to learn that:</w:t>
            </w:r>
          </w:p>
          <w:p w:rsidR="006F78AA" w:rsidRPr="006F78AA" w:rsidRDefault="007A4D2B" w:rsidP="006F78AA">
            <w:pPr>
              <w:pStyle w:val="Tablebullets"/>
              <w:numPr>
                <w:ilvl w:val="0"/>
                <w:numId w:val="7"/>
              </w:numPr>
              <w:ind w:left="283" w:hanging="283"/>
            </w:pPr>
            <w:r w:rsidRPr="006F78AA">
              <w:t>the purpose of speaking and listening includes exchanging information, sharing and exploring ideas, entertaining, supporting relationships, giving opinions and getting things done</w:t>
            </w:r>
          </w:p>
          <w:p w:rsidR="006F78AA" w:rsidRPr="006F78AA" w:rsidRDefault="007A4D2B" w:rsidP="006F78AA">
            <w:pPr>
              <w:pStyle w:val="Tablebullets"/>
              <w:numPr>
                <w:ilvl w:val="0"/>
                <w:numId w:val="7"/>
              </w:numPr>
              <w:ind w:left="283" w:hanging="283"/>
            </w:pPr>
            <w:r w:rsidRPr="006F78AA">
              <w:t>words and phrasing, volume and pitch can add interest and emphasis, clarify meaning and be monitored by listeners</w:t>
            </w:r>
          </w:p>
          <w:p w:rsidR="006F78AA" w:rsidRPr="006F78AA" w:rsidRDefault="007A4D2B" w:rsidP="006F78AA">
            <w:pPr>
              <w:pStyle w:val="Tablebullets"/>
              <w:numPr>
                <w:ilvl w:val="0"/>
                <w:numId w:val="7"/>
              </w:numPr>
              <w:ind w:left="283" w:hanging="283"/>
            </w:pPr>
            <w:r w:rsidRPr="006F78AA">
              <w:t>nonverbal elements, including body language, facial expressions and gestures, add interest and emphasis, clarify meaning and are monitored by listeners</w:t>
            </w:r>
          </w:p>
          <w:p w:rsidR="006F78AA" w:rsidRPr="006F78AA" w:rsidRDefault="007A4D2B" w:rsidP="006F78AA">
            <w:pPr>
              <w:pStyle w:val="Tablebullets"/>
              <w:numPr>
                <w:ilvl w:val="0"/>
                <w:numId w:val="7"/>
              </w:numPr>
              <w:ind w:left="283" w:hanging="283"/>
            </w:pPr>
            <w:r w:rsidRPr="006F78AA">
              <w:t>in presentations, speakers make meaning clear by sequencing ideas and information and using visual aids, including objects and pictures</w:t>
            </w:r>
          </w:p>
          <w:p w:rsidR="006F78AA" w:rsidRPr="00BE26EE" w:rsidRDefault="007A4D2B" w:rsidP="006F78AA">
            <w:pPr>
              <w:pStyle w:val="Tablebullets"/>
              <w:numPr>
                <w:ilvl w:val="0"/>
                <w:numId w:val="7"/>
              </w:numPr>
              <w:ind w:left="283" w:hanging="283"/>
            </w:pPr>
            <w:r w:rsidRPr="006F78AA">
              <w:t>vocabulary</w:t>
            </w:r>
            <w:r w:rsidRPr="0041114D">
              <w:rPr>
                <w:lang w:val="en-GB"/>
              </w:rPr>
              <w:t xml:space="preserve"> describes, labels and sequences, and can represent people, characters, places, events and things</w:t>
            </w:r>
            <w:r>
              <w:rPr>
                <w:lang w:val="en-GB"/>
              </w:rPr>
              <w:t>.</w:t>
            </w:r>
          </w:p>
        </w:tc>
        <w:tc>
          <w:tcPr>
            <w:tcW w:w="2481" w:type="pct"/>
            <w:shd w:val="clear" w:color="auto" w:fill="auto"/>
          </w:tcPr>
          <w:p w:rsidR="006F78AA" w:rsidRDefault="006F78AA" w:rsidP="006F78AA">
            <w:pPr>
              <w:pStyle w:val="Tablesubhead"/>
            </w:pPr>
            <w:r>
              <w:t>Year 5 Australian Curriculum</w:t>
            </w:r>
          </w:p>
          <w:p w:rsidR="007A4D2B" w:rsidRPr="007A4D2B" w:rsidRDefault="007A4D2B" w:rsidP="006F78AA">
            <w:pPr>
              <w:pStyle w:val="Tablesubhead"/>
              <w:rPr>
                <w:b w:val="0"/>
              </w:rPr>
            </w:pPr>
            <w:r>
              <w:rPr>
                <w:b w:val="0"/>
              </w:rPr>
              <w:t>Students will be provided with opportunities to:</w:t>
            </w:r>
          </w:p>
          <w:p w:rsidR="006F78AA" w:rsidRDefault="006D7DCE" w:rsidP="006D7DCE">
            <w:pPr>
              <w:pStyle w:val="Tablebullets"/>
              <w:numPr>
                <w:ilvl w:val="0"/>
                <w:numId w:val="7"/>
              </w:numPr>
              <w:ind w:left="283" w:hanging="283"/>
            </w:pPr>
            <w:r w:rsidRPr="006D7DCE">
              <w:rPr>
                <w:rFonts w:eastAsia="SimSun"/>
              </w:rPr>
              <w:t>listen</w:t>
            </w:r>
            <w:r w:rsidRPr="006D7DCE">
              <w:t xml:space="preserve"> to, </w:t>
            </w:r>
            <w:r w:rsidRPr="006D7DCE">
              <w:rPr>
                <w:rFonts w:eastAsia="SimSun"/>
              </w:rPr>
              <w:t>read</w:t>
            </w:r>
            <w:r w:rsidRPr="006D7DCE">
              <w:t xml:space="preserve">, </w:t>
            </w:r>
            <w:r w:rsidRPr="006D7DCE">
              <w:rPr>
                <w:rFonts w:eastAsia="SimSun"/>
              </w:rPr>
              <w:t>view</w:t>
            </w:r>
            <w:r w:rsidRPr="006D7DCE">
              <w:t xml:space="preserve">, interpret and evaluate spoken, written and </w:t>
            </w:r>
            <w:r w:rsidRPr="006D7DCE">
              <w:rPr>
                <w:rFonts w:eastAsia="SimSun"/>
              </w:rPr>
              <w:t>multimodal texts</w:t>
            </w:r>
            <w:r w:rsidRPr="006D7DCE">
              <w:t xml:space="preserve"> in which the primary purpose is </w:t>
            </w:r>
            <w:r w:rsidRPr="006D7DCE">
              <w:rPr>
                <w:rFonts w:eastAsia="SimSun"/>
              </w:rPr>
              <w:t>aesthetic</w:t>
            </w:r>
            <w:r w:rsidRPr="006D7DCE">
              <w:t xml:space="preserve">, as well as </w:t>
            </w:r>
            <w:r w:rsidRPr="006D7DCE">
              <w:rPr>
                <w:rFonts w:eastAsia="SimSun"/>
              </w:rPr>
              <w:t>texts</w:t>
            </w:r>
            <w:r w:rsidRPr="006D7DCE">
              <w:t xml:space="preserve"> designed to inform and persuade.</w:t>
            </w:r>
          </w:p>
          <w:p w:rsidR="006D7DCE" w:rsidRDefault="007A4D2B" w:rsidP="006D7DCE">
            <w:pPr>
              <w:pStyle w:val="Tablebullets"/>
              <w:numPr>
                <w:ilvl w:val="0"/>
                <w:numId w:val="7"/>
              </w:numPr>
            </w:pPr>
            <w:r>
              <w:t>u</w:t>
            </w:r>
            <w:r w:rsidR="006D7DCE" w:rsidRPr="006D7DCE">
              <w:t>nderstand, interpret and experiment with sound devices and imagery, including simile, metaphor and personification, in narratives, shape poetry, songs, anthems and odes</w:t>
            </w:r>
            <w:r w:rsidR="006D7DCE">
              <w:t>.</w:t>
            </w:r>
          </w:p>
          <w:p w:rsidR="006D7DCE" w:rsidRDefault="007A4D2B" w:rsidP="006D7DCE">
            <w:pPr>
              <w:pStyle w:val="Tablebullets"/>
              <w:numPr>
                <w:ilvl w:val="0"/>
                <w:numId w:val="7"/>
              </w:numPr>
            </w:pPr>
            <w:r>
              <w:t>u</w:t>
            </w:r>
            <w:r w:rsidR="006D7DCE" w:rsidRPr="006D7DCE">
              <w:t>se interaction skills, for example paraphrasing, questioning and interpreting non-verbal cues and choose vocabulary and vocal effects appropriate for different audiences and purposes</w:t>
            </w:r>
            <w:r w:rsidR="006D7DCE">
              <w:t>.</w:t>
            </w:r>
          </w:p>
          <w:p w:rsidR="006F78AA" w:rsidRPr="00BE26EE" w:rsidRDefault="007A4D2B" w:rsidP="007A4D2B">
            <w:pPr>
              <w:pStyle w:val="Tablebullets"/>
              <w:numPr>
                <w:ilvl w:val="0"/>
                <w:numId w:val="7"/>
              </w:numPr>
            </w:pPr>
            <w:r>
              <w:t>p</w:t>
            </w:r>
            <w:r w:rsidR="006D7DCE" w:rsidRPr="006D7DCE">
              <w:t>lan, rehearse and deliver presentations for defined audiences and purposes incorporating accurate and sequenced content and multimodal elements</w:t>
            </w:r>
            <w:r w:rsidR="00122F30">
              <w:t>.</w:t>
            </w:r>
          </w:p>
        </w:tc>
      </w:tr>
      <w:tr w:rsidR="001F6C01" w:rsidRPr="009927F7" w:rsidTr="008D28C8">
        <w:trPr>
          <w:jc w:val="center"/>
        </w:trPr>
        <w:tc>
          <w:tcPr>
            <w:tcW w:w="5000" w:type="pct"/>
            <w:gridSpan w:val="2"/>
            <w:shd w:val="clear" w:color="auto" w:fill="CFE7E6"/>
          </w:tcPr>
          <w:p w:rsidR="001F6C01" w:rsidRPr="004E0C69" w:rsidRDefault="001F6C01" w:rsidP="00A343ED">
            <w:pPr>
              <w:pStyle w:val="Tablesubhead"/>
            </w:pPr>
            <w:r w:rsidRPr="004E0C69">
              <w:t>Bridging content</w:t>
            </w:r>
          </w:p>
        </w:tc>
      </w:tr>
      <w:tr w:rsidR="001F6C01" w:rsidRPr="00030551" w:rsidTr="001F6C01">
        <w:trPr>
          <w:jc w:val="center"/>
        </w:trPr>
        <w:tc>
          <w:tcPr>
            <w:tcW w:w="5000" w:type="pct"/>
            <w:gridSpan w:val="2"/>
            <w:shd w:val="clear" w:color="auto" w:fill="auto"/>
          </w:tcPr>
          <w:p w:rsidR="0066513B" w:rsidRDefault="0066513B" w:rsidP="0066513B">
            <w:pPr>
              <w:pStyle w:val="Tabletext"/>
            </w:pPr>
            <w:r>
              <w:t>The focus is on explicit teaching of:</w:t>
            </w:r>
          </w:p>
          <w:p w:rsidR="0066513B" w:rsidRDefault="0066513B" w:rsidP="0066513B">
            <w:pPr>
              <w:pStyle w:val="Tablebullets"/>
              <w:numPr>
                <w:ilvl w:val="0"/>
                <w:numId w:val="7"/>
              </w:numPr>
              <w:ind w:left="283" w:hanging="283"/>
            </w:pPr>
            <w:r>
              <w:t>devices used in poetry</w:t>
            </w:r>
          </w:p>
          <w:p w:rsidR="0066513B" w:rsidRDefault="00BE26EE" w:rsidP="0066513B">
            <w:pPr>
              <w:pStyle w:val="Tablebullets"/>
              <w:numPr>
                <w:ilvl w:val="0"/>
                <w:numId w:val="7"/>
              </w:numPr>
              <w:ind w:left="283" w:hanging="283"/>
            </w:pPr>
            <w:r w:rsidRPr="00DE3208">
              <w:t>the metalanguage of poetry and literary effects</w:t>
            </w:r>
          </w:p>
          <w:p w:rsidR="001F6C01" w:rsidRPr="00BE26EE" w:rsidRDefault="00BE26EE" w:rsidP="0066513B">
            <w:pPr>
              <w:pStyle w:val="Tablebullets"/>
              <w:numPr>
                <w:ilvl w:val="0"/>
                <w:numId w:val="7"/>
              </w:numPr>
              <w:ind w:left="283" w:hanging="283"/>
            </w:pPr>
            <w:r w:rsidRPr="00DE3208">
              <w:t>how different poets and authors play with words to achieve different effects.</w:t>
            </w:r>
          </w:p>
        </w:tc>
      </w:tr>
      <w:tr w:rsidR="001F6C01" w:rsidRPr="004E0C69"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F6C01" w:rsidRPr="001F6C01" w:rsidRDefault="001F6C01" w:rsidP="00A343ED">
            <w:pPr>
              <w:pStyle w:val="Tablesubhead"/>
            </w:pPr>
            <w:r w:rsidRPr="001F6C01">
              <w:t>Links to other learning areas</w:t>
            </w:r>
          </w:p>
        </w:tc>
      </w:tr>
      <w:tr w:rsidR="001F6C01" w:rsidRPr="00030551"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1F6C01" w:rsidRPr="004F6B3B" w:rsidRDefault="004F6B3B" w:rsidP="00793E97">
            <w:pPr>
              <w:pStyle w:val="Tabletext"/>
            </w:pPr>
            <w:r w:rsidRPr="00CE0CDF">
              <w:t xml:space="preserve">The </w:t>
            </w:r>
            <w:r>
              <w:t xml:space="preserve">skills, processes and knowledge of </w:t>
            </w:r>
            <w:r w:rsidRPr="00CE0CDF">
              <w:t>text structures and organisation</w:t>
            </w:r>
            <w:r>
              <w:t xml:space="preserve"> developed in English </w:t>
            </w:r>
            <w:r w:rsidRPr="00CE0CDF">
              <w:t>will be explored across a range of learning areas</w:t>
            </w:r>
            <w:r>
              <w:t xml:space="preserve"> but include the </w:t>
            </w:r>
            <w:r w:rsidR="00793E97">
              <w:t xml:space="preserve">specific language </w:t>
            </w:r>
            <w:r>
              <w:t xml:space="preserve">and structure of the learning area. This unit provides opportunities to connect to other learning areas through strategic selection of </w:t>
            </w:r>
            <w:r w:rsidR="00D4582D">
              <w:t xml:space="preserve">the </w:t>
            </w:r>
            <w:r>
              <w:t>subject matter of poems.</w:t>
            </w:r>
          </w:p>
        </w:tc>
      </w:tr>
    </w:tbl>
    <w:p w:rsidR="00364E09" w:rsidRDefault="00364E09" w:rsidP="008300AE"/>
    <w:p w:rsidR="00365706" w:rsidRPr="008300AE" w:rsidRDefault="00364E09" w:rsidP="00365706">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365706" w:rsidRPr="00561E58" w:rsidTr="00A343ED">
        <w:trPr>
          <w:tblHeader/>
          <w:jc w:val="center"/>
        </w:trPr>
        <w:tc>
          <w:tcPr>
            <w:tcW w:w="3548"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shd w:val="clear" w:color="auto" w:fill="8CC8C9"/>
          </w:tcPr>
          <w:p w:rsidR="00365706" w:rsidRPr="004E0C69" w:rsidRDefault="0072405D" w:rsidP="001E288D">
            <w:pPr>
              <w:pStyle w:val="Tablehead"/>
              <w:rPr>
                <w:szCs w:val="21"/>
              </w:rPr>
            </w:pPr>
            <w:r w:rsidRPr="004E0C69">
              <w:rPr>
                <w:szCs w:val="21"/>
              </w:rPr>
              <w:t>Make judgments</w:t>
            </w:r>
          </w:p>
        </w:tc>
      </w:tr>
      <w:tr w:rsidR="001E288D" w:rsidRPr="00561E58" w:rsidTr="00A343ED">
        <w:trPr>
          <w:jc w:val="center"/>
        </w:trPr>
        <w:tc>
          <w:tcPr>
            <w:tcW w:w="2642" w:type="pct"/>
            <w:shd w:val="clear" w:color="auto" w:fill="CFE7E6"/>
          </w:tcPr>
          <w:p w:rsidR="001E288D" w:rsidRPr="00365706" w:rsidRDefault="001E288D" w:rsidP="00365706">
            <w:pPr>
              <w:pStyle w:val="Tablesubhead"/>
            </w:pPr>
            <w:r w:rsidRPr="00365706">
              <w:t>Describe the assessment</w:t>
            </w:r>
          </w:p>
        </w:tc>
        <w:tc>
          <w:tcPr>
            <w:tcW w:w="906" w:type="pct"/>
            <w:shd w:val="clear" w:color="auto" w:fill="CFE7E6"/>
          </w:tcPr>
          <w:p w:rsidR="001E288D" w:rsidRPr="00365706" w:rsidRDefault="001E288D" w:rsidP="00365706">
            <w:pPr>
              <w:pStyle w:val="Tablesubhead"/>
            </w:pPr>
            <w:r w:rsidRPr="00365706">
              <w:t>Assessment date</w:t>
            </w:r>
          </w:p>
        </w:tc>
        <w:tc>
          <w:tcPr>
            <w:tcW w:w="1452" w:type="pct"/>
            <w:vMerge w:val="restart"/>
            <w:shd w:val="clear" w:color="auto" w:fill="auto"/>
          </w:tcPr>
          <w:p w:rsidR="001E288D" w:rsidRDefault="001E288D" w:rsidP="00DC74C9">
            <w:pPr>
              <w:pStyle w:val="Tabletext"/>
            </w:pPr>
            <w:r>
              <w:t>Teachers gather evidence to make judgments about the following characteristics of student work:</w:t>
            </w:r>
          </w:p>
          <w:p w:rsidR="001E288D" w:rsidRDefault="001E288D" w:rsidP="0072405D">
            <w:pPr>
              <w:pStyle w:val="Tablesubhead"/>
            </w:pPr>
            <w:r>
              <w:t>Receptive</w:t>
            </w:r>
          </w:p>
          <w:p w:rsidR="001E288D" w:rsidRDefault="001E288D" w:rsidP="004F6B3B">
            <w:pPr>
              <w:pStyle w:val="Tablebullets"/>
              <w:numPr>
                <w:ilvl w:val="0"/>
                <w:numId w:val="7"/>
              </w:numPr>
              <w:ind w:left="283" w:hanging="283"/>
            </w:pPr>
            <w:r>
              <w:t xml:space="preserve">identification of </w:t>
            </w:r>
            <w:r w:rsidRPr="00DE3208">
              <w:t>neologisms, spoonerisms, nonsense words or puns in poetry</w:t>
            </w:r>
          </w:p>
          <w:p w:rsidR="001E288D" w:rsidRDefault="001E288D" w:rsidP="00383D94">
            <w:pPr>
              <w:pStyle w:val="Tablesubhead"/>
            </w:pPr>
            <w:r>
              <w:t>Productive</w:t>
            </w:r>
          </w:p>
          <w:p w:rsidR="001E288D" w:rsidRPr="00383D94" w:rsidRDefault="001E288D" w:rsidP="00383D94">
            <w:pPr>
              <w:pStyle w:val="Tablebullets"/>
              <w:numPr>
                <w:ilvl w:val="0"/>
                <w:numId w:val="7"/>
              </w:numPr>
              <w:ind w:left="283" w:hanging="283"/>
            </w:pPr>
            <w:r>
              <w:t xml:space="preserve">selection, organisation and synthesis of relevant ideas and information for </w:t>
            </w:r>
            <w:r w:rsidR="00432FCC">
              <w:t>different</w:t>
            </w:r>
            <w:r>
              <w:t xml:space="preserve"> purposes and audiences</w:t>
            </w:r>
          </w:p>
          <w:p w:rsidR="001E288D" w:rsidRPr="00DE3208" w:rsidRDefault="001E288D" w:rsidP="004F6B3B">
            <w:pPr>
              <w:pStyle w:val="Tablebullets"/>
              <w:numPr>
                <w:ilvl w:val="0"/>
                <w:numId w:val="7"/>
              </w:numPr>
              <w:ind w:left="283" w:hanging="283"/>
            </w:pPr>
            <w:r>
              <w:t>selection and use of a range of vocabulary</w:t>
            </w:r>
            <w:r w:rsidR="00B7741E">
              <w:t xml:space="preserve"> and grammar</w:t>
            </w:r>
            <w:r>
              <w:t xml:space="preserve"> to achieve particular effects</w:t>
            </w:r>
          </w:p>
          <w:p w:rsidR="001E288D" w:rsidRDefault="001E288D" w:rsidP="005247F9">
            <w:pPr>
              <w:pStyle w:val="Tablebullets"/>
              <w:numPr>
                <w:ilvl w:val="0"/>
                <w:numId w:val="7"/>
              </w:numPr>
              <w:spacing w:after="120"/>
              <w:ind w:left="284" w:hanging="284"/>
            </w:pPr>
            <w:r>
              <w:t>use of text and language features to achieve purposes and effects</w:t>
            </w:r>
          </w:p>
          <w:p w:rsidR="001E288D" w:rsidRPr="004F6B3B" w:rsidRDefault="001E288D" w:rsidP="00432FCC">
            <w:pPr>
              <w:pStyle w:val="Tablebullets"/>
              <w:tabs>
                <w:tab w:val="clear" w:pos="284"/>
              </w:tabs>
              <w:ind w:left="0" w:firstLine="0"/>
            </w:pPr>
            <w:r w:rsidRPr="001E288D">
              <w:t xml:space="preserve">For further advice and guidelines on constructing guides to making judgments refer to the Learning area standard descriptors: </w:t>
            </w:r>
            <w:hyperlink r:id="rId33" w:history="1">
              <w:r w:rsidR="00432FCC" w:rsidRPr="00432FCC">
                <w:rPr>
                  <w:rStyle w:val="Hyperlink"/>
                  <w:sz w:val="20"/>
                </w:rPr>
                <w:t>www.qsa.</w:t>
              </w:r>
              <w:r w:rsidR="00432FCC" w:rsidRPr="00432FCC">
                <w:rPr>
                  <w:rStyle w:val="Hyperlink"/>
                  <w:sz w:val="20"/>
                </w:rPr>
                <w:t>q</w:t>
              </w:r>
              <w:r w:rsidR="00432FCC" w:rsidRPr="00432FCC">
                <w:rPr>
                  <w:rStyle w:val="Hyperlink"/>
                  <w:sz w:val="20"/>
                </w:rPr>
                <w:t>ld.edu.au</w:t>
              </w:r>
            </w:hyperlink>
          </w:p>
        </w:tc>
      </w:tr>
      <w:tr w:rsidR="001E288D" w:rsidRPr="00030551" w:rsidTr="008B55C8">
        <w:trPr>
          <w:trHeight w:val="3581"/>
          <w:jc w:val="center"/>
        </w:trPr>
        <w:tc>
          <w:tcPr>
            <w:tcW w:w="2642" w:type="pct"/>
            <w:tcBorders>
              <w:bottom w:val="nil"/>
            </w:tcBorders>
            <w:shd w:val="clear" w:color="auto" w:fill="auto"/>
          </w:tcPr>
          <w:p w:rsidR="001E288D" w:rsidRDefault="001E288D" w:rsidP="0023753B">
            <w:pPr>
              <w:pStyle w:val="Tabletext"/>
            </w:pPr>
            <w:r>
              <w:t>Students are given opportunities to demonstrate their knowledge, skills and understanding through both formative and summative assessment. The assessment is collated in student folios and allows for ongoing feedback to students on their learning.</w:t>
            </w:r>
          </w:p>
          <w:p w:rsidR="001E288D" w:rsidRDefault="001E288D" w:rsidP="0023753B">
            <w:pPr>
              <w:pStyle w:val="Tabletext"/>
            </w:pPr>
            <w:r>
              <w:t>Year 4 teachers make decisions about the length of time required to complete the tasks and the conditions under which the assessment is to be conducted.</w:t>
            </w:r>
          </w:p>
          <w:p w:rsidR="001E288D" w:rsidRDefault="001E288D" w:rsidP="0023753B">
            <w:pPr>
              <w:pStyle w:val="Tabletext"/>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p w:rsidR="001E288D" w:rsidRPr="004F6B3B" w:rsidRDefault="001E288D" w:rsidP="008B55C8">
            <w:pPr>
              <w:pStyle w:val="Tabletext"/>
              <w:spacing w:after="0"/>
            </w:pPr>
            <w:r w:rsidRPr="001D7447">
              <w:t xml:space="preserve">Students will choose a poem </w:t>
            </w:r>
            <w:r>
              <w:t xml:space="preserve">to present to a familiar audience. The poem needs to include the deliberate use of devices and word plays, for example </w:t>
            </w:r>
            <w:r w:rsidRPr="001D7447">
              <w:t xml:space="preserve">neologisms, spoonerisms, nonsense words or puns. </w:t>
            </w:r>
            <w:r>
              <w:t>Students plan and rehearse their poetry presentation for a peer to receive feedback on ways to improve their interaction skills.</w:t>
            </w:r>
          </w:p>
        </w:tc>
        <w:tc>
          <w:tcPr>
            <w:tcW w:w="906" w:type="pct"/>
            <w:tcBorders>
              <w:bottom w:val="nil"/>
            </w:tcBorders>
            <w:shd w:val="clear" w:color="auto" w:fill="auto"/>
          </w:tcPr>
          <w:p w:rsidR="001E288D" w:rsidRPr="004F6B3B" w:rsidRDefault="001E288D" w:rsidP="003F3184">
            <w:pPr>
              <w:pStyle w:val="Tabletext"/>
            </w:pPr>
          </w:p>
        </w:tc>
        <w:tc>
          <w:tcPr>
            <w:tcW w:w="1452" w:type="pct"/>
            <w:vMerge/>
            <w:shd w:val="clear" w:color="auto" w:fill="auto"/>
          </w:tcPr>
          <w:p w:rsidR="001E288D" w:rsidRPr="00030551" w:rsidRDefault="001E288D" w:rsidP="00030551">
            <w:pPr>
              <w:pStyle w:val="Tabletext"/>
            </w:pPr>
          </w:p>
        </w:tc>
      </w:tr>
      <w:tr w:rsidR="001E288D" w:rsidRPr="00030551" w:rsidTr="008B55C8">
        <w:trPr>
          <w:trHeight w:val="1609"/>
          <w:jc w:val="center"/>
        </w:trPr>
        <w:tc>
          <w:tcPr>
            <w:tcW w:w="2642" w:type="pct"/>
            <w:tcBorders>
              <w:top w:val="nil"/>
              <w:bottom w:val="nil"/>
            </w:tcBorders>
            <w:shd w:val="clear" w:color="auto" w:fill="auto"/>
          </w:tcPr>
          <w:p w:rsidR="001E288D" w:rsidRDefault="001E288D" w:rsidP="004F6B3B">
            <w:pPr>
              <w:pStyle w:val="Tabletext"/>
            </w:pPr>
            <w:r>
              <w:rPr>
                <w:b/>
              </w:rPr>
              <w:t>Imaginative</w:t>
            </w:r>
            <w:r w:rsidR="00D4582D">
              <w:rPr>
                <w:b/>
              </w:rPr>
              <w:t>:</w:t>
            </w:r>
            <w:r>
              <w:rPr>
                <w:b/>
              </w:rPr>
              <w:t xml:space="preserve"> Performance (Multimodal)</w:t>
            </w:r>
            <w:r w:rsidRPr="003F3184">
              <w:rPr>
                <w:b/>
              </w:rPr>
              <w:t xml:space="preserve"> </w:t>
            </w:r>
          </w:p>
          <w:p w:rsidR="001E288D" w:rsidRDefault="001E288D" w:rsidP="004F6B3B">
            <w:pPr>
              <w:pStyle w:val="Tabletext"/>
            </w:pPr>
            <w:r>
              <w:t>Students</w:t>
            </w:r>
            <w:r w:rsidRPr="001D7447">
              <w:t xml:space="preserve"> </w:t>
            </w:r>
            <w:r>
              <w:t>create a multimodal performance of</w:t>
            </w:r>
            <w:r w:rsidRPr="001D7447">
              <w:t xml:space="preserve"> their poem </w:t>
            </w:r>
            <w:r>
              <w:t xml:space="preserve">and present </w:t>
            </w:r>
            <w:r w:rsidRPr="001D7447">
              <w:t>to a familiar audience (peers or parents).</w:t>
            </w:r>
          </w:p>
          <w:p w:rsidR="001E288D" w:rsidRDefault="001E288D" w:rsidP="004F6B3B">
            <w:pPr>
              <w:pStyle w:val="Tabletext"/>
            </w:pPr>
            <w:r>
              <w:t>Suggested conditions:</w:t>
            </w:r>
          </w:p>
          <w:p w:rsidR="001E288D" w:rsidRDefault="001E288D" w:rsidP="00B7062E">
            <w:pPr>
              <w:pStyle w:val="Tablebullets"/>
              <w:numPr>
                <w:ilvl w:val="0"/>
                <w:numId w:val="7"/>
              </w:numPr>
              <w:ind w:left="283" w:hanging="283"/>
            </w:pPr>
            <w:r>
              <w:t>1</w:t>
            </w:r>
            <w:r w:rsidR="00D4582D">
              <w:t>–</w:t>
            </w:r>
            <w:r>
              <w:t>2 minutes</w:t>
            </w:r>
          </w:p>
          <w:p w:rsidR="001E288D" w:rsidRDefault="00D4582D" w:rsidP="008B55C8">
            <w:pPr>
              <w:pStyle w:val="Tablebullets"/>
              <w:numPr>
                <w:ilvl w:val="0"/>
                <w:numId w:val="7"/>
              </w:numPr>
              <w:spacing w:after="0"/>
              <w:ind w:left="284" w:hanging="284"/>
            </w:pPr>
            <w:r>
              <w:t>o</w:t>
            </w:r>
            <w:r w:rsidR="001E288D">
              <w:t>pen</w:t>
            </w:r>
            <w:r>
              <w:t>.</w:t>
            </w:r>
          </w:p>
        </w:tc>
        <w:tc>
          <w:tcPr>
            <w:tcW w:w="906" w:type="pct"/>
            <w:tcBorders>
              <w:top w:val="nil"/>
              <w:bottom w:val="nil"/>
            </w:tcBorders>
            <w:shd w:val="clear" w:color="auto" w:fill="auto"/>
          </w:tcPr>
          <w:p w:rsidR="001E288D" w:rsidRDefault="001E288D" w:rsidP="003F3184">
            <w:pPr>
              <w:pStyle w:val="Tabletext"/>
              <w:rPr>
                <w:b/>
              </w:rPr>
            </w:pPr>
            <w:r w:rsidRPr="008B55C8">
              <w:t>Weeks 5 and 6</w:t>
            </w:r>
          </w:p>
        </w:tc>
        <w:tc>
          <w:tcPr>
            <w:tcW w:w="1452" w:type="pct"/>
            <w:vMerge/>
            <w:shd w:val="clear" w:color="auto" w:fill="auto"/>
          </w:tcPr>
          <w:p w:rsidR="001E288D" w:rsidRPr="00030551" w:rsidRDefault="001E288D" w:rsidP="00030551">
            <w:pPr>
              <w:pStyle w:val="Tabletext"/>
            </w:pPr>
          </w:p>
        </w:tc>
      </w:tr>
      <w:tr w:rsidR="001E288D" w:rsidRPr="00030551" w:rsidTr="008B55C8">
        <w:trPr>
          <w:trHeight w:val="1633"/>
          <w:jc w:val="center"/>
        </w:trPr>
        <w:tc>
          <w:tcPr>
            <w:tcW w:w="2642" w:type="pct"/>
            <w:tcBorders>
              <w:top w:val="nil"/>
            </w:tcBorders>
            <w:shd w:val="clear" w:color="auto" w:fill="auto"/>
          </w:tcPr>
          <w:p w:rsidR="001E288D" w:rsidRPr="003F3184" w:rsidRDefault="001E288D" w:rsidP="004F6B3B">
            <w:pPr>
              <w:pStyle w:val="Tabletext"/>
              <w:rPr>
                <w:b/>
              </w:rPr>
            </w:pPr>
            <w:r>
              <w:rPr>
                <w:b/>
              </w:rPr>
              <w:t>Informative</w:t>
            </w:r>
            <w:r w:rsidR="005F57F7">
              <w:rPr>
                <w:b/>
              </w:rPr>
              <w:t xml:space="preserve">: </w:t>
            </w:r>
            <w:r>
              <w:rPr>
                <w:b/>
              </w:rPr>
              <w:t>E</w:t>
            </w:r>
            <w:r w:rsidRPr="003F3184">
              <w:rPr>
                <w:b/>
              </w:rPr>
              <w:t>xposition</w:t>
            </w:r>
            <w:r>
              <w:rPr>
                <w:b/>
              </w:rPr>
              <w:t xml:space="preserve"> (Written)</w:t>
            </w:r>
          </w:p>
          <w:p w:rsidR="001E288D" w:rsidRDefault="001E288D" w:rsidP="004F6B3B">
            <w:pPr>
              <w:pStyle w:val="Tabletext"/>
              <w:rPr>
                <w:b/>
              </w:rPr>
            </w:pPr>
            <w:r>
              <w:t>Students create a written exposition</w:t>
            </w:r>
            <w:r w:rsidRPr="001D7447">
              <w:t xml:space="preserve"> </w:t>
            </w:r>
            <w:r>
              <w:t xml:space="preserve">to demonstrate an </w:t>
            </w:r>
            <w:r w:rsidRPr="001D7447">
              <w:t xml:space="preserve">understanding of the language devices </w:t>
            </w:r>
            <w:r>
              <w:t xml:space="preserve">and word plays </w:t>
            </w:r>
            <w:r w:rsidRPr="001D7447">
              <w:t>in the poem that they have chosen to present</w:t>
            </w:r>
            <w:r>
              <w:rPr>
                <w:b/>
              </w:rPr>
              <w:t>.</w:t>
            </w:r>
          </w:p>
          <w:p w:rsidR="001E288D" w:rsidRDefault="001E288D" w:rsidP="00B7062E">
            <w:pPr>
              <w:pStyle w:val="Tabletext"/>
            </w:pPr>
            <w:r>
              <w:t>Suggested conditions:</w:t>
            </w:r>
          </w:p>
          <w:p w:rsidR="001E288D" w:rsidRDefault="001E288D" w:rsidP="00B7062E">
            <w:pPr>
              <w:pStyle w:val="Tablebullets"/>
              <w:numPr>
                <w:ilvl w:val="0"/>
                <w:numId w:val="7"/>
              </w:numPr>
              <w:ind w:left="283" w:hanging="283"/>
            </w:pPr>
            <w:r>
              <w:t>100</w:t>
            </w:r>
            <w:r w:rsidR="005F57F7">
              <w:t>–</w:t>
            </w:r>
            <w:r>
              <w:t>200 words</w:t>
            </w:r>
          </w:p>
          <w:p w:rsidR="001E288D" w:rsidRDefault="005F57F7" w:rsidP="00B7062E">
            <w:pPr>
              <w:pStyle w:val="Tablebullets"/>
              <w:numPr>
                <w:ilvl w:val="0"/>
                <w:numId w:val="7"/>
              </w:numPr>
              <w:ind w:left="283" w:hanging="283"/>
              <w:rPr>
                <w:b/>
              </w:rPr>
            </w:pPr>
            <w:r>
              <w:t>o</w:t>
            </w:r>
            <w:r w:rsidR="001E288D">
              <w:t>pen</w:t>
            </w:r>
            <w:r>
              <w:t>.</w:t>
            </w:r>
          </w:p>
        </w:tc>
        <w:tc>
          <w:tcPr>
            <w:tcW w:w="906" w:type="pct"/>
            <w:tcBorders>
              <w:top w:val="nil"/>
            </w:tcBorders>
            <w:shd w:val="clear" w:color="auto" w:fill="auto"/>
          </w:tcPr>
          <w:p w:rsidR="001E288D" w:rsidRPr="008B55C8" w:rsidRDefault="001E288D" w:rsidP="003F3184">
            <w:pPr>
              <w:pStyle w:val="Tabletext"/>
            </w:pPr>
            <w:r w:rsidRPr="008B55C8">
              <w:t>Week 7</w:t>
            </w:r>
          </w:p>
        </w:tc>
        <w:tc>
          <w:tcPr>
            <w:tcW w:w="1452" w:type="pct"/>
            <w:vMerge/>
            <w:shd w:val="clear" w:color="auto" w:fill="auto"/>
          </w:tcPr>
          <w:p w:rsidR="001E288D" w:rsidRPr="00030551" w:rsidRDefault="001E288D" w:rsidP="00030551">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2C0575" w:rsidRPr="00030551" w:rsidTr="00A343ED">
        <w:trPr>
          <w:jc w:val="center"/>
        </w:trPr>
        <w:tc>
          <w:tcPr>
            <w:tcW w:w="2680" w:type="pct"/>
            <w:shd w:val="clear" w:color="auto" w:fill="auto"/>
          </w:tcPr>
          <w:p w:rsidR="00C77FCF" w:rsidRDefault="006F7EEE" w:rsidP="00C77FCF">
            <w:pPr>
              <w:pStyle w:val="Tablebullets"/>
              <w:numPr>
                <w:ilvl w:val="0"/>
                <w:numId w:val="7"/>
              </w:numPr>
              <w:ind w:left="283" w:hanging="283"/>
            </w:pPr>
            <w:r w:rsidRPr="001D7447">
              <w:t>Read</w:t>
            </w:r>
            <w:r w:rsidR="00C77FCF" w:rsidRPr="001D7447">
              <w:t>, view and listen to a range of poems and songs in print, electronic and online forms</w:t>
            </w:r>
            <w:r w:rsidR="008039FB">
              <w:t>.</w:t>
            </w:r>
            <w:r w:rsidR="00C77FCF" w:rsidRPr="001D7447">
              <w:t xml:space="preserve"> </w:t>
            </w:r>
          </w:p>
          <w:p w:rsidR="00C77FCF" w:rsidRPr="001D7447" w:rsidRDefault="006F7EEE" w:rsidP="008B55C8">
            <w:pPr>
              <w:pStyle w:val="Tablebullets"/>
              <w:numPr>
                <w:ilvl w:val="0"/>
                <w:numId w:val="41"/>
              </w:numPr>
              <w:ind w:left="298" w:hanging="298"/>
            </w:pPr>
            <w:r w:rsidRPr="001D7447">
              <w:t xml:space="preserve">Explicitly </w:t>
            </w:r>
            <w:r w:rsidR="00C77FCF" w:rsidRPr="001D7447">
              <w:t>identif</w:t>
            </w:r>
            <w:r>
              <w:t>y</w:t>
            </w:r>
            <w:r w:rsidR="00C77FCF" w:rsidRPr="001D7447">
              <w:t xml:space="preserve"> the deliberate use and purpose of devices and word plays including neologisms, spoonerisms,</w:t>
            </w:r>
            <w:r w:rsidR="00C77FCF">
              <w:t xml:space="preserve"> </w:t>
            </w:r>
            <w:r w:rsidR="00C77FCF" w:rsidRPr="001D7447">
              <w:t xml:space="preserve">nonsense words and puns </w:t>
            </w:r>
          </w:p>
          <w:p w:rsidR="00C77FCF" w:rsidRPr="001D7447" w:rsidRDefault="006F7EEE" w:rsidP="008B55C8">
            <w:pPr>
              <w:pStyle w:val="Tablebullets"/>
              <w:numPr>
                <w:ilvl w:val="0"/>
                <w:numId w:val="41"/>
              </w:numPr>
              <w:ind w:left="298" w:hanging="298"/>
            </w:pPr>
            <w:r w:rsidRPr="001D7447">
              <w:t>Support</w:t>
            </w:r>
            <w:r w:rsidR="00C77FCF" w:rsidRPr="001D7447">
              <w:t xml:space="preserve"> students to infer meaning of unknown and nonsense words from the context of the poem</w:t>
            </w:r>
            <w:r w:rsidR="00C77FCF">
              <w:t>.</w:t>
            </w:r>
          </w:p>
          <w:p w:rsidR="00C77FCF" w:rsidRPr="001D7447" w:rsidRDefault="006F7EEE" w:rsidP="008B55C8">
            <w:pPr>
              <w:pStyle w:val="Tablebullets"/>
              <w:numPr>
                <w:ilvl w:val="0"/>
                <w:numId w:val="41"/>
              </w:numPr>
              <w:ind w:left="298" w:hanging="298"/>
            </w:pPr>
            <w:r w:rsidRPr="001D7447">
              <w:t xml:space="preserve">Identify </w:t>
            </w:r>
            <w:r w:rsidR="00C77FCF" w:rsidRPr="001D7447">
              <w:t>devices and word plays within poems and other texts</w:t>
            </w:r>
          </w:p>
          <w:p w:rsidR="00C77FCF" w:rsidRDefault="006F7EEE" w:rsidP="008B55C8">
            <w:pPr>
              <w:pStyle w:val="Tablebullets"/>
              <w:numPr>
                <w:ilvl w:val="0"/>
                <w:numId w:val="41"/>
              </w:numPr>
              <w:ind w:left="298" w:hanging="298"/>
            </w:pPr>
            <w:r>
              <w:t xml:space="preserve">Discuss </w:t>
            </w:r>
            <w:r w:rsidR="00C77FCF">
              <w:t xml:space="preserve">their </w:t>
            </w:r>
            <w:r w:rsidR="00C77FCF" w:rsidRPr="001D7447">
              <w:t>respon</w:t>
            </w:r>
            <w:r w:rsidR="00C77FCF">
              <w:t>ses</w:t>
            </w:r>
            <w:r w:rsidR="00C77FCF" w:rsidRPr="001D7447">
              <w:t xml:space="preserve"> to a range of poems</w:t>
            </w:r>
            <w:r w:rsidR="008039FB">
              <w:t>.</w:t>
            </w:r>
            <w:r w:rsidR="00C77FCF" w:rsidRPr="001D7447">
              <w:t xml:space="preserve"> </w:t>
            </w:r>
          </w:p>
          <w:p w:rsidR="00C77FCF" w:rsidRPr="001D7447" w:rsidRDefault="006F7EEE" w:rsidP="006F7EEE">
            <w:pPr>
              <w:pStyle w:val="Tablebullets"/>
              <w:numPr>
                <w:ilvl w:val="0"/>
                <w:numId w:val="41"/>
              </w:numPr>
              <w:ind w:left="298" w:hanging="298"/>
            </w:pPr>
            <w:r w:rsidRPr="001D7447">
              <w:t>Model</w:t>
            </w:r>
            <w:r w:rsidR="00C77FCF" w:rsidRPr="001D7447">
              <w:t xml:space="preserve"> a poetry presentation with an emphasis on the imaginative, playful and </w:t>
            </w:r>
            <w:r w:rsidR="00C77FCF">
              <w:t>deliberate</w:t>
            </w:r>
            <w:r w:rsidR="00C77FCF" w:rsidRPr="001D7447">
              <w:t xml:space="preserve"> selection of words and phrases to draw out a response from the audience</w:t>
            </w:r>
            <w:r w:rsidR="00C77FCF">
              <w:t>.</w:t>
            </w:r>
          </w:p>
          <w:p w:rsidR="00C77FCF" w:rsidRPr="001D7447" w:rsidRDefault="006F7EEE" w:rsidP="00C77FCF">
            <w:pPr>
              <w:pStyle w:val="Tablebullets"/>
              <w:numPr>
                <w:ilvl w:val="0"/>
                <w:numId w:val="7"/>
              </w:numPr>
              <w:ind w:left="283" w:hanging="283"/>
            </w:pPr>
            <w:r w:rsidRPr="001D7447">
              <w:t xml:space="preserve">Give </w:t>
            </w:r>
            <w:r w:rsidR="00C77FCF" w:rsidRPr="001D7447">
              <w:t>feedback on teacher presentation</w:t>
            </w:r>
            <w:r w:rsidR="00C77FCF">
              <w:t>.</w:t>
            </w:r>
          </w:p>
          <w:p w:rsidR="00C77FCF" w:rsidRPr="008039FB" w:rsidRDefault="006F7EEE" w:rsidP="008B55C8">
            <w:pPr>
              <w:pStyle w:val="Tablebullets"/>
              <w:numPr>
                <w:ilvl w:val="0"/>
                <w:numId w:val="41"/>
              </w:numPr>
              <w:ind w:left="298" w:hanging="298"/>
            </w:pPr>
            <w:r w:rsidRPr="008039FB">
              <w:t xml:space="preserve">Jointly </w:t>
            </w:r>
            <w:r w:rsidR="00C77FCF" w:rsidRPr="008039FB">
              <w:t>construct a written analysis of the poem the teacher presented.</w:t>
            </w:r>
          </w:p>
          <w:p w:rsidR="00C77FCF" w:rsidRPr="001D7447" w:rsidRDefault="006F7EEE" w:rsidP="008B55C8">
            <w:pPr>
              <w:pStyle w:val="Tablebullets"/>
              <w:numPr>
                <w:ilvl w:val="0"/>
                <w:numId w:val="41"/>
              </w:numPr>
              <w:ind w:left="298" w:hanging="298"/>
            </w:pPr>
            <w:r w:rsidRPr="001D7447">
              <w:t xml:space="preserve">Select </w:t>
            </w:r>
            <w:r w:rsidR="00C77FCF" w:rsidRPr="001D7447">
              <w:t xml:space="preserve">a poem to </w:t>
            </w:r>
            <w:r w:rsidR="00C77FCF">
              <w:t xml:space="preserve">interpret and </w:t>
            </w:r>
            <w:r w:rsidR="00C77FCF" w:rsidRPr="001D7447">
              <w:t>present</w:t>
            </w:r>
          </w:p>
          <w:p w:rsidR="00A9101E" w:rsidRPr="00C77FCF" w:rsidRDefault="006F7EEE" w:rsidP="00A96AE5">
            <w:pPr>
              <w:pStyle w:val="Tablebullets"/>
              <w:numPr>
                <w:ilvl w:val="0"/>
                <w:numId w:val="41"/>
              </w:numPr>
              <w:ind w:left="298" w:hanging="298"/>
            </w:pPr>
            <w:r>
              <w:t>I</w:t>
            </w:r>
            <w:r w:rsidR="00C77FCF">
              <w:t>n pairs, p</w:t>
            </w:r>
            <w:r w:rsidR="00C77FCF" w:rsidRPr="001D7447">
              <w:t xml:space="preserve">lan and rehearse </w:t>
            </w:r>
            <w:r w:rsidR="00C77FCF">
              <w:t xml:space="preserve">their presentation — </w:t>
            </w:r>
            <w:r w:rsidR="00A96AE5">
              <w:t xml:space="preserve">students </w:t>
            </w:r>
            <w:r w:rsidR="00C77FCF">
              <w:t>present a</w:t>
            </w:r>
            <w:r w:rsidR="00C77FCF" w:rsidRPr="001D7447">
              <w:t xml:space="preserve"> poem</w:t>
            </w:r>
            <w:r w:rsidR="008039FB">
              <w:t xml:space="preserve"> and</w:t>
            </w:r>
            <w:r w:rsidR="00C77FCF">
              <w:t xml:space="preserve"> provide and receive </w:t>
            </w:r>
            <w:r w:rsidR="00C77FCF" w:rsidRPr="001D7447">
              <w:t xml:space="preserve">feedback to improve </w:t>
            </w:r>
            <w:r w:rsidR="008039FB">
              <w:t xml:space="preserve">each other’s </w:t>
            </w:r>
            <w:r w:rsidR="00C77FCF" w:rsidRPr="001D7447">
              <w:t>presentation</w:t>
            </w:r>
            <w:r w:rsidR="00C77FCF">
              <w:t>.</w:t>
            </w:r>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4D74AE">
              <w:t>s</w:t>
            </w:r>
            <w:r>
              <w:t xml:space="preserv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FA4C69" w:rsidRDefault="00FA4C69" w:rsidP="00FA4C69">
            <w:pPr>
              <w:pStyle w:val="Tabletext"/>
            </w:pPr>
          </w:p>
          <w:p w:rsidR="00030551" w:rsidRPr="00C77FCF" w:rsidRDefault="00030551" w:rsidP="00C77FCF"/>
        </w:tc>
        <w:tc>
          <w:tcPr>
            <w:tcW w:w="1117" w:type="pct"/>
            <w:shd w:val="clear" w:color="auto" w:fill="auto"/>
          </w:tcPr>
          <w:p w:rsidR="00BC4B5F" w:rsidRDefault="00BC4B5F" w:rsidP="00BC4B5F">
            <w:pPr>
              <w:pStyle w:val="Tablebullets"/>
              <w:tabs>
                <w:tab w:val="clear" w:pos="284"/>
              </w:tabs>
              <w:spacing w:line="240" w:lineRule="auto"/>
            </w:pPr>
            <w:r>
              <w:t>Students would benefit from</w:t>
            </w:r>
          </w:p>
          <w:p w:rsidR="00BC4B5F" w:rsidRDefault="00BC4B5F" w:rsidP="00BC4B5F">
            <w:pPr>
              <w:pStyle w:val="Tablebullets"/>
              <w:tabs>
                <w:tab w:val="clear" w:pos="284"/>
              </w:tabs>
              <w:spacing w:line="240" w:lineRule="auto"/>
            </w:pPr>
            <w:r>
              <w:t>access to:</w:t>
            </w:r>
          </w:p>
          <w:p w:rsidR="00C77FCF" w:rsidRDefault="00C77FCF" w:rsidP="00C77FCF">
            <w:pPr>
              <w:pStyle w:val="Tablebullets"/>
              <w:numPr>
                <w:ilvl w:val="0"/>
                <w:numId w:val="7"/>
              </w:numPr>
              <w:ind w:left="283" w:hanging="283"/>
            </w:pPr>
            <w:r>
              <w:t>a variety of literary texts</w:t>
            </w:r>
          </w:p>
          <w:p w:rsidR="00A9101E" w:rsidRPr="00C77FCF" w:rsidRDefault="00C77FCF" w:rsidP="00DB689E">
            <w:pPr>
              <w:pStyle w:val="Tablebullets"/>
              <w:numPr>
                <w:ilvl w:val="0"/>
                <w:numId w:val="7"/>
              </w:numPr>
              <w:ind w:left="283" w:hanging="283"/>
            </w:pPr>
            <w:r>
              <w:t>interactive whiteboards (optional).</w:t>
            </w:r>
          </w:p>
        </w:tc>
      </w:tr>
    </w:tbl>
    <w:p w:rsidR="002A67FA" w:rsidRDefault="002A67FA" w:rsidP="008300AE"/>
    <w:p w:rsidR="002A67FA" w:rsidRPr="008300AE" w:rsidRDefault="002A67FA" w:rsidP="008B55C8">
      <w:pPr>
        <w:pStyle w:val="Tablebullets"/>
        <w:tabs>
          <w:tab w:val="clear" w:pos="284"/>
        </w:tabs>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C16B90" w:rsidRDefault="00B622C7" w:rsidP="00C16B90">
            <w:pPr>
              <w:pStyle w:val="Tabletext"/>
            </w:pPr>
            <w:r w:rsidRPr="00C16B90">
              <w:t>Teachers meet to collaboratively plan the teaching, learning and assessment to meet the needs of all learners in each unit.</w:t>
            </w:r>
          </w:p>
          <w:p w:rsidR="00B622C7" w:rsidRPr="00C16B90" w:rsidRDefault="00B622C7" w:rsidP="00C16B90">
            <w:pPr>
              <w:pStyle w:val="Tabletext"/>
            </w:pPr>
            <w:r w:rsidRPr="00C16B90">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C16B90" w:rsidRDefault="00B622C7" w:rsidP="00C16B90">
            <w:pPr>
              <w:pStyle w:val="Tabletext"/>
            </w:pPr>
            <w:r w:rsidRPr="00C16B90">
              <w:t>Teachers strategically plan opportunities and ways to provide ongoing feedback (both written and informal) and encouragement to students on their strengths and areas for improvement.</w:t>
            </w:r>
          </w:p>
          <w:p w:rsidR="00B622C7" w:rsidRPr="00C16B90" w:rsidRDefault="00B622C7" w:rsidP="007F1751">
            <w:pPr>
              <w:pStyle w:val="Tabletext"/>
            </w:pPr>
            <w:r w:rsidRPr="00C16B90">
              <w:t xml:space="preserve">Students </w:t>
            </w:r>
            <w:r w:rsidRPr="007F1751">
              <w:t>reflect</w:t>
            </w:r>
            <w:r w:rsidRPr="00C16B90">
              <w:t xml:space="preserve"> on and discuss with their teachers or peers what they can do well and what they need to improve.</w:t>
            </w:r>
          </w:p>
          <w:p w:rsidR="00B622C7" w:rsidRPr="00C16B90" w:rsidRDefault="00B622C7" w:rsidP="000A42D0">
            <w:pPr>
              <w:pStyle w:val="Tabletext"/>
            </w:pPr>
            <w:r w:rsidRPr="00C16B90">
              <w:t xml:space="preserve">Teachers reflect on and review learning opportunities to incorporate specific learning experiences and provide multiple opportunities for </w:t>
            </w:r>
            <w:r w:rsidR="000A42D0">
              <w:t>students</w:t>
            </w:r>
            <w:r w:rsidR="000A42D0" w:rsidRPr="00C16B90">
              <w:t xml:space="preserve"> </w:t>
            </w:r>
            <w:r w:rsidRPr="00C16B90">
              <w:t>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C16B90" w:rsidRDefault="00B622C7" w:rsidP="00C16B90">
            <w:pPr>
              <w:pStyle w:val="Tabletext"/>
            </w:pPr>
            <w:r w:rsidRPr="00C16B90">
              <w:t>Identify what worked well during and at the end of the unit, including:</w:t>
            </w:r>
          </w:p>
          <w:p w:rsidR="00B622C7" w:rsidRPr="00D77844" w:rsidRDefault="00B622C7" w:rsidP="00D77844">
            <w:pPr>
              <w:pStyle w:val="Tablebullets"/>
              <w:numPr>
                <w:ilvl w:val="0"/>
                <w:numId w:val="7"/>
              </w:numPr>
              <w:ind w:left="283" w:hanging="283"/>
            </w:pPr>
            <w:r w:rsidRPr="00D77844">
              <w:t>activities that worked well and why</w:t>
            </w:r>
          </w:p>
          <w:p w:rsidR="00B622C7" w:rsidRPr="00D77844" w:rsidRDefault="00B622C7" w:rsidP="00D77844">
            <w:pPr>
              <w:pStyle w:val="Tablebullets"/>
              <w:numPr>
                <w:ilvl w:val="0"/>
                <w:numId w:val="7"/>
              </w:numPr>
              <w:ind w:left="283" w:hanging="283"/>
            </w:pPr>
            <w:r w:rsidRPr="00D77844">
              <w:t>activities that could be improved and how</w:t>
            </w:r>
          </w:p>
          <w:p w:rsidR="00B622C7" w:rsidRPr="00D77844" w:rsidRDefault="00B622C7" w:rsidP="00D77844">
            <w:pPr>
              <w:pStyle w:val="Tablebullets"/>
              <w:numPr>
                <w:ilvl w:val="0"/>
                <w:numId w:val="7"/>
              </w:numPr>
              <w:ind w:left="283" w:hanging="283"/>
            </w:pPr>
            <w:r w:rsidRPr="00D77844">
              <w:t>assessment that worked well and why</w:t>
            </w:r>
          </w:p>
          <w:p w:rsidR="00B622C7" w:rsidRPr="00D77844" w:rsidRDefault="00B622C7" w:rsidP="00D77844">
            <w:pPr>
              <w:pStyle w:val="Tablebullets"/>
              <w:numPr>
                <w:ilvl w:val="0"/>
                <w:numId w:val="7"/>
              </w:numPr>
              <w:ind w:left="283" w:hanging="283"/>
            </w:pPr>
            <w:r w:rsidRPr="00D77844">
              <w:t>assessment that could be improved and how</w:t>
            </w:r>
          </w:p>
          <w:p w:rsidR="00B622C7" w:rsidRPr="00C16B90" w:rsidRDefault="00B622C7" w:rsidP="00D77844">
            <w:pPr>
              <w:pStyle w:val="Tablebullets"/>
              <w:numPr>
                <w:ilvl w:val="0"/>
                <w:numId w:val="7"/>
              </w:numPr>
              <w:ind w:left="283" w:hanging="283"/>
            </w:pPr>
            <w:r w:rsidRPr="00D77844">
              <w:t>common student misconceptions that need, or needed, to be clarified.</w:t>
            </w:r>
          </w:p>
        </w:tc>
      </w:tr>
    </w:tbl>
    <w:p w:rsidR="00A4154C" w:rsidRPr="008300AE" w:rsidRDefault="00A4154C" w:rsidP="008300AE"/>
    <w:sectPr w:rsidR="00A4154C" w:rsidRPr="008300AE" w:rsidSect="00DA23E4">
      <w:footerReference w:type="even" r:id="rId34"/>
      <w:footerReference w:type="default" r:id="rId35"/>
      <w:headerReference w:type="first" r:id="rId36"/>
      <w:footerReference w:type="first" r:id="rId37"/>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D5F" w:rsidRDefault="00570D5F">
      <w:r>
        <w:separator/>
      </w:r>
    </w:p>
  </w:endnote>
  <w:endnote w:type="continuationSeparator" w:id="0">
    <w:p w:rsidR="00570D5F" w:rsidRDefault="0057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Zurich Cn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E0D" w:rsidRDefault="00454E0D"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C97CE0">
      <w:rPr>
        <w:rStyle w:val="Footerbold"/>
        <w:noProof/>
      </w:rPr>
      <w:t>2</w:t>
    </w:r>
    <w:r w:rsidRPr="001947AE">
      <w:rPr>
        <w:rStyle w:val="Footerbold"/>
      </w:rPr>
      <w:fldChar w:fldCharType="end"/>
    </w:r>
    <w:r w:rsidRPr="00AA55F1">
      <w:tab/>
      <w:t>|</w:t>
    </w:r>
    <w:r w:rsidRPr="00AA55F1">
      <w:tab/>
    </w:r>
    <w:r w:rsidRPr="005213F2">
      <w:rPr>
        <w:rStyle w:val="Footerbold"/>
      </w:rPr>
      <w:t xml:space="preserve">Year </w:t>
    </w:r>
    <w:r>
      <w:rPr>
        <w:rStyle w:val="Footerbold"/>
      </w:rPr>
      <w:t>4</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E0D" w:rsidRDefault="00454E0D" w:rsidP="00FA0810">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281806">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C97CE0">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E0D" w:rsidRDefault="00C97CE0"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D5F" w:rsidRDefault="00570D5F">
      <w:r>
        <w:separator/>
      </w:r>
    </w:p>
  </w:footnote>
  <w:footnote w:type="continuationSeparator" w:id="0">
    <w:p w:rsidR="00570D5F" w:rsidRDefault="00570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E0D" w:rsidRPr="002E4C72" w:rsidRDefault="00C97CE0"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454E0D" w:rsidTr="004E0C69">
      <w:tc>
        <w:tcPr>
          <w:tcW w:w="10450" w:type="dxa"/>
          <w:shd w:val="clear" w:color="auto" w:fill="auto"/>
        </w:tcPr>
        <w:p w:rsidR="00454E0D" w:rsidRPr="00F561C0" w:rsidRDefault="00454E0D" w:rsidP="00F561C0">
          <w:r w:rsidRPr="00F561C0">
            <w:t>Insert fact sheet title</w:t>
          </w:r>
        </w:p>
        <w:p w:rsidR="00454E0D" w:rsidRPr="00F561C0" w:rsidRDefault="00454E0D" w:rsidP="00F561C0">
          <w:r w:rsidRPr="00F561C0">
            <w:t>Insert fact sheet subtitle (if necessary)</w:t>
          </w:r>
        </w:p>
        <w:p w:rsidR="00454E0D" w:rsidRPr="004E0C69" w:rsidRDefault="00454E0D" w:rsidP="004E0C69">
          <w:pPr>
            <w:tabs>
              <w:tab w:val="left" w:pos="-110"/>
              <w:tab w:val="left" w:pos="220"/>
            </w:tabs>
            <w:ind w:left="-437"/>
            <w:rPr>
              <w:color w:val="00928F"/>
              <w:szCs w:val="16"/>
            </w:rPr>
          </w:pPr>
        </w:p>
      </w:tc>
    </w:tr>
  </w:tbl>
  <w:p w:rsidR="00454E0D" w:rsidRPr="00954490" w:rsidRDefault="00454E0D"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7654E5E"/>
    <w:multiLevelType w:val="hybridMultilevel"/>
    <w:tmpl w:val="407AE8D8"/>
    <w:lvl w:ilvl="0" w:tplc="B74C7036">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7A61C91"/>
    <w:multiLevelType w:val="hybridMultilevel"/>
    <w:tmpl w:val="53C66C80"/>
    <w:lvl w:ilvl="0" w:tplc="B74C7036">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5">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8">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ascii="Times New Roman" w:hAnsi="Times New Roman" w:cs="Times New Roman" w:hint="default"/>
        <w:b/>
        <w:bCs w:val="0"/>
        <w:i/>
        <w:iCs w:val="0"/>
        <w:caps w:val="0"/>
        <w:smallCaps w:val="0"/>
        <w:strike w:val="0"/>
        <w:dstrike w:val="0"/>
        <w:noProof w:val="0"/>
        <w:snapToGrid w:val="0"/>
        <w:vanish w:val="0"/>
        <w:color w:val="00928F"/>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9">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0">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12C47D7"/>
    <w:multiLevelType w:val="hybridMultilevel"/>
    <w:tmpl w:val="7992706E"/>
    <w:lvl w:ilvl="0" w:tplc="5BFC2A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18">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1">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3">
    <w:nsid w:val="73C10147"/>
    <w:multiLevelType w:val="hybridMultilevel"/>
    <w:tmpl w:val="56BE27E0"/>
    <w:lvl w:ilvl="0" w:tplc="B74C7036">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70418D0"/>
    <w:multiLevelType w:val="singleLevel"/>
    <w:tmpl w:val="B74C7036"/>
    <w:lvl w:ilvl="0">
      <w:start w:val="1"/>
      <w:numFmt w:val="bullet"/>
      <w:lvlText w:val=""/>
      <w:lvlJc w:val="left"/>
      <w:pPr>
        <w:ind w:left="720" w:hanging="360"/>
      </w:pPr>
      <w:rPr>
        <w:rFonts w:ascii="Symbol" w:hAnsi="Symbol" w:hint="default"/>
        <w:color w:val="00928F"/>
      </w:rPr>
    </w:lvl>
  </w:abstractNum>
  <w:abstractNum w:abstractNumId="25">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18"/>
  </w:num>
  <w:num w:numId="4">
    <w:abstractNumId w:val="9"/>
  </w:num>
  <w:num w:numId="5">
    <w:abstractNumId w:val="8"/>
  </w:num>
  <w:num w:numId="6">
    <w:abstractNumId w:val="16"/>
  </w:num>
  <w:num w:numId="7">
    <w:abstractNumId w:val="24"/>
  </w:num>
  <w:num w:numId="8">
    <w:abstractNumId w:val="1"/>
  </w:num>
  <w:num w:numId="9">
    <w:abstractNumId w:val="20"/>
  </w:num>
  <w:num w:numId="10">
    <w:abstractNumId w:val="12"/>
  </w:num>
  <w:num w:numId="11">
    <w:abstractNumId w:val="22"/>
  </w:num>
  <w:num w:numId="12">
    <w:abstractNumId w:val="15"/>
  </w:num>
  <w:num w:numId="13">
    <w:abstractNumId w:val="4"/>
  </w:num>
  <w:num w:numId="14">
    <w:abstractNumId w:val="18"/>
  </w:num>
  <w:num w:numId="15">
    <w:abstractNumId w:val="9"/>
  </w:num>
  <w:num w:numId="16">
    <w:abstractNumId w:val="8"/>
  </w:num>
  <w:num w:numId="17">
    <w:abstractNumId w:val="8"/>
  </w:num>
  <w:num w:numId="18">
    <w:abstractNumId w:val="8"/>
  </w:num>
  <w:num w:numId="19">
    <w:abstractNumId w:val="8"/>
  </w:num>
  <w:num w:numId="20">
    <w:abstractNumId w:val="8"/>
  </w:num>
  <w:num w:numId="21">
    <w:abstractNumId w:val="16"/>
  </w:num>
  <w:num w:numId="22">
    <w:abstractNumId w:val="16"/>
  </w:num>
  <w:num w:numId="23">
    <w:abstractNumId w:val="16"/>
  </w:num>
  <w:num w:numId="24">
    <w:abstractNumId w:val="24"/>
  </w:num>
  <w:num w:numId="25">
    <w:abstractNumId w:val="1"/>
  </w:num>
  <w:num w:numId="26">
    <w:abstractNumId w:val="20"/>
  </w:num>
  <w:num w:numId="27">
    <w:abstractNumId w:val="5"/>
  </w:num>
  <w:num w:numId="28">
    <w:abstractNumId w:val="11"/>
  </w:num>
  <w:num w:numId="29">
    <w:abstractNumId w:val="21"/>
  </w:num>
  <w:num w:numId="30">
    <w:abstractNumId w:val="7"/>
  </w:num>
  <w:num w:numId="31">
    <w:abstractNumId w:val="0"/>
  </w:num>
  <w:num w:numId="32">
    <w:abstractNumId w:val="17"/>
  </w:num>
  <w:num w:numId="33">
    <w:abstractNumId w:val="6"/>
  </w:num>
  <w:num w:numId="34">
    <w:abstractNumId w:val="25"/>
  </w:num>
  <w:num w:numId="35">
    <w:abstractNumId w:val="19"/>
  </w:num>
  <w:num w:numId="36">
    <w:abstractNumId w:val="10"/>
  </w:num>
  <w:num w:numId="37">
    <w:abstractNumId w:val="13"/>
  </w:num>
  <w:num w:numId="38">
    <w:abstractNumId w:val="14"/>
  </w:num>
  <w:num w:numId="39">
    <w:abstractNumId w:val="2"/>
  </w:num>
  <w:num w:numId="40">
    <w:abstractNumId w:val="3"/>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E4"/>
    <w:rsid w:val="00001DE7"/>
    <w:rsid w:val="00011D0E"/>
    <w:rsid w:val="00025D91"/>
    <w:rsid w:val="00030333"/>
    <w:rsid w:val="00030551"/>
    <w:rsid w:val="00032413"/>
    <w:rsid w:val="00033DBD"/>
    <w:rsid w:val="00035203"/>
    <w:rsid w:val="00042417"/>
    <w:rsid w:val="00042CCA"/>
    <w:rsid w:val="00043015"/>
    <w:rsid w:val="00046924"/>
    <w:rsid w:val="0006205A"/>
    <w:rsid w:val="00064FE2"/>
    <w:rsid w:val="000658BE"/>
    <w:rsid w:val="00067264"/>
    <w:rsid w:val="00073A08"/>
    <w:rsid w:val="0007560B"/>
    <w:rsid w:val="00083F6D"/>
    <w:rsid w:val="000869F0"/>
    <w:rsid w:val="00095CC0"/>
    <w:rsid w:val="000A0941"/>
    <w:rsid w:val="000A1078"/>
    <w:rsid w:val="000A28EF"/>
    <w:rsid w:val="000A42D0"/>
    <w:rsid w:val="000A6B3B"/>
    <w:rsid w:val="000B2F97"/>
    <w:rsid w:val="000C7031"/>
    <w:rsid w:val="000C76A5"/>
    <w:rsid w:val="000C7E57"/>
    <w:rsid w:val="000D2D55"/>
    <w:rsid w:val="000D3B00"/>
    <w:rsid w:val="000D4545"/>
    <w:rsid w:val="000E1FFE"/>
    <w:rsid w:val="000E3F33"/>
    <w:rsid w:val="000E49E2"/>
    <w:rsid w:val="000F1EC4"/>
    <w:rsid w:val="000F76EF"/>
    <w:rsid w:val="001029DB"/>
    <w:rsid w:val="00122F30"/>
    <w:rsid w:val="00124A32"/>
    <w:rsid w:val="00130772"/>
    <w:rsid w:val="00135C0D"/>
    <w:rsid w:val="00140672"/>
    <w:rsid w:val="00140938"/>
    <w:rsid w:val="00145904"/>
    <w:rsid w:val="001517B1"/>
    <w:rsid w:val="0015354A"/>
    <w:rsid w:val="001551A7"/>
    <w:rsid w:val="00161825"/>
    <w:rsid w:val="001703E9"/>
    <w:rsid w:val="001739A8"/>
    <w:rsid w:val="00177A03"/>
    <w:rsid w:val="001947AE"/>
    <w:rsid w:val="001975A9"/>
    <w:rsid w:val="001A3E29"/>
    <w:rsid w:val="001A51A3"/>
    <w:rsid w:val="001A7D7B"/>
    <w:rsid w:val="001C11BE"/>
    <w:rsid w:val="001C6D32"/>
    <w:rsid w:val="001D6C85"/>
    <w:rsid w:val="001E1961"/>
    <w:rsid w:val="001E285F"/>
    <w:rsid w:val="001E288D"/>
    <w:rsid w:val="001F1CE1"/>
    <w:rsid w:val="001F2178"/>
    <w:rsid w:val="001F6C01"/>
    <w:rsid w:val="00200478"/>
    <w:rsid w:val="002008B6"/>
    <w:rsid w:val="0020301A"/>
    <w:rsid w:val="00205D97"/>
    <w:rsid w:val="00205FDD"/>
    <w:rsid w:val="00207832"/>
    <w:rsid w:val="00210577"/>
    <w:rsid w:val="00221C9C"/>
    <w:rsid w:val="00227357"/>
    <w:rsid w:val="00227B1B"/>
    <w:rsid w:val="00230B64"/>
    <w:rsid w:val="00233BB5"/>
    <w:rsid w:val="00234025"/>
    <w:rsid w:val="0023753B"/>
    <w:rsid w:val="00274EBE"/>
    <w:rsid w:val="00281806"/>
    <w:rsid w:val="0028641F"/>
    <w:rsid w:val="00286A7F"/>
    <w:rsid w:val="00292FF4"/>
    <w:rsid w:val="0029742E"/>
    <w:rsid w:val="002A67FA"/>
    <w:rsid w:val="002B103A"/>
    <w:rsid w:val="002B66CD"/>
    <w:rsid w:val="002C0575"/>
    <w:rsid w:val="002C1F67"/>
    <w:rsid w:val="002C21E6"/>
    <w:rsid w:val="002C3949"/>
    <w:rsid w:val="002D23BF"/>
    <w:rsid w:val="002D290F"/>
    <w:rsid w:val="002D7859"/>
    <w:rsid w:val="002E4C72"/>
    <w:rsid w:val="002E5DB1"/>
    <w:rsid w:val="002F25CE"/>
    <w:rsid w:val="002F33A4"/>
    <w:rsid w:val="003001E6"/>
    <w:rsid w:val="003044FC"/>
    <w:rsid w:val="00330CF7"/>
    <w:rsid w:val="0033251E"/>
    <w:rsid w:val="003406AC"/>
    <w:rsid w:val="00346E9C"/>
    <w:rsid w:val="003547DB"/>
    <w:rsid w:val="0036333C"/>
    <w:rsid w:val="003636A6"/>
    <w:rsid w:val="00364E09"/>
    <w:rsid w:val="00365706"/>
    <w:rsid w:val="003664A3"/>
    <w:rsid w:val="00372E92"/>
    <w:rsid w:val="00374483"/>
    <w:rsid w:val="00383D94"/>
    <w:rsid w:val="00393E8B"/>
    <w:rsid w:val="0039537C"/>
    <w:rsid w:val="00396C14"/>
    <w:rsid w:val="003B07B0"/>
    <w:rsid w:val="003C5172"/>
    <w:rsid w:val="003C6914"/>
    <w:rsid w:val="003D50D5"/>
    <w:rsid w:val="003D7CEA"/>
    <w:rsid w:val="003E0E83"/>
    <w:rsid w:val="003E62B0"/>
    <w:rsid w:val="003F1A88"/>
    <w:rsid w:val="003F1B1C"/>
    <w:rsid w:val="003F3184"/>
    <w:rsid w:val="003F65E2"/>
    <w:rsid w:val="004005C2"/>
    <w:rsid w:val="004100FC"/>
    <w:rsid w:val="00414091"/>
    <w:rsid w:val="00415B31"/>
    <w:rsid w:val="004167A6"/>
    <w:rsid w:val="00417E9D"/>
    <w:rsid w:val="00423A60"/>
    <w:rsid w:val="00432FCC"/>
    <w:rsid w:val="00433BEC"/>
    <w:rsid w:val="004456BE"/>
    <w:rsid w:val="0045314A"/>
    <w:rsid w:val="00454E0D"/>
    <w:rsid w:val="00455603"/>
    <w:rsid w:val="00456DE6"/>
    <w:rsid w:val="00460455"/>
    <w:rsid w:val="00466F84"/>
    <w:rsid w:val="00470904"/>
    <w:rsid w:val="00472DDE"/>
    <w:rsid w:val="004730FF"/>
    <w:rsid w:val="00474CDB"/>
    <w:rsid w:val="00475EF5"/>
    <w:rsid w:val="00475F85"/>
    <w:rsid w:val="00483F3B"/>
    <w:rsid w:val="00487176"/>
    <w:rsid w:val="00490BAB"/>
    <w:rsid w:val="004A2506"/>
    <w:rsid w:val="004A3149"/>
    <w:rsid w:val="004A60BB"/>
    <w:rsid w:val="004A63FF"/>
    <w:rsid w:val="004A69B7"/>
    <w:rsid w:val="004A6B37"/>
    <w:rsid w:val="004C146C"/>
    <w:rsid w:val="004C3954"/>
    <w:rsid w:val="004C43C1"/>
    <w:rsid w:val="004C7384"/>
    <w:rsid w:val="004D04F0"/>
    <w:rsid w:val="004D19DD"/>
    <w:rsid w:val="004D74AE"/>
    <w:rsid w:val="004E0C69"/>
    <w:rsid w:val="004E5C44"/>
    <w:rsid w:val="004F0A53"/>
    <w:rsid w:val="004F36D4"/>
    <w:rsid w:val="004F3B8B"/>
    <w:rsid w:val="004F6801"/>
    <w:rsid w:val="004F6974"/>
    <w:rsid w:val="004F6B3B"/>
    <w:rsid w:val="004F7D3A"/>
    <w:rsid w:val="005052ED"/>
    <w:rsid w:val="00513832"/>
    <w:rsid w:val="0052010F"/>
    <w:rsid w:val="005213F2"/>
    <w:rsid w:val="0052313B"/>
    <w:rsid w:val="005247F9"/>
    <w:rsid w:val="00532DA1"/>
    <w:rsid w:val="00537374"/>
    <w:rsid w:val="00537D1B"/>
    <w:rsid w:val="00544562"/>
    <w:rsid w:val="00545B63"/>
    <w:rsid w:val="0055092E"/>
    <w:rsid w:val="00556420"/>
    <w:rsid w:val="005632AE"/>
    <w:rsid w:val="005645B6"/>
    <w:rsid w:val="005678C2"/>
    <w:rsid w:val="00570D5F"/>
    <w:rsid w:val="00576206"/>
    <w:rsid w:val="00596A35"/>
    <w:rsid w:val="005A29D0"/>
    <w:rsid w:val="005A6DDB"/>
    <w:rsid w:val="005C0F27"/>
    <w:rsid w:val="005C5B93"/>
    <w:rsid w:val="005C68F1"/>
    <w:rsid w:val="005D0462"/>
    <w:rsid w:val="005D333E"/>
    <w:rsid w:val="005D7E39"/>
    <w:rsid w:val="005E1659"/>
    <w:rsid w:val="005E1AD6"/>
    <w:rsid w:val="005E6236"/>
    <w:rsid w:val="005E70B4"/>
    <w:rsid w:val="005F1C74"/>
    <w:rsid w:val="005F397C"/>
    <w:rsid w:val="005F57F7"/>
    <w:rsid w:val="005F7BF6"/>
    <w:rsid w:val="00604E1C"/>
    <w:rsid w:val="00622EEE"/>
    <w:rsid w:val="00632199"/>
    <w:rsid w:val="00642462"/>
    <w:rsid w:val="00643FEC"/>
    <w:rsid w:val="00644EF5"/>
    <w:rsid w:val="0065530E"/>
    <w:rsid w:val="00660414"/>
    <w:rsid w:val="0066513B"/>
    <w:rsid w:val="00677730"/>
    <w:rsid w:val="00677F9B"/>
    <w:rsid w:val="00686DF2"/>
    <w:rsid w:val="00687891"/>
    <w:rsid w:val="00687F39"/>
    <w:rsid w:val="00696083"/>
    <w:rsid w:val="006A03B7"/>
    <w:rsid w:val="006A5222"/>
    <w:rsid w:val="006B22CB"/>
    <w:rsid w:val="006B57D6"/>
    <w:rsid w:val="006B6B74"/>
    <w:rsid w:val="006B708E"/>
    <w:rsid w:val="006C7B26"/>
    <w:rsid w:val="006D7DCE"/>
    <w:rsid w:val="006E229B"/>
    <w:rsid w:val="006F389D"/>
    <w:rsid w:val="006F6BFB"/>
    <w:rsid w:val="006F78AA"/>
    <w:rsid w:val="006F7EEE"/>
    <w:rsid w:val="00704F62"/>
    <w:rsid w:val="00707D7E"/>
    <w:rsid w:val="00711051"/>
    <w:rsid w:val="00714DE0"/>
    <w:rsid w:val="007211E7"/>
    <w:rsid w:val="00722885"/>
    <w:rsid w:val="00722EF6"/>
    <w:rsid w:val="0072405D"/>
    <w:rsid w:val="00726039"/>
    <w:rsid w:val="00727790"/>
    <w:rsid w:val="007322C6"/>
    <w:rsid w:val="00737522"/>
    <w:rsid w:val="007502AF"/>
    <w:rsid w:val="0075321B"/>
    <w:rsid w:val="007702B9"/>
    <w:rsid w:val="00783EF7"/>
    <w:rsid w:val="00791E07"/>
    <w:rsid w:val="00791E9D"/>
    <w:rsid w:val="0079287A"/>
    <w:rsid w:val="00793E97"/>
    <w:rsid w:val="00795430"/>
    <w:rsid w:val="007A4D2B"/>
    <w:rsid w:val="007A570B"/>
    <w:rsid w:val="007B1E7A"/>
    <w:rsid w:val="007B343C"/>
    <w:rsid w:val="007B69DC"/>
    <w:rsid w:val="007E14E8"/>
    <w:rsid w:val="007F1751"/>
    <w:rsid w:val="00801CCA"/>
    <w:rsid w:val="008024BC"/>
    <w:rsid w:val="008035EA"/>
    <w:rsid w:val="008039FB"/>
    <w:rsid w:val="008068E1"/>
    <w:rsid w:val="008108D8"/>
    <w:rsid w:val="00811BD7"/>
    <w:rsid w:val="008248FF"/>
    <w:rsid w:val="00825079"/>
    <w:rsid w:val="008300AE"/>
    <w:rsid w:val="008331B9"/>
    <w:rsid w:val="008406A0"/>
    <w:rsid w:val="00842772"/>
    <w:rsid w:val="00842D41"/>
    <w:rsid w:val="0086294E"/>
    <w:rsid w:val="008721B3"/>
    <w:rsid w:val="008746A6"/>
    <w:rsid w:val="00881EFD"/>
    <w:rsid w:val="0088630F"/>
    <w:rsid w:val="0089026E"/>
    <w:rsid w:val="00893925"/>
    <w:rsid w:val="00893B6D"/>
    <w:rsid w:val="008A0C68"/>
    <w:rsid w:val="008A12B0"/>
    <w:rsid w:val="008A1957"/>
    <w:rsid w:val="008A31C9"/>
    <w:rsid w:val="008B55C8"/>
    <w:rsid w:val="008C4F74"/>
    <w:rsid w:val="008C78DF"/>
    <w:rsid w:val="008D28C8"/>
    <w:rsid w:val="008D55A1"/>
    <w:rsid w:val="008E05BD"/>
    <w:rsid w:val="008E1D6A"/>
    <w:rsid w:val="008F2C5C"/>
    <w:rsid w:val="00905E95"/>
    <w:rsid w:val="00906F19"/>
    <w:rsid w:val="00912EE6"/>
    <w:rsid w:val="00920B60"/>
    <w:rsid w:val="00933AC0"/>
    <w:rsid w:val="0094440A"/>
    <w:rsid w:val="0094644D"/>
    <w:rsid w:val="00952A73"/>
    <w:rsid w:val="00954490"/>
    <w:rsid w:val="00954542"/>
    <w:rsid w:val="00962F1D"/>
    <w:rsid w:val="0096439B"/>
    <w:rsid w:val="0097214C"/>
    <w:rsid w:val="00980DE3"/>
    <w:rsid w:val="00987336"/>
    <w:rsid w:val="009915CF"/>
    <w:rsid w:val="0099576A"/>
    <w:rsid w:val="00997F6F"/>
    <w:rsid w:val="009A2E8A"/>
    <w:rsid w:val="009A4FDB"/>
    <w:rsid w:val="009A5922"/>
    <w:rsid w:val="009B25E8"/>
    <w:rsid w:val="009C25FA"/>
    <w:rsid w:val="009C39B5"/>
    <w:rsid w:val="009D75ED"/>
    <w:rsid w:val="009E5523"/>
    <w:rsid w:val="009F6910"/>
    <w:rsid w:val="009F6B3E"/>
    <w:rsid w:val="00A002C7"/>
    <w:rsid w:val="00A1382A"/>
    <w:rsid w:val="00A1505C"/>
    <w:rsid w:val="00A17CED"/>
    <w:rsid w:val="00A20D15"/>
    <w:rsid w:val="00A21585"/>
    <w:rsid w:val="00A224CD"/>
    <w:rsid w:val="00A23112"/>
    <w:rsid w:val="00A25984"/>
    <w:rsid w:val="00A3109F"/>
    <w:rsid w:val="00A3143A"/>
    <w:rsid w:val="00A3164E"/>
    <w:rsid w:val="00A3396F"/>
    <w:rsid w:val="00A343ED"/>
    <w:rsid w:val="00A4154C"/>
    <w:rsid w:val="00A508A9"/>
    <w:rsid w:val="00A5506A"/>
    <w:rsid w:val="00A552F0"/>
    <w:rsid w:val="00A55FB3"/>
    <w:rsid w:val="00A57ED4"/>
    <w:rsid w:val="00A63230"/>
    <w:rsid w:val="00A72C38"/>
    <w:rsid w:val="00A7585D"/>
    <w:rsid w:val="00A84EFE"/>
    <w:rsid w:val="00A8733F"/>
    <w:rsid w:val="00A9101E"/>
    <w:rsid w:val="00A93A2E"/>
    <w:rsid w:val="00A96AE5"/>
    <w:rsid w:val="00AB7E76"/>
    <w:rsid w:val="00AD4B6D"/>
    <w:rsid w:val="00AE4B52"/>
    <w:rsid w:val="00AE7F34"/>
    <w:rsid w:val="00AF5074"/>
    <w:rsid w:val="00AF543B"/>
    <w:rsid w:val="00B02A7A"/>
    <w:rsid w:val="00B04CEE"/>
    <w:rsid w:val="00B05173"/>
    <w:rsid w:val="00B061A7"/>
    <w:rsid w:val="00B101E4"/>
    <w:rsid w:val="00B13144"/>
    <w:rsid w:val="00B2054D"/>
    <w:rsid w:val="00B34144"/>
    <w:rsid w:val="00B375E6"/>
    <w:rsid w:val="00B4591B"/>
    <w:rsid w:val="00B50F9A"/>
    <w:rsid w:val="00B57D25"/>
    <w:rsid w:val="00B622C7"/>
    <w:rsid w:val="00B62E37"/>
    <w:rsid w:val="00B7062E"/>
    <w:rsid w:val="00B72F64"/>
    <w:rsid w:val="00B7741E"/>
    <w:rsid w:val="00B84A97"/>
    <w:rsid w:val="00B94A92"/>
    <w:rsid w:val="00B96411"/>
    <w:rsid w:val="00BA5999"/>
    <w:rsid w:val="00BA5AF0"/>
    <w:rsid w:val="00BB200B"/>
    <w:rsid w:val="00BB6ADE"/>
    <w:rsid w:val="00BC3210"/>
    <w:rsid w:val="00BC4B5F"/>
    <w:rsid w:val="00BC5DDD"/>
    <w:rsid w:val="00BC6005"/>
    <w:rsid w:val="00BC62F9"/>
    <w:rsid w:val="00BC7A1D"/>
    <w:rsid w:val="00BD7E8B"/>
    <w:rsid w:val="00BE26EE"/>
    <w:rsid w:val="00C032ED"/>
    <w:rsid w:val="00C0652E"/>
    <w:rsid w:val="00C06B50"/>
    <w:rsid w:val="00C16B90"/>
    <w:rsid w:val="00C17C5D"/>
    <w:rsid w:val="00C313F2"/>
    <w:rsid w:val="00C32150"/>
    <w:rsid w:val="00C4086D"/>
    <w:rsid w:val="00C42C8E"/>
    <w:rsid w:val="00C44783"/>
    <w:rsid w:val="00C45ABF"/>
    <w:rsid w:val="00C466B4"/>
    <w:rsid w:val="00C518D4"/>
    <w:rsid w:val="00C52CEF"/>
    <w:rsid w:val="00C56154"/>
    <w:rsid w:val="00C61DBF"/>
    <w:rsid w:val="00C66DDE"/>
    <w:rsid w:val="00C77FCF"/>
    <w:rsid w:val="00C80AA2"/>
    <w:rsid w:val="00C832FB"/>
    <w:rsid w:val="00C8500A"/>
    <w:rsid w:val="00C8736D"/>
    <w:rsid w:val="00C90DCF"/>
    <w:rsid w:val="00C97CE0"/>
    <w:rsid w:val="00CA11A8"/>
    <w:rsid w:val="00CC1119"/>
    <w:rsid w:val="00CC1967"/>
    <w:rsid w:val="00CC1BEC"/>
    <w:rsid w:val="00CC3D59"/>
    <w:rsid w:val="00CC6607"/>
    <w:rsid w:val="00CC76F5"/>
    <w:rsid w:val="00CD553C"/>
    <w:rsid w:val="00CD7584"/>
    <w:rsid w:val="00CE1AC5"/>
    <w:rsid w:val="00CE4D25"/>
    <w:rsid w:val="00CE5415"/>
    <w:rsid w:val="00CF0F03"/>
    <w:rsid w:val="00CF1348"/>
    <w:rsid w:val="00CF3501"/>
    <w:rsid w:val="00CF525B"/>
    <w:rsid w:val="00CF7DB0"/>
    <w:rsid w:val="00D02E2F"/>
    <w:rsid w:val="00D1265B"/>
    <w:rsid w:val="00D14778"/>
    <w:rsid w:val="00D14D37"/>
    <w:rsid w:val="00D15107"/>
    <w:rsid w:val="00D16AEA"/>
    <w:rsid w:val="00D1758B"/>
    <w:rsid w:val="00D22FF0"/>
    <w:rsid w:val="00D256AF"/>
    <w:rsid w:val="00D31800"/>
    <w:rsid w:val="00D32FF2"/>
    <w:rsid w:val="00D3575B"/>
    <w:rsid w:val="00D368B1"/>
    <w:rsid w:val="00D41726"/>
    <w:rsid w:val="00D43C31"/>
    <w:rsid w:val="00D4582D"/>
    <w:rsid w:val="00D6503F"/>
    <w:rsid w:val="00D71B49"/>
    <w:rsid w:val="00D75580"/>
    <w:rsid w:val="00D77844"/>
    <w:rsid w:val="00D8768B"/>
    <w:rsid w:val="00D87F03"/>
    <w:rsid w:val="00D90209"/>
    <w:rsid w:val="00D90B6D"/>
    <w:rsid w:val="00DA23E4"/>
    <w:rsid w:val="00DA2605"/>
    <w:rsid w:val="00DA310A"/>
    <w:rsid w:val="00DA3A7B"/>
    <w:rsid w:val="00DA3F5B"/>
    <w:rsid w:val="00DA4B94"/>
    <w:rsid w:val="00DB5734"/>
    <w:rsid w:val="00DB689E"/>
    <w:rsid w:val="00DC2DC8"/>
    <w:rsid w:val="00DC4258"/>
    <w:rsid w:val="00DC74C9"/>
    <w:rsid w:val="00DD09F0"/>
    <w:rsid w:val="00DD5836"/>
    <w:rsid w:val="00DD721B"/>
    <w:rsid w:val="00DD75F1"/>
    <w:rsid w:val="00DD7720"/>
    <w:rsid w:val="00DE2DC2"/>
    <w:rsid w:val="00DE3E6E"/>
    <w:rsid w:val="00DE4B3F"/>
    <w:rsid w:val="00DE7B47"/>
    <w:rsid w:val="00DF08A9"/>
    <w:rsid w:val="00DF7381"/>
    <w:rsid w:val="00E2355E"/>
    <w:rsid w:val="00E24044"/>
    <w:rsid w:val="00E37EC9"/>
    <w:rsid w:val="00E4013E"/>
    <w:rsid w:val="00E411C4"/>
    <w:rsid w:val="00E4148E"/>
    <w:rsid w:val="00E450BE"/>
    <w:rsid w:val="00E45D49"/>
    <w:rsid w:val="00E515B0"/>
    <w:rsid w:val="00E67781"/>
    <w:rsid w:val="00E71123"/>
    <w:rsid w:val="00E80F35"/>
    <w:rsid w:val="00E822CC"/>
    <w:rsid w:val="00E83BAD"/>
    <w:rsid w:val="00E925E1"/>
    <w:rsid w:val="00E965F1"/>
    <w:rsid w:val="00EA707E"/>
    <w:rsid w:val="00EB217A"/>
    <w:rsid w:val="00EB4E34"/>
    <w:rsid w:val="00EC2B44"/>
    <w:rsid w:val="00EC46AF"/>
    <w:rsid w:val="00EC7E25"/>
    <w:rsid w:val="00ED6C05"/>
    <w:rsid w:val="00EE0AFE"/>
    <w:rsid w:val="00EE2DC7"/>
    <w:rsid w:val="00EF12C0"/>
    <w:rsid w:val="00EF629E"/>
    <w:rsid w:val="00EF6A81"/>
    <w:rsid w:val="00F04407"/>
    <w:rsid w:val="00F07D6F"/>
    <w:rsid w:val="00F11918"/>
    <w:rsid w:val="00F142C3"/>
    <w:rsid w:val="00F15F9A"/>
    <w:rsid w:val="00F24A94"/>
    <w:rsid w:val="00F30500"/>
    <w:rsid w:val="00F3327C"/>
    <w:rsid w:val="00F4206B"/>
    <w:rsid w:val="00F43651"/>
    <w:rsid w:val="00F502AA"/>
    <w:rsid w:val="00F54834"/>
    <w:rsid w:val="00F551FC"/>
    <w:rsid w:val="00F561C0"/>
    <w:rsid w:val="00F662FF"/>
    <w:rsid w:val="00F7378C"/>
    <w:rsid w:val="00F744DD"/>
    <w:rsid w:val="00F77E65"/>
    <w:rsid w:val="00F8272A"/>
    <w:rsid w:val="00F96E23"/>
    <w:rsid w:val="00F97316"/>
    <w:rsid w:val="00FA0595"/>
    <w:rsid w:val="00FA0810"/>
    <w:rsid w:val="00FA449E"/>
    <w:rsid w:val="00FA4C69"/>
    <w:rsid w:val="00FA7791"/>
    <w:rsid w:val="00FB1D8F"/>
    <w:rsid w:val="00FB3688"/>
    <w:rsid w:val="00FC195A"/>
    <w:rsid w:val="00FC4958"/>
    <w:rsid w:val="00FD01ED"/>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customStyle="1" w:styleId="bullet">
    <w:name w:val="bullet"/>
    <w:basedOn w:val="Normal"/>
    <w:rsid w:val="006F78AA"/>
    <w:pPr>
      <w:autoSpaceDE w:val="0"/>
      <w:autoSpaceDN w:val="0"/>
      <w:adjustRightInd w:val="0"/>
      <w:spacing w:before="160" w:line="240" w:lineRule="auto"/>
      <w:ind w:left="227" w:hanging="227"/>
      <w:textAlignment w:val="center"/>
    </w:pPr>
    <w:rPr>
      <w:rFonts w:cs="Arial"/>
      <w:color w:val="000000"/>
      <w:sz w:val="18"/>
      <w:szCs w:val="18"/>
      <w:lang w:eastAsia="en-AU"/>
    </w:rPr>
  </w:style>
  <w:style w:type="character" w:customStyle="1" w:styleId="exampletextChar">
    <w:name w:val="example text Char"/>
    <w:link w:val="exampletext"/>
    <w:rsid w:val="006F78AA"/>
    <w:rPr>
      <w:rFonts w:ascii="Arial" w:hAnsi="Arial" w:cs="Zurich Cn BT"/>
      <w:i/>
      <w:iCs/>
      <w:color w:val="000000"/>
      <w:sz w:val="18"/>
      <w:lang w:val="en-GB"/>
    </w:rPr>
  </w:style>
  <w:style w:type="paragraph" w:customStyle="1" w:styleId="exampletext">
    <w:name w:val="example text"/>
    <w:basedOn w:val="Normal"/>
    <w:link w:val="exampletextChar"/>
    <w:rsid w:val="006F78AA"/>
    <w:pPr>
      <w:tabs>
        <w:tab w:val="left" w:pos="680"/>
      </w:tabs>
      <w:suppressAutoHyphens/>
      <w:autoSpaceDE w:val="0"/>
      <w:autoSpaceDN w:val="0"/>
      <w:adjustRightInd w:val="0"/>
      <w:spacing w:before="40" w:line="240" w:lineRule="auto"/>
      <w:ind w:left="681" w:hanging="454"/>
      <w:textAlignment w:val="center"/>
    </w:pPr>
    <w:rPr>
      <w:rFonts w:cs="Zurich Cn BT"/>
      <w:i/>
      <w:iCs/>
      <w:color w:val="000000"/>
      <w:sz w:val="18"/>
      <w:lang w:val="en-GB" w:eastAsia="en-AU"/>
    </w:rPr>
  </w:style>
  <w:style w:type="paragraph" w:styleId="Revision">
    <w:name w:val="Revision"/>
    <w:hidden/>
    <w:uiPriority w:val="99"/>
    <w:semiHidden/>
    <w:rsid w:val="00454E0D"/>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customStyle="1" w:styleId="bullet">
    <w:name w:val="bullet"/>
    <w:basedOn w:val="Normal"/>
    <w:rsid w:val="006F78AA"/>
    <w:pPr>
      <w:autoSpaceDE w:val="0"/>
      <w:autoSpaceDN w:val="0"/>
      <w:adjustRightInd w:val="0"/>
      <w:spacing w:before="160" w:line="240" w:lineRule="auto"/>
      <w:ind w:left="227" w:hanging="227"/>
      <w:textAlignment w:val="center"/>
    </w:pPr>
    <w:rPr>
      <w:rFonts w:cs="Arial"/>
      <w:color w:val="000000"/>
      <w:sz w:val="18"/>
      <w:szCs w:val="18"/>
      <w:lang w:eastAsia="en-AU"/>
    </w:rPr>
  </w:style>
  <w:style w:type="character" w:customStyle="1" w:styleId="exampletextChar">
    <w:name w:val="example text Char"/>
    <w:link w:val="exampletext"/>
    <w:rsid w:val="006F78AA"/>
    <w:rPr>
      <w:rFonts w:ascii="Arial" w:hAnsi="Arial" w:cs="Zurich Cn BT"/>
      <w:i/>
      <w:iCs/>
      <w:color w:val="000000"/>
      <w:sz w:val="18"/>
      <w:lang w:val="en-GB"/>
    </w:rPr>
  </w:style>
  <w:style w:type="paragraph" w:customStyle="1" w:styleId="exampletext">
    <w:name w:val="example text"/>
    <w:basedOn w:val="Normal"/>
    <w:link w:val="exampletextChar"/>
    <w:rsid w:val="006F78AA"/>
    <w:pPr>
      <w:tabs>
        <w:tab w:val="left" w:pos="680"/>
      </w:tabs>
      <w:suppressAutoHyphens/>
      <w:autoSpaceDE w:val="0"/>
      <w:autoSpaceDN w:val="0"/>
      <w:adjustRightInd w:val="0"/>
      <w:spacing w:before="40" w:line="240" w:lineRule="auto"/>
      <w:ind w:left="681" w:hanging="454"/>
      <w:textAlignment w:val="center"/>
    </w:pPr>
    <w:rPr>
      <w:rFonts w:cs="Zurich Cn BT"/>
      <w:i/>
      <w:iCs/>
      <w:color w:val="000000"/>
      <w:sz w:val="18"/>
      <w:lang w:val="en-GB" w:eastAsia="en-AU"/>
    </w:rPr>
  </w:style>
  <w:style w:type="paragraph" w:styleId="Revision">
    <w:name w:val="Revision"/>
    <w:hidden/>
    <w:uiPriority w:val="99"/>
    <w:semiHidden/>
    <w:rsid w:val="00454E0D"/>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dcpuat.curriculum.edu.au/Glossary?a=E&amp;t=Standard+Australian+English" TargetMode="External"/><Relationship Id="rId13" Type="http://schemas.openxmlformats.org/officeDocument/2006/relationships/hyperlink" Target="http://www.australiancurriculum.edu.au/Curriculum/ContentDescription/ACELA1493" TargetMode="External"/><Relationship Id="rId18" Type="http://schemas.openxmlformats.org/officeDocument/2006/relationships/hyperlink" Target="http://www.australiancurriculum.edu.au/Curriculum/ContentDescription/ACELT1603" TargetMode="External"/><Relationship Id="rId26" Type="http://schemas.openxmlformats.org/officeDocument/2006/relationships/hyperlink" Target="http://www.australiancurriculum.edu.au/Curriculum/ContentDescription/ACELY1692"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australiancurriculum.edu.au/Curriculum/ContentDescription/ACELY168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ustraliancurriculum.edu.au/Curriculum/ContentDescription/ACELA1491" TargetMode="External"/><Relationship Id="rId17" Type="http://schemas.openxmlformats.org/officeDocument/2006/relationships/hyperlink" Target="http://www.australiancurriculum.edu.au/Curriculum/ContentDescription/ACELT1602" TargetMode="External"/><Relationship Id="rId25" Type="http://schemas.openxmlformats.org/officeDocument/2006/relationships/hyperlink" Target="http://www.australiancurriculum.edu.au/Curriculum/ContentDescription/ACELY1691" TargetMode="External"/><Relationship Id="rId33" Type="http://schemas.openxmlformats.org/officeDocument/2006/relationships/hyperlink" Target="http://www.qsa.qld.edu.a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straliancurriculum.edu.au/Curriculum/ContentDescription/ACELA1780" TargetMode="External"/><Relationship Id="rId20" Type="http://schemas.openxmlformats.org/officeDocument/2006/relationships/hyperlink" Target="http://www.australiancurriculum.edu.au/Curriculum/ContentDescription/ACELT1606"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Curriculum/ContentDescription/ACELA1490" TargetMode="External"/><Relationship Id="rId24" Type="http://schemas.openxmlformats.org/officeDocument/2006/relationships/hyperlink" Target="http://acdcpuat.curriculum.edu.au/Glossary?a=E&amp;t=types+of+texts" TargetMode="External"/><Relationship Id="rId32" Type="http://schemas.openxmlformats.org/officeDocument/2006/relationships/image" Target="media/image4.png"/><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acdcpuat.curriculum.edu.au/Glossary?a=E&amp;t=context" TargetMode="External"/><Relationship Id="rId23" Type="http://schemas.openxmlformats.org/officeDocument/2006/relationships/hyperlink" Target="http://acdcpuat.curriculum.edu.au/Glossary?a=E&amp;t=Read" TargetMode="External"/><Relationship Id="rId28" Type="http://schemas.openxmlformats.org/officeDocument/2006/relationships/hyperlink" Target="http://www.australiancurriculum.edu.au/Curriculum/ContentDescription/ACELY1696" TargetMode="External"/><Relationship Id="rId36" Type="http://schemas.openxmlformats.org/officeDocument/2006/relationships/header" Target="header1.xml"/><Relationship Id="rId10" Type="http://schemas.openxmlformats.org/officeDocument/2006/relationships/hyperlink" Target="http://www.australiancurriculum.edu.au/Curriculum/ContentDescription/ACELA1489" TargetMode="External"/><Relationship Id="rId19" Type="http://schemas.openxmlformats.org/officeDocument/2006/relationships/hyperlink" Target="http://www.australiancurriculum.edu.au/Curriculum/ContentDescription/ACELT1604"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australiancurriculum.edu.au/Curriculum/ContentDescription/ACELA1487" TargetMode="External"/><Relationship Id="rId14" Type="http://schemas.openxmlformats.org/officeDocument/2006/relationships/hyperlink" Target="http://www.australiancurriculum.edu.au/Curriculum/ContentDescription/ACELA1779" TargetMode="External"/><Relationship Id="rId22" Type="http://schemas.openxmlformats.org/officeDocument/2006/relationships/hyperlink" Target="http://www.australiancurriculum.edu.au/Curriculum/ContentDescription/ACELY1689" TargetMode="External"/><Relationship Id="rId27" Type="http://schemas.openxmlformats.org/officeDocument/2006/relationships/hyperlink" Target="http://acdcpuat.curriculum.edu.au/Glossary?a=E&amp;t=Write" TargetMode="External"/><Relationship Id="rId30" Type="http://schemas.openxmlformats.org/officeDocument/2006/relationships/image" Target="media/image2.png"/><Relationship Id="rId35"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Year 4 unit overview — Australian Curriculum: English</vt:lpstr>
    </vt:vector>
  </TitlesOfParts>
  <Company>Queensland Studies Authority</Company>
  <LinksUpToDate>false</LinksUpToDate>
  <CharactersWithSpaces>15817</CharactersWithSpaces>
  <SharedDoc>false</SharedDoc>
  <HLinks>
    <vt:vector size="132" baseType="variant">
      <vt:variant>
        <vt:i4>7340144</vt:i4>
      </vt:variant>
      <vt:variant>
        <vt:i4>63</vt:i4>
      </vt:variant>
      <vt:variant>
        <vt:i4>0</vt:i4>
      </vt:variant>
      <vt:variant>
        <vt:i4>5</vt:i4>
      </vt:variant>
      <vt:variant>
        <vt:lpwstr>http://www.qsa.qld.edu.au/</vt:lpwstr>
      </vt:variant>
      <vt:variant>
        <vt:lpwstr/>
      </vt:variant>
      <vt:variant>
        <vt:i4>6422569</vt:i4>
      </vt:variant>
      <vt:variant>
        <vt:i4>60</vt:i4>
      </vt:variant>
      <vt:variant>
        <vt:i4>0</vt:i4>
      </vt:variant>
      <vt:variant>
        <vt:i4>5</vt:i4>
      </vt:variant>
      <vt:variant>
        <vt:lpwstr>http://www.australiancurriculum.edu.au/Curriculum/ContentDescription/ACELY1696</vt:lpwstr>
      </vt:variant>
      <vt:variant>
        <vt:lpwstr/>
      </vt:variant>
      <vt:variant>
        <vt:i4>2490487</vt:i4>
      </vt:variant>
      <vt:variant>
        <vt:i4>57</vt:i4>
      </vt:variant>
      <vt:variant>
        <vt:i4>0</vt:i4>
      </vt:variant>
      <vt:variant>
        <vt:i4>5</vt:i4>
      </vt:variant>
      <vt:variant>
        <vt:lpwstr>http://acdcpuat.curriculum.edu.au/Glossary?a=E&amp;t=Write</vt:lpwstr>
      </vt:variant>
      <vt:variant>
        <vt:lpwstr/>
      </vt:variant>
      <vt:variant>
        <vt:i4>6684713</vt:i4>
      </vt:variant>
      <vt:variant>
        <vt:i4>54</vt:i4>
      </vt:variant>
      <vt:variant>
        <vt:i4>0</vt:i4>
      </vt:variant>
      <vt:variant>
        <vt:i4>5</vt:i4>
      </vt:variant>
      <vt:variant>
        <vt:lpwstr>http://www.australiancurriculum.edu.au/Curriculum/ContentDescription/ACELY1692</vt:lpwstr>
      </vt:variant>
      <vt:variant>
        <vt:lpwstr/>
      </vt:variant>
      <vt:variant>
        <vt:i4>6619177</vt:i4>
      </vt:variant>
      <vt:variant>
        <vt:i4>51</vt:i4>
      </vt:variant>
      <vt:variant>
        <vt:i4>0</vt:i4>
      </vt:variant>
      <vt:variant>
        <vt:i4>5</vt:i4>
      </vt:variant>
      <vt:variant>
        <vt:lpwstr>http://www.australiancurriculum.edu.au/Curriculum/ContentDescription/ACELY1691</vt:lpwstr>
      </vt:variant>
      <vt:variant>
        <vt:lpwstr/>
      </vt:variant>
      <vt:variant>
        <vt:i4>8323116</vt:i4>
      </vt:variant>
      <vt:variant>
        <vt:i4>48</vt:i4>
      </vt:variant>
      <vt:variant>
        <vt:i4>0</vt:i4>
      </vt:variant>
      <vt:variant>
        <vt:i4>5</vt:i4>
      </vt:variant>
      <vt:variant>
        <vt:lpwstr>http://acdcpuat.curriculum.edu.au/Glossary?a=E&amp;t=types+of+texts</vt:lpwstr>
      </vt:variant>
      <vt:variant>
        <vt:lpwstr/>
      </vt:variant>
      <vt:variant>
        <vt:i4>5111828</vt:i4>
      </vt:variant>
      <vt:variant>
        <vt:i4>45</vt:i4>
      </vt:variant>
      <vt:variant>
        <vt:i4>0</vt:i4>
      </vt:variant>
      <vt:variant>
        <vt:i4>5</vt:i4>
      </vt:variant>
      <vt:variant>
        <vt:lpwstr>http://acdcpuat.curriculum.edu.au/Glossary?a=E&amp;t=Read</vt:lpwstr>
      </vt:variant>
      <vt:variant>
        <vt:lpwstr/>
      </vt:variant>
      <vt:variant>
        <vt:i4>7143464</vt:i4>
      </vt:variant>
      <vt:variant>
        <vt:i4>42</vt:i4>
      </vt:variant>
      <vt:variant>
        <vt:i4>0</vt:i4>
      </vt:variant>
      <vt:variant>
        <vt:i4>5</vt:i4>
      </vt:variant>
      <vt:variant>
        <vt:lpwstr>http://www.australiancurriculum.edu.au/Curriculum/ContentDescription/ACELY1689</vt:lpwstr>
      </vt:variant>
      <vt:variant>
        <vt:lpwstr/>
      </vt:variant>
      <vt:variant>
        <vt:i4>7077928</vt:i4>
      </vt:variant>
      <vt:variant>
        <vt:i4>39</vt:i4>
      </vt:variant>
      <vt:variant>
        <vt:i4>0</vt:i4>
      </vt:variant>
      <vt:variant>
        <vt:i4>5</vt:i4>
      </vt:variant>
      <vt:variant>
        <vt:lpwstr>http://www.australiancurriculum.edu.au/Curriculum/ContentDescription/ACELY1688</vt:lpwstr>
      </vt:variant>
      <vt:variant>
        <vt:lpwstr/>
      </vt:variant>
      <vt:variant>
        <vt:i4>7274528</vt:i4>
      </vt:variant>
      <vt:variant>
        <vt:i4>36</vt:i4>
      </vt:variant>
      <vt:variant>
        <vt:i4>0</vt:i4>
      </vt:variant>
      <vt:variant>
        <vt:i4>5</vt:i4>
      </vt:variant>
      <vt:variant>
        <vt:lpwstr>http://www.australiancurriculum.edu.au/Curriculum/ContentDescription/ACELT1606</vt:lpwstr>
      </vt:variant>
      <vt:variant>
        <vt:lpwstr/>
      </vt:variant>
      <vt:variant>
        <vt:i4>7143456</vt:i4>
      </vt:variant>
      <vt:variant>
        <vt:i4>33</vt:i4>
      </vt:variant>
      <vt:variant>
        <vt:i4>0</vt:i4>
      </vt:variant>
      <vt:variant>
        <vt:i4>5</vt:i4>
      </vt:variant>
      <vt:variant>
        <vt:lpwstr>http://www.australiancurriculum.edu.au/Curriculum/ContentDescription/ACELT1604</vt:lpwstr>
      </vt:variant>
      <vt:variant>
        <vt:lpwstr/>
      </vt:variant>
      <vt:variant>
        <vt:i4>6946848</vt:i4>
      </vt:variant>
      <vt:variant>
        <vt:i4>30</vt:i4>
      </vt:variant>
      <vt:variant>
        <vt:i4>0</vt:i4>
      </vt:variant>
      <vt:variant>
        <vt:i4>5</vt:i4>
      </vt:variant>
      <vt:variant>
        <vt:lpwstr>http://www.australiancurriculum.edu.au/Curriculum/ContentDescription/ACELT1603</vt:lpwstr>
      </vt:variant>
      <vt:variant>
        <vt:lpwstr/>
      </vt:variant>
      <vt:variant>
        <vt:i4>7012384</vt:i4>
      </vt:variant>
      <vt:variant>
        <vt:i4>27</vt:i4>
      </vt:variant>
      <vt:variant>
        <vt:i4>0</vt:i4>
      </vt:variant>
      <vt:variant>
        <vt:i4>5</vt:i4>
      </vt:variant>
      <vt:variant>
        <vt:lpwstr>http://www.australiancurriculum.edu.au/Curriculum/ContentDescription/ACELT1602</vt:lpwstr>
      </vt:variant>
      <vt:variant>
        <vt:lpwstr/>
      </vt:variant>
      <vt:variant>
        <vt:i4>8192040</vt:i4>
      </vt:variant>
      <vt:variant>
        <vt:i4>24</vt:i4>
      </vt:variant>
      <vt:variant>
        <vt:i4>0</vt:i4>
      </vt:variant>
      <vt:variant>
        <vt:i4>5</vt:i4>
      </vt:variant>
      <vt:variant>
        <vt:lpwstr>http://www.australiancurriculum.edu.au/Curriculum/ContentDescription/ACELA1780</vt:lpwstr>
      </vt:variant>
      <vt:variant>
        <vt:lpwstr/>
      </vt:variant>
      <vt:variant>
        <vt:i4>4259858</vt:i4>
      </vt:variant>
      <vt:variant>
        <vt:i4>21</vt:i4>
      </vt:variant>
      <vt:variant>
        <vt:i4>0</vt:i4>
      </vt:variant>
      <vt:variant>
        <vt:i4>5</vt:i4>
      </vt:variant>
      <vt:variant>
        <vt:lpwstr>http://acdcpuat.curriculum.edu.au/Glossary?a=E&amp;t=context</vt:lpwstr>
      </vt:variant>
      <vt:variant>
        <vt:lpwstr/>
      </vt:variant>
      <vt:variant>
        <vt:i4>7602215</vt:i4>
      </vt:variant>
      <vt:variant>
        <vt:i4>18</vt:i4>
      </vt:variant>
      <vt:variant>
        <vt:i4>0</vt:i4>
      </vt:variant>
      <vt:variant>
        <vt:i4>5</vt:i4>
      </vt:variant>
      <vt:variant>
        <vt:lpwstr>http://www.australiancurriculum.edu.au/Curriculum/ContentDescription/ACELA1779</vt:lpwstr>
      </vt:variant>
      <vt:variant>
        <vt:lpwstr/>
      </vt:variant>
      <vt:variant>
        <vt:i4>8192041</vt:i4>
      </vt:variant>
      <vt:variant>
        <vt:i4>15</vt:i4>
      </vt:variant>
      <vt:variant>
        <vt:i4>0</vt:i4>
      </vt:variant>
      <vt:variant>
        <vt:i4>5</vt:i4>
      </vt:variant>
      <vt:variant>
        <vt:lpwstr>http://www.australiancurriculum.edu.au/Curriculum/ContentDescription/ACELA1493</vt:lpwstr>
      </vt:variant>
      <vt:variant>
        <vt:lpwstr/>
      </vt:variant>
      <vt:variant>
        <vt:i4>8323113</vt:i4>
      </vt:variant>
      <vt:variant>
        <vt:i4>12</vt:i4>
      </vt:variant>
      <vt:variant>
        <vt:i4>0</vt:i4>
      </vt:variant>
      <vt:variant>
        <vt:i4>5</vt:i4>
      </vt:variant>
      <vt:variant>
        <vt:lpwstr>http://www.australiancurriculum.edu.au/Curriculum/ContentDescription/ACELA1491</vt:lpwstr>
      </vt:variant>
      <vt:variant>
        <vt:lpwstr/>
      </vt:variant>
      <vt:variant>
        <vt:i4>8257577</vt:i4>
      </vt:variant>
      <vt:variant>
        <vt:i4>9</vt:i4>
      </vt:variant>
      <vt:variant>
        <vt:i4>0</vt:i4>
      </vt:variant>
      <vt:variant>
        <vt:i4>5</vt:i4>
      </vt:variant>
      <vt:variant>
        <vt:lpwstr>http://www.australiancurriculum.edu.au/Curriculum/ContentDescription/ACELA1490</vt:lpwstr>
      </vt:variant>
      <vt:variant>
        <vt:lpwstr/>
      </vt:variant>
      <vt:variant>
        <vt:i4>7798824</vt:i4>
      </vt:variant>
      <vt:variant>
        <vt:i4>6</vt:i4>
      </vt:variant>
      <vt:variant>
        <vt:i4>0</vt:i4>
      </vt:variant>
      <vt:variant>
        <vt:i4>5</vt:i4>
      </vt:variant>
      <vt:variant>
        <vt:lpwstr>http://www.australiancurriculum.edu.au/Curriculum/ContentDescription/ACELA1489</vt:lpwstr>
      </vt:variant>
      <vt:variant>
        <vt:lpwstr/>
      </vt:variant>
      <vt:variant>
        <vt:i4>7929896</vt:i4>
      </vt:variant>
      <vt:variant>
        <vt:i4>3</vt:i4>
      </vt:variant>
      <vt:variant>
        <vt:i4>0</vt:i4>
      </vt:variant>
      <vt:variant>
        <vt:i4>5</vt:i4>
      </vt:variant>
      <vt:variant>
        <vt:lpwstr>http://www.australiancurriculum.edu.au/Curriculum/ContentDescription/ACELA1487</vt:lpwstr>
      </vt:variant>
      <vt:variant>
        <vt:lpwstr/>
      </vt:variant>
      <vt:variant>
        <vt:i4>1441881</vt:i4>
      </vt:variant>
      <vt:variant>
        <vt:i4>0</vt:i4>
      </vt:variant>
      <vt:variant>
        <vt:i4>0</vt:i4>
      </vt:variant>
      <vt:variant>
        <vt:i4>5</vt:i4>
      </vt:variant>
      <vt:variant>
        <vt:lpwstr>http://acdcpuat.curriculum.edu.au/Glossary?a=E&amp;t=Standard+Australian+English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unit overview — Australian Curriculum: English</dc:title>
  <dc:subject>Australian Curriculum</dc:subject>
  <dc:creator>Queensland Studies Authority</dc:creator>
  <cp:keywords/>
  <cp:lastModifiedBy>QSA</cp:lastModifiedBy>
  <cp:revision>2</cp:revision>
  <cp:lastPrinted>2011-12-06T03:42:00Z</cp:lastPrinted>
  <dcterms:created xsi:type="dcterms:W3CDTF">2014-06-18T06:02:00Z</dcterms:created>
  <dcterms:modified xsi:type="dcterms:W3CDTF">2014-06-18T06:02:00Z</dcterms:modified>
</cp:coreProperties>
</file>