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F759A3" w:rsidRDefault="007108E8" w:rsidP="005213F2">
      <w:pPr>
        <w:pStyle w:val="Heading1TOP"/>
        <w:tabs>
          <w:tab w:val="right" w:pos="14520"/>
        </w:tabs>
      </w:pPr>
      <w:bookmarkStart w:id="0" w:name="_GoBack"/>
      <w:bookmarkEnd w:id="0"/>
      <w:r w:rsidRPr="00F759A3">
        <w:t xml:space="preserve">Year </w:t>
      </w:r>
      <w:r w:rsidR="00A746A5" w:rsidRPr="00F759A3">
        <w:t>9</w:t>
      </w:r>
      <w:r w:rsidR="00A776EE" w:rsidRPr="00F759A3">
        <w:t xml:space="preserve"> </w:t>
      </w:r>
      <w:r w:rsidR="00F502AA" w:rsidRPr="00F759A3">
        <w:t>u</w:t>
      </w:r>
      <w:r w:rsidR="008300AE" w:rsidRPr="00F759A3">
        <w:t>nit overview</w:t>
      </w:r>
      <w:r w:rsidR="00CF0F03" w:rsidRPr="00F759A3">
        <w:t xml:space="preserve"> — Australian Curriculum:</w:t>
      </w:r>
      <w:r w:rsidR="008300AE" w:rsidRPr="00F759A3">
        <w:t xml:space="preserve"> </w:t>
      </w:r>
      <w:r w:rsidR="00C70F72" w:rsidRPr="00F759A3">
        <w:t>History</w:t>
      </w:r>
      <w:r w:rsidR="006A6651" w:rsidRPr="00F759A3">
        <w:tab/>
      </w:r>
    </w:p>
    <w:p w:rsidR="00FA0810" w:rsidRPr="00F759A3" w:rsidRDefault="00FA0810" w:rsidP="009F6910">
      <w:pPr>
        <w:pStyle w:val="ACversionline"/>
      </w:pPr>
      <w:r w:rsidRPr="00F759A3">
        <w:t xml:space="preserve">Source: Australian Curriculum, Assessment and Reporting Authority (ACARA), </w:t>
      </w:r>
      <w:r w:rsidR="00545B63" w:rsidRPr="00F759A3">
        <w:rPr>
          <w:i/>
        </w:rPr>
        <w:t>Australian Curriculum v</w:t>
      </w:r>
      <w:r w:rsidR="00346D3E" w:rsidRPr="00F759A3">
        <w:rPr>
          <w:i/>
        </w:rPr>
        <w:t>3</w:t>
      </w:r>
      <w:r w:rsidRPr="00F759A3">
        <w:rPr>
          <w:i/>
        </w:rPr>
        <w:t xml:space="preserve">.0: </w:t>
      </w:r>
      <w:r w:rsidR="00C70F72" w:rsidRPr="00F759A3">
        <w:rPr>
          <w:i/>
        </w:rPr>
        <w:t>History</w:t>
      </w:r>
      <w:r w:rsidRPr="00F759A3">
        <w:rPr>
          <w:i/>
        </w:rPr>
        <w:t xml:space="preserve"> for Foundation–10</w:t>
      </w:r>
      <w:r w:rsidRPr="00F759A3">
        <w:t>,</w:t>
      </w:r>
      <w:r w:rsidR="00346D3E" w:rsidRPr="00F759A3">
        <w:t xml:space="preserve"> </w:t>
      </w:r>
      <w:r w:rsidRPr="00F759A3">
        <w:t>&lt;www.australiancurriculum.edu.au/</w:t>
      </w:r>
      <w:r w:rsidR="00C70F72" w:rsidRPr="00F759A3">
        <w:t>History</w:t>
      </w:r>
      <w:r w:rsidRPr="00F759A3">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F759A3" w:rsidTr="00FA0810">
        <w:trPr>
          <w:tblHeader/>
          <w:jc w:val="center"/>
        </w:trPr>
        <w:tc>
          <w:tcPr>
            <w:tcW w:w="1208" w:type="pct"/>
            <w:shd w:val="clear" w:color="auto" w:fill="CFE7E6"/>
          </w:tcPr>
          <w:p w:rsidR="008D28C8" w:rsidRPr="00F759A3" w:rsidRDefault="008D28C8" w:rsidP="008300AE">
            <w:pPr>
              <w:pStyle w:val="Tablehead"/>
              <w:rPr>
                <w:szCs w:val="21"/>
              </w:rPr>
            </w:pPr>
            <w:r w:rsidRPr="00F759A3">
              <w:rPr>
                <w:szCs w:val="21"/>
              </w:rPr>
              <w:t>School name</w:t>
            </w:r>
          </w:p>
        </w:tc>
        <w:tc>
          <w:tcPr>
            <w:tcW w:w="2572" w:type="pct"/>
            <w:shd w:val="clear" w:color="auto" w:fill="CFE7E6"/>
          </w:tcPr>
          <w:p w:rsidR="008D28C8" w:rsidRPr="00F759A3" w:rsidRDefault="008D28C8" w:rsidP="008300AE">
            <w:pPr>
              <w:pStyle w:val="Tablehead"/>
              <w:rPr>
                <w:szCs w:val="21"/>
              </w:rPr>
            </w:pPr>
            <w:r w:rsidRPr="00F759A3">
              <w:rPr>
                <w:szCs w:val="21"/>
              </w:rPr>
              <w:t>Unit title</w:t>
            </w:r>
          </w:p>
        </w:tc>
        <w:tc>
          <w:tcPr>
            <w:tcW w:w="1220" w:type="pct"/>
            <w:shd w:val="clear" w:color="auto" w:fill="CFE7E6"/>
          </w:tcPr>
          <w:p w:rsidR="008D28C8" w:rsidRPr="00F759A3" w:rsidRDefault="008D28C8" w:rsidP="008300AE">
            <w:pPr>
              <w:pStyle w:val="Tablehead"/>
              <w:rPr>
                <w:szCs w:val="21"/>
              </w:rPr>
            </w:pPr>
            <w:r w:rsidRPr="00F759A3">
              <w:rPr>
                <w:szCs w:val="21"/>
              </w:rPr>
              <w:t>Duration of unit</w:t>
            </w:r>
          </w:p>
        </w:tc>
      </w:tr>
      <w:tr w:rsidR="008D28C8" w:rsidRPr="00F759A3" w:rsidTr="005213F2">
        <w:trPr>
          <w:jc w:val="center"/>
        </w:trPr>
        <w:tc>
          <w:tcPr>
            <w:tcW w:w="1208" w:type="pct"/>
            <w:shd w:val="clear" w:color="auto" w:fill="auto"/>
          </w:tcPr>
          <w:p w:rsidR="008D28C8" w:rsidRPr="00F759A3" w:rsidRDefault="00A746A5" w:rsidP="00BA62FB">
            <w:pPr>
              <w:pStyle w:val="Tabletext"/>
            </w:pPr>
            <w:r w:rsidRPr="00F759A3">
              <w:t xml:space="preserve">Our </w:t>
            </w:r>
            <w:r w:rsidR="00BA62FB" w:rsidRPr="00F759A3">
              <w:t>School</w:t>
            </w:r>
          </w:p>
        </w:tc>
        <w:tc>
          <w:tcPr>
            <w:tcW w:w="2572" w:type="pct"/>
            <w:shd w:val="clear" w:color="auto" w:fill="auto"/>
          </w:tcPr>
          <w:p w:rsidR="008D28C8" w:rsidRPr="00F759A3" w:rsidRDefault="007F2AF1" w:rsidP="008300AE">
            <w:pPr>
              <w:pStyle w:val="Tabletext"/>
            </w:pPr>
            <w:r w:rsidRPr="00F759A3">
              <w:t xml:space="preserve">Depth study: </w:t>
            </w:r>
            <w:r w:rsidR="00DE56EA" w:rsidRPr="00D05F45">
              <w:rPr>
                <w:i/>
              </w:rPr>
              <w:t>World War I</w:t>
            </w:r>
          </w:p>
        </w:tc>
        <w:tc>
          <w:tcPr>
            <w:tcW w:w="1220" w:type="pct"/>
            <w:shd w:val="clear" w:color="auto" w:fill="auto"/>
          </w:tcPr>
          <w:p w:rsidR="008D28C8" w:rsidRPr="00F759A3" w:rsidRDefault="00A746A5" w:rsidP="008300AE">
            <w:pPr>
              <w:pStyle w:val="Tabletext"/>
            </w:pPr>
            <w:r w:rsidRPr="00F759A3">
              <w:t>13 weeks</w:t>
            </w:r>
          </w:p>
        </w:tc>
      </w:tr>
    </w:tbl>
    <w:p w:rsidR="00032413" w:rsidRPr="00F759A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F759A3" w:rsidTr="00FA0810">
        <w:trPr>
          <w:tblHeader/>
          <w:jc w:val="center"/>
        </w:trPr>
        <w:tc>
          <w:tcPr>
            <w:tcW w:w="5000" w:type="pct"/>
            <w:shd w:val="clear" w:color="auto" w:fill="CFE7E6"/>
          </w:tcPr>
          <w:p w:rsidR="008300AE" w:rsidRPr="00F759A3" w:rsidRDefault="008300AE" w:rsidP="00EC2B44">
            <w:pPr>
              <w:pStyle w:val="Tablehead"/>
              <w:rPr>
                <w:szCs w:val="21"/>
              </w:rPr>
            </w:pPr>
            <w:r w:rsidRPr="00F759A3">
              <w:rPr>
                <w:szCs w:val="21"/>
              </w:rPr>
              <w:t xml:space="preserve">Unit </w:t>
            </w:r>
            <w:r w:rsidR="003C5172" w:rsidRPr="00F759A3">
              <w:rPr>
                <w:szCs w:val="21"/>
              </w:rPr>
              <w:t>o</w:t>
            </w:r>
            <w:r w:rsidR="008D28C8" w:rsidRPr="00F759A3">
              <w:rPr>
                <w:szCs w:val="21"/>
              </w:rPr>
              <w:t>utline</w:t>
            </w:r>
          </w:p>
        </w:tc>
      </w:tr>
      <w:tr w:rsidR="008300AE" w:rsidRPr="00F759A3" w:rsidTr="005213F2">
        <w:trPr>
          <w:jc w:val="center"/>
        </w:trPr>
        <w:tc>
          <w:tcPr>
            <w:tcW w:w="5000" w:type="pct"/>
            <w:shd w:val="clear" w:color="auto" w:fill="auto"/>
          </w:tcPr>
          <w:p w:rsidR="00704F62" w:rsidRPr="00F759A3" w:rsidRDefault="006A6651" w:rsidP="006A6651">
            <w:pPr>
              <w:pStyle w:val="Tabletext"/>
            </w:pPr>
            <w:r w:rsidRPr="00F759A3">
              <w:t>The Year 9 curriculum provides a study of the history of the making of the modern world from 1750 to 1918. It was a period of industrialisation and rapid change in the ways people lived, worked and thought. It was an era of nationalism and imperialism, and the colonisation of Australia was part of the expansion of European power. The period culminated in World War I 1914</w:t>
            </w:r>
            <w:r w:rsidR="007F2AF1" w:rsidRPr="00F759A3">
              <w:t>–</w:t>
            </w:r>
            <w:r w:rsidRPr="00F759A3">
              <w:t xml:space="preserve">1918, the </w:t>
            </w:r>
            <w:r w:rsidR="00BA62FB" w:rsidRPr="00F759A3">
              <w:t>“</w:t>
            </w:r>
            <w:r w:rsidRPr="00F759A3">
              <w:t xml:space="preserve">war to end all </w:t>
            </w:r>
            <w:r w:rsidR="00BA62FB" w:rsidRPr="00F759A3">
              <w:t>wars”</w:t>
            </w:r>
            <w:r w:rsidRPr="00F759A3">
              <w:t>.</w:t>
            </w:r>
          </w:p>
          <w:p w:rsidR="006A6651" w:rsidRPr="00D05F45" w:rsidRDefault="006A6651" w:rsidP="006A6651">
            <w:pPr>
              <w:pStyle w:val="Tabletext"/>
            </w:pPr>
          </w:p>
          <w:p w:rsidR="006A6651" w:rsidRPr="00F759A3" w:rsidRDefault="006A6651" w:rsidP="006A6651">
            <w:pPr>
              <w:spacing w:before="60" w:after="60" w:line="220" w:lineRule="atLeast"/>
              <w:rPr>
                <w:sz w:val="20"/>
              </w:rPr>
            </w:pPr>
            <w:r w:rsidRPr="00F759A3">
              <w:rPr>
                <w:sz w:val="20"/>
              </w:rPr>
              <w:t>In this depth study, students investigate key aspects of World War I and the Australian experience of the war, including the nature and significance of this war in world and Australian history.</w:t>
            </w:r>
          </w:p>
          <w:p w:rsidR="006A6651" w:rsidRPr="00D05F45" w:rsidRDefault="006A6651" w:rsidP="006A6651">
            <w:pPr>
              <w:pStyle w:val="Tabletext"/>
            </w:pPr>
          </w:p>
          <w:p w:rsidR="006A6651" w:rsidRPr="00D05F45" w:rsidRDefault="006A6651" w:rsidP="006A6651">
            <w:pPr>
              <w:pStyle w:val="Tabletext"/>
            </w:pPr>
            <w:r w:rsidRPr="00F759A3">
              <w:t>The key inquiry questions for this unit are:</w:t>
            </w:r>
          </w:p>
          <w:p w:rsidR="006A6651" w:rsidRPr="00D05F45" w:rsidRDefault="006A6651" w:rsidP="006A6651">
            <w:pPr>
              <w:pStyle w:val="Tabletext"/>
              <w:numPr>
                <w:ilvl w:val="0"/>
                <w:numId w:val="42"/>
              </w:numPr>
              <w:ind w:left="311" w:hanging="284"/>
              <w:rPr>
                <w:rFonts w:cs="Arial"/>
              </w:rPr>
            </w:pPr>
            <w:r w:rsidRPr="00D05F45">
              <w:rPr>
                <w:rFonts w:cs="Arial"/>
              </w:rPr>
              <w:t>What were the changing features of the movements of people from 1750 to 1918?</w:t>
            </w:r>
          </w:p>
          <w:p w:rsidR="006A6651" w:rsidRPr="00D05F45" w:rsidRDefault="006A6651" w:rsidP="006A6651">
            <w:pPr>
              <w:pStyle w:val="Tabletext"/>
              <w:numPr>
                <w:ilvl w:val="0"/>
                <w:numId w:val="42"/>
              </w:numPr>
              <w:ind w:left="311" w:hanging="284"/>
              <w:rPr>
                <w:rFonts w:cs="Arial"/>
              </w:rPr>
            </w:pPr>
            <w:r w:rsidRPr="00D05F45">
              <w:rPr>
                <w:rFonts w:cs="Arial"/>
              </w:rPr>
              <w:t>How did new ideas and technological developments contribute to change in this period?</w:t>
            </w:r>
          </w:p>
          <w:p w:rsidR="006A6651" w:rsidRPr="00D05F45" w:rsidRDefault="006A6651" w:rsidP="006A6651">
            <w:pPr>
              <w:pStyle w:val="Tabletext"/>
              <w:numPr>
                <w:ilvl w:val="0"/>
                <w:numId w:val="42"/>
              </w:numPr>
              <w:ind w:left="311" w:hanging="284"/>
              <w:rPr>
                <w:rFonts w:cs="Arial"/>
              </w:rPr>
            </w:pPr>
            <w:r w:rsidRPr="00D05F45">
              <w:rPr>
                <w:rFonts w:cs="Arial"/>
              </w:rPr>
              <w:t>What was the origin, development, significance and long-term impact of imperialism in this period?</w:t>
            </w:r>
          </w:p>
          <w:p w:rsidR="006A6651" w:rsidRPr="002B6488" w:rsidRDefault="006A6651" w:rsidP="006A6651">
            <w:pPr>
              <w:pStyle w:val="Tabletext"/>
              <w:numPr>
                <w:ilvl w:val="0"/>
                <w:numId w:val="42"/>
              </w:numPr>
              <w:ind w:left="311" w:hanging="284"/>
              <w:rPr>
                <w:rFonts w:cs="Arial"/>
              </w:rPr>
            </w:pPr>
            <w:r w:rsidRPr="00D05F45">
              <w:rPr>
                <w:rFonts w:cs="Arial"/>
              </w:rPr>
              <w:t>What was the significance of World War I?</w:t>
            </w:r>
          </w:p>
        </w:tc>
      </w:tr>
    </w:tbl>
    <w:p w:rsidR="008D28C8" w:rsidRPr="00F759A3" w:rsidRDefault="008D28C8" w:rsidP="008300AE"/>
    <w:p w:rsidR="00364E09" w:rsidRPr="00F759A3" w:rsidRDefault="004A69B7" w:rsidP="00364E09">
      <w:pPr>
        <w:pStyle w:val="smallspace"/>
      </w:pPr>
      <w:r w:rsidRPr="00F759A3">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91"/>
        <w:gridCol w:w="4845"/>
        <w:gridCol w:w="5122"/>
      </w:tblGrid>
      <w:tr w:rsidR="005D333E" w:rsidRPr="00F759A3" w:rsidTr="00AC46E8">
        <w:trPr>
          <w:trHeight w:val="373"/>
          <w:tblHeader/>
          <w:jc w:val="center"/>
        </w:trPr>
        <w:tc>
          <w:tcPr>
            <w:tcW w:w="5000" w:type="pct"/>
            <w:gridSpan w:val="3"/>
            <w:tcBorders>
              <w:bottom w:val="single" w:sz="4" w:space="0" w:color="00928F"/>
            </w:tcBorders>
            <w:shd w:val="clear" w:color="auto" w:fill="8CC8C9"/>
          </w:tcPr>
          <w:p w:rsidR="005D333E" w:rsidRPr="00F759A3" w:rsidRDefault="005D333E" w:rsidP="005213F2">
            <w:pPr>
              <w:pStyle w:val="Tablehead"/>
              <w:rPr>
                <w:szCs w:val="21"/>
              </w:rPr>
            </w:pPr>
            <w:r w:rsidRPr="00F759A3">
              <w:t>Identify curriculum</w:t>
            </w:r>
          </w:p>
        </w:tc>
      </w:tr>
      <w:tr w:rsidR="008D28C8" w:rsidRPr="00F759A3" w:rsidTr="00C05D8C">
        <w:trPr>
          <w:jc w:val="center"/>
        </w:trPr>
        <w:tc>
          <w:tcPr>
            <w:tcW w:w="3241" w:type="pct"/>
            <w:gridSpan w:val="2"/>
            <w:tcBorders>
              <w:bottom w:val="single" w:sz="4" w:space="0" w:color="00928F"/>
            </w:tcBorders>
            <w:shd w:val="clear" w:color="auto" w:fill="CFE7E6"/>
          </w:tcPr>
          <w:p w:rsidR="008D28C8" w:rsidRPr="00F759A3" w:rsidRDefault="008D28C8" w:rsidP="00A343ED">
            <w:pPr>
              <w:pStyle w:val="Tablesubhead"/>
            </w:pPr>
            <w:r w:rsidRPr="00F759A3">
              <w:t>Content descriptions to be taught</w:t>
            </w:r>
          </w:p>
        </w:tc>
        <w:tc>
          <w:tcPr>
            <w:tcW w:w="1759" w:type="pct"/>
            <w:vMerge w:val="restart"/>
            <w:shd w:val="clear" w:color="auto" w:fill="CFE7E6"/>
            <w:vAlign w:val="center"/>
          </w:tcPr>
          <w:p w:rsidR="008D28C8" w:rsidRPr="00F759A3" w:rsidRDefault="009A5922" w:rsidP="00A343ED">
            <w:pPr>
              <w:pStyle w:val="Tablesubhead"/>
            </w:pPr>
            <w:r w:rsidRPr="00F759A3">
              <w:t xml:space="preserve">General capabilities and </w:t>
            </w:r>
            <w:r w:rsidR="002D23BF" w:rsidRPr="00F759A3">
              <w:t>c</w:t>
            </w:r>
            <w:r w:rsidRPr="00F759A3">
              <w:t>ross</w:t>
            </w:r>
            <w:r w:rsidRPr="00F759A3">
              <w:noBreakHyphen/>
              <w:t>curriculum priorities</w:t>
            </w:r>
          </w:p>
        </w:tc>
      </w:tr>
      <w:tr w:rsidR="008338F8" w:rsidRPr="00F759A3" w:rsidTr="00D05F45">
        <w:trPr>
          <w:jc w:val="center"/>
        </w:trPr>
        <w:tc>
          <w:tcPr>
            <w:tcW w:w="1577" w:type="pct"/>
            <w:shd w:val="clear" w:color="auto" w:fill="CFE7E6"/>
          </w:tcPr>
          <w:p w:rsidR="008338F8" w:rsidRPr="00F759A3" w:rsidRDefault="008338F8" w:rsidP="008338F8">
            <w:pPr>
              <w:pStyle w:val="Tablesubhead"/>
            </w:pPr>
            <w:r w:rsidRPr="00F759A3">
              <w:t>Historical Knowledge and Understanding</w:t>
            </w:r>
          </w:p>
        </w:tc>
        <w:tc>
          <w:tcPr>
            <w:tcW w:w="1664" w:type="pct"/>
            <w:tcBorders>
              <w:bottom w:val="single" w:sz="4" w:space="0" w:color="00928F"/>
            </w:tcBorders>
            <w:shd w:val="clear" w:color="auto" w:fill="CFE7E6"/>
          </w:tcPr>
          <w:p w:rsidR="008338F8" w:rsidRPr="00F759A3" w:rsidRDefault="008338F8" w:rsidP="00632199">
            <w:pPr>
              <w:pStyle w:val="Tablesubhead"/>
            </w:pPr>
            <w:r w:rsidRPr="00F759A3">
              <w:t>Historical Skills</w:t>
            </w:r>
          </w:p>
        </w:tc>
        <w:tc>
          <w:tcPr>
            <w:tcW w:w="1759" w:type="pct"/>
            <w:vMerge/>
            <w:tcBorders>
              <w:bottom w:val="single" w:sz="4" w:space="0" w:color="00928F"/>
            </w:tcBorders>
            <w:shd w:val="clear" w:color="auto" w:fill="CFE7E6"/>
          </w:tcPr>
          <w:p w:rsidR="008338F8" w:rsidRPr="00F759A3" w:rsidRDefault="008338F8" w:rsidP="00433BEC">
            <w:pPr>
              <w:pStyle w:val="Tablesubhead"/>
            </w:pPr>
          </w:p>
        </w:tc>
      </w:tr>
      <w:tr w:rsidR="006D16DA" w:rsidRPr="00F759A3" w:rsidTr="00D05F45">
        <w:trPr>
          <w:trHeight w:val="3675"/>
          <w:jc w:val="center"/>
        </w:trPr>
        <w:tc>
          <w:tcPr>
            <w:tcW w:w="1577" w:type="pct"/>
            <w:vMerge w:val="restart"/>
            <w:shd w:val="clear" w:color="auto" w:fill="auto"/>
          </w:tcPr>
          <w:p w:rsidR="006D16DA" w:rsidRPr="00D05F45" w:rsidRDefault="006D16DA" w:rsidP="00635D79">
            <w:pPr>
              <w:pStyle w:val="Tablesubhead"/>
            </w:pPr>
            <w:r w:rsidRPr="00F759A3">
              <w:t>World War I</w:t>
            </w:r>
          </w:p>
          <w:p w:rsidR="006D16DA" w:rsidRPr="00D05F45" w:rsidRDefault="006D16DA" w:rsidP="00635D79">
            <w:pPr>
              <w:pStyle w:val="Tabletext"/>
              <w:numPr>
                <w:ilvl w:val="0"/>
                <w:numId w:val="42"/>
              </w:numPr>
              <w:ind w:left="311" w:hanging="284"/>
              <w:rPr>
                <w:rStyle w:val="Hyperlink"/>
                <w:color w:val="auto"/>
              </w:rPr>
            </w:pPr>
            <w:r w:rsidRPr="00D05F45">
              <w:rPr>
                <w:rFonts w:cs="Arial"/>
              </w:rPr>
              <w:t xml:space="preserve">An </w:t>
            </w:r>
            <w:r w:rsidRPr="00D05F45">
              <w:rPr>
                <w:rFonts w:eastAsia="SimSun" w:cs="Arial"/>
              </w:rPr>
              <w:t>overview</w:t>
            </w:r>
            <w:r w:rsidRPr="00D05F45">
              <w:rPr>
                <w:rFonts w:cs="Arial"/>
              </w:rPr>
              <w:t xml:space="preserve"> of the causes of World War I and the reasons why men enlisted to fight in the war </w:t>
            </w:r>
            <w:hyperlink r:id="rId9" w:tooltip="View additional details of ACDSEH021" w:history="1">
              <w:r w:rsidRPr="00D05F45">
                <w:rPr>
                  <w:rStyle w:val="Hyperlink"/>
                  <w:rFonts w:eastAsia="SimSun" w:cs="Arial"/>
                </w:rPr>
                <w:t>(ACDSEH021)</w:t>
              </w:r>
            </w:hyperlink>
          </w:p>
          <w:p w:rsidR="006D16DA" w:rsidRPr="00F759A3" w:rsidRDefault="006D16DA" w:rsidP="00635D79">
            <w:pPr>
              <w:pStyle w:val="Tabletext"/>
              <w:numPr>
                <w:ilvl w:val="0"/>
                <w:numId w:val="42"/>
              </w:numPr>
              <w:ind w:left="311" w:hanging="284"/>
              <w:rPr>
                <w:rStyle w:val="Hyperlink"/>
                <w:color w:val="auto"/>
              </w:rPr>
            </w:pPr>
            <w:r w:rsidRPr="00D05F45">
              <w:rPr>
                <w:rFonts w:cs="Arial"/>
              </w:rPr>
              <w:t xml:space="preserve">The places where Australians fought and the nature of warfare during World War I, including the Gallipoli campaign </w:t>
            </w:r>
            <w:hyperlink r:id="rId10" w:tooltip="View additional details of ACDSEH095" w:history="1">
              <w:r w:rsidRPr="00D05F45">
                <w:rPr>
                  <w:rStyle w:val="Hyperlink"/>
                  <w:rFonts w:eastAsia="SimSun" w:cs="Arial"/>
                </w:rPr>
                <w:t>(ACDSEH095)</w:t>
              </w:r>
            </w:hyperlink>
          </w:p>
          <w:p w:rsidR="006D16DA" w:rsidRPr="00F759A3" w:rsidRDefault="006D16DA" w:rsidP="00635D79">
            <w:pPr>
              <w:pStyle w:val="Tabletext"/>
              <w:numPr>
                <w:ilvl w:val="0"/>
                <w:numId w:val="42"/>
              </w:numPr>
              <w:ind w:left="311" w:hanging="284"/>
              <w:rPr>
                <w:rStyle w:val="Hyperlink"/>
                <w:color w:val="auto"/>
              </w:rPr>
            </w:pPr>
            <w:r w:rsidRPr="00D05F45">
              <w:rPr>
                <w:rFonts w:cs="Arial"/>
              </w:rPr>
              <w:t xml:space="preserve">The impact of World War I, with a particular emphasis on Australia (such as the use of propaganda to influence the civilian population, the changing role of women, the conscription debate) </w:t>
            </w:r>
            <w:hyperlink r:id="rId11" w:tooltip="View additional details of ACDSEH096" w:history="1">
              <w:r w:rsidRPr="00D05F45">
                <w:rPr>
                  <w:rStyle w:val="Hyperlink"/>
                  <w:rFonts w:eastAsia="SimSun" w:cs="Arial"/>
                </w:rPr>
                <w:t>(ACDSEH096)</w:t>
              </w:r>
            </w:hyperlink>
          </w:p>
          <w:p w:rsidR="006D16DA" w:rsidRPr="00D05F45" w:rsidRDefault="006D16DA" w:rsidP="00635D79">
            <w:pPr>
              <w:pStyle w:val="Tabletext"/>
              <w:numPr>
                <w:ilvl w:val="0"/>
                <w:numId w:val="42"/>
              </w:numPr>
              <w:ind w:left="311" w:hanging="284"/>
            </w:pPr>
            <w:r w:rsidRPr="00D05F45">
              <w:rPr>
                <w:rFonts w:cs="Arial"/>
              </w:rPr>
              <w:t xml:space="preserve">The commemoration of World War I, including debates about the nature and </w:t>
            </w:r>
            <w:r w:rsidRPr="00D05F45">
              <w:rPr>
                <w:rFonts w:eastAsia="SimSun" w:cs="Arial"/>
              </w:rPr>
              <w:t>significance</w:t>
            </w:r>
            <w:r w:rsidRPr="00D05F45">
              <w:rPr>
                <w:rFonts w:cs="Arial"/>
              </w:rPr>
              <w:t xml:space="preserve"> of the Anzac legend </w:t>
            </w:r>
            <w:hyperlink r:id="rId12" w:tooltip="View additional details of ACDSEH097" w:history="1">
              <w:r w:rsidRPr="00D05F45">
                <w:rPr>
                  <w:rStyle w:val="Hyperlink"/>
                  <w:rFonts w:eastAsia="SimSun" w:cs="Arial"/>
                </w:rPr>
                <w:t>(ACDSEH097)</w:t>
              </w:r>
            </w:hyperlink>
          </w:p>
        </w:tc>
        <w:tc>
          <w:tcPr>
            <w:tcW w:w="1664" w:type="pct"/>
            <w:tcBorders>
              <w:bottom w:val="single" w:sz="4" w:space="0" w:color="00928F"/>
            </w:tcBorders>
            <w:shd w:val="clear" w:color="auto" w:fill="auto"/>
          </w:tcPr>
          <w:p w:rsidR="006D16DA" w:rsidRPr="00D05F45" w:rsidRDefault="006D16DA" w:rsidP="00635D79">
            <w:pPr>
              <w:pStyle w:val="Tablesubhead"/>
            </w:pPr>
            <w:r w:rsidRPr="00D05F45">
              <w:t>Chronology, terms and concepts</w:t>
            </w:r>
          </w:p>
          <w:p w:rsidR="006D16DA" w:rsidRPr="00D05F45" w:rsidRDefault="006D16DA" w:rsidP="00635D79">
            <w:pPr>
              <w:pStyle w:val="Tabletext"/>
              <w:numPr>
                <w:ilvl w:val="0"/>
                <w:numId w:val="42"/>
              </w:numPr>
              <w:ind w:left="311" w:hanging="284"/>
              <w:rPr>
                <w:rStyle w:val="Hyperlink"/>
                <w:color w:val="auto"/>
              </w:rPr>
            </w:pPr>
            <w:r w:rsidRPr="00D05F45">
              <w:rPr>
                <w:rFonts w:cs="Arial"/>
              </w:rPr>
              <w:t>Use chronological sequencing to demonstrate the</w:t>
            </w:r>
            <w:r w:rsidR="007F2AF1" w:rsidRPr="00D05F45">
              <w:rPr>
                <w:rFonts w:cs="Arial"/>
              </w:rPr>
              <w:t xml:space="preserve"> </w:t>
            </w:r>
            <w:r w:rsidRPr="00D05F45">
              <w:rPr>
                <w:rFonts w:cs="Arial"/>
              </w:rPr>
              <w:t xml:space="preserve">relationship between events and developments in different periods and places </w:t>
            </w:r>
            <w:hyperlink r:id="rId13" w:tooltip="View additional details of ACHHS164" w:history="1">
              <w:r w:rsidRPr="00D05F45">
                <w:rPr>
                  <w:rStyle w:val="Hyperlink"/>
                  <w:rFonts w:eastAsia="SimSun"/>
                </w:rPr>
                <w:t>(ACHHS164)</w:t>
              </w:r>
            </w:hyperlink>
          </w:p>
          <w:p w:rsidR="006D16DA" w:rsidRPr="00F759A3" w:rsidRDefault="006D16DA" w:rsidP="00635D79">
            <w:pPr>
              <w:pStyle w:val="Tabletext"/>
              <w:numPr>
                <w:ilvl w:val="0"/>
                <w:numId w:val="42"/>
              </w:numPr>
              <w:ind w:left="311" w:hanging="284"/>
              <w:rPr>
                <w:rStyle w:val="Hyperlink"/>
                <w:color w:val="auto"/>
              </w:rPr>
            </w:pPr>
            <w:r w:rsidRPr="00D05F45">
              <w:rPr>
                <w:rFonts w:cs="Arial"/>
              </w:rPr>
              <w:t xml:space="preserve">Use historical </w:t>
            </w:r>
            <w:r w:rsidRPr="00F759A3">
              <w:rPr>
                <w:rFonts w:eastAsia="SimSun" w:cs="Arial"/>
              </w:rPr>
              <w:t>terms</w:t>
            </w:r>
            <w:r w:rsidRPr="00D05F45">
              <w:rPr>
                <w:rFonts w:cs="Arial"/>
              </w:rPr>
              <w:t xml:space="preserve"> and </w:t>
            </w:r>
            <w:r w:rsidRPr="00F759A3">
              <w:rPr>
                <w:rFonts w:eastAsia="SimSun" w:cs="Arial"/>
              </w:rPr>
              <w:t xml:space="preserve">concepts </w:t>
            </w:r>
            <w:hyperlink r:id="rId14" w:tooltip="View additional details of ACHHS165" w:history="1">
              <w:r w:rsidRPr="00D05F45">
                <w:rPr>
                  <w:rStyle w:val="Hyperlink"/>
                  <w:rFonts w:eastAsia="SimSun"/>
                </w:rPr>
                <w:t>(ACHHS165)</w:t>
              </w:r>
            </w:hyperlink>
          </w:p>
          <w:p w:rsidR="006D16DA" w:rsidRPr="00D05F45" w:rsidRDefault="006D16DA" w:rsidP="00635D79">
            <w:pPr>
              <w:pStyle w:val="Tablesubhead"/>
            </w:pPr>
            <w:r w:rsidRPr="00F759A3">
              <w:t>Historical questions and research</w:t>
            </w:r>
          </w:p>
          <w:p w:rsidR="006D16DA" w:rsidRPr="00D05F45" w:rsidRDefault="006D16DA" w:rsidP="00635D79">
            <w:pPr>
              <w:pStyle w:val="Tabletext"/>
              <w:numPr>
                <w:ilvl w:val="0"/>
                <w:numId w:val="42"/>
              </w:numPr>
              <w:ind w:left="311" w:hanging="284"/>
              <w:rPr>
                <w:rStyle w:val="Hyperlink"/>
                <w:color w:val="auto"/>
              </w:rPr>
            </w:pPr>
            <w:r w:rsidRPr="00D05F45">
              <w:rPr>
                <w:rFonts w:cs="Arial"/>
              </w:rPr>
              <w:t xml:space="preserve">Identify and select different kinds of questions about the past to inform historical inquiry </w:t>
            </w:r>
            <w:hyperlink r:id="rId15" w:tooltip="View additional details of ACHHS166" w:history="1">
              <w:r w:rsidRPr="00D05F45">
                <w:rPr>
                  <w:rStyle w:val="Hyperlink"/>
                  <w:rFonts w:eastAsia="SimSun"/>
                </w:rPr>
                <w:t>(ACHHS166)</w:t>
              </w:r>
            </w:hyperlink>
          </w:p>
          <w:p w:rsidR="006D16DA" w:rsidRPr="00F759A3" w:rsidRDefault="006D16DA" w:rsidP="00635D79">
            <w:pPr>
              <w:pStyle w:val="Tabletext"/>
              <w:numPr>
                <w:ilvl w:val="0"/>
                <w:numId w:val="42"/>
              </w:numPr>
              <w:ind w:left="311" w:hanging="284"/>
              <w:rPr>
                <w:rStyle w:val="Hyperlink"/>
                <w:color w:val="auto"/>
              </w:rPr>
            </w:pPr>
            <w:r w:rsidRPr="00D05F45">
              <w:rPr>
                <w:rFonts w:cs="Arial"/>
              </w:rPr>
              <w:t xml:space="preserve">Evaluate and enhance these questions </w:t>
            </w:r>
            <w:hyperlink r:id="rId16" w:tooltip="View additional details of ACHHS167" w:history="1">
              <w:r w:rsidRPr="00D05F45">
                <w:rPr>
                  <w:rStyle w:val="Hyperlink"/>
                  <w:rFonts w:eastAsia="SimSun"/>
                </w:rPr>
                <w:t>(ACHHS167)</w:t>
              </w:r>
            </w:hyperlink>
          </w:p>
          <w:p w:rsidR="006D16DA" w:rsidRPr="00F759A3" w:rsidRDefault="006D16DA" w:rsidP="00635D79">
            <w:pPr>
              <w:pStyle w:val="Tabletext"/>
              <w:numPr>
                <w:ilvl w:val="0"/>
                <w:numId w:val="42"/>
              </w:numPr>
              <w:ind w:left="311" w:hanging="284"/>
              <w:rPr>
                <w:rStyle w:val="Hyperlink"/>
                <w:color w:val="auto"/>
              </w:rPr>
            </w:pPr>
            <w:r w:rsidRPr="00D05F45">
              <w:rPr>
                <w:rFonts w:cs="Arial"/>
              </w:rPr>
              <w:t xml:space="preserve">Identify and locate relevant sources, using ICT and other methods </w:t>
            </w:r>
            <w:hyperlink r:id="rId17" w:tooltip="View additional details of ACHHS168" w:history="1">
              <w:r w:rsidRPr="00D05F45">
                <w:rPr>
                  <w:rStyle w:val="Hyperlink"/>
                  <w:rFonts w:eastAsia="SimSun"/>
                </w:rPr>
                <w:t>(ACHHS168)</w:t>
              </w:r>
            </w:hyperlink>
          </w:p>
          <w:p w:rsidR="006D16DA" w:rsidRPr="00D05F45" w:rsidRDefault="006D16DA" w:rsidP="00635D79">
            <w:pPr>
              <w:pStyle w:val="Tablesubhead"/>
            </w:pPr>
            <w:r w:rsidRPr="00F759A3">
              <w:t>Analysis and use of sources</w:t>
            </w:r>
          </w:p>
          <w:p w:rsidR="006D16DA" w:rsidRPr="00D05F45" w:rsidRDefault="006D16DA" w:rsidP="00635D79">
            <w:pPr>
              <w:pStyle w:val="Tabletext"/>
              <w:numPr>
                <w:ilvl w:val="0"/>
                <w:numId w:val="42"/>
              </w:numPr>
              <w:ind w:left="311" w:hanging="284"/>
              <w:rPr>
                <w:rStyle w:val="Hyperlink"/>
                <w:color w:val="auto"/>
              </w:rPr>
            </w:pPr>
            <w:r w:rsidRPr="00D05F45">
              <w:rPr>
                <w:rFonts w:cs="Arial"/>
              </w:rPr>
              <w:t xml:space="preserve">Process and synthesise information from a range of sources for use as evidence in an historical argument </w:t>
            </w:r>
            <w:hyperlink r:id="rId18" w:tooltip="View additional details of ACHHS170" w:history="1">
              <w:r w:rsidRPr="00D05F45">
                <w:rPr>
                  <w:rStyle w:val="Hyperlink"/>
                  <w:rFonts w:eastAsia="SimSun"/>
                </w:rPr>
                <w:t>(ACHHS170)</w:t>
              </w:r>
            </w:hyperlink>
          </w:p>
          <w:p w:rsidR="006D16DA" w:rsidRPr="00D05F45" w:rsidRDefault="006D16DA" w:rsidP="00635D79">
            <w:pPr>
              <w:pStyle w:val="Tablesubhead"/>
            </w:pPr>
            <w:r w:rsidRPr="00F759A3">
              <w:t>Perspectives and interpretations</w:t>
            </w:r>
          </w:p>
          <w:p w:rsidR="006D16DA" w:rsidRPr="00D05F45" w:rsidRDefault="006D16DA" w:rsidP="00635D79">
            <w:pPr>
              <w:pStyle w:val="Tabletext"/>
              <w:numPr>
                <w:ilvl w:val="0"/>
                <w:numId w:val="42"/>
              </w:numPr>
              <w:ind w:left="311" w:hanging="284"/>
              <w:rPr>
                <w:rStyle w:val="Hyperlink"/>
                <w:color w:val="auto"/>
              </w:rPr>
            </w:pPr>
            <w:r w:rsidRPr="00D05F45">
              <w:rPr>
                <w:rFonts w:cs="Arial"/>
              </w:rPr>
              <w:t xml:space="preserve">Identify and analyse the perspectives of people from the past </w:t>
            </w:r>
            <w:hyperlink r:id="rId19" w:tooltip="View additional details of ACHHS172" w:history="1">
              <w:r w:rsidR="00F759A3" w:rsidRPr="00D05F45">
                <w:rPr>
                  <w:rStyle w:val="Hyperlink"/>
                  <w:rFonts w:eastAsia="SimSun"/>
                </w:rPr>
                <w:t>(ACHHS172)</w:t>
              </w:r>
            </w:hyperlink>
          </w:p>
          <w:p w:rsidR="006D16DA" w:rsidRPr="00F759A3" w:rsidRDefault="006D16DA">
            <w:pPr>
              <w:pStyle w:val="Tabletext"/>
              <w:numPr>
                <w:ilvl w:val="0"/>
                <w:numId w:val="42"/>
              </w:numPr>
              <w:ind w:left="311" w:hanging="284"/>
              <w:rPr>
                <w:sz w:val="21"/>
              </w:rPr>
            </w:pPr>
            <w:r w:rsidRPr="00D05F45">
              <w:rPr>
                <w:rFonts w:cs="Arial"/>
              </w:rPr>
              <w:t xml:space="preserve">Identify and analyse different historical interpretations (including their own) </w:t>
            </w:r>
            <w:hyperlink r:id="rId20" w:tooltip="View additional details of ACHHS173" w:history="1">
              <w:r w:rsidRPr="00D05F45">
                <w:rPr>
                  <w:rStyle w:val="Hyperlink"/>
                  <w:rFonts w:eastAsia="SimSun"/>
                </w:rPr>
                <w:t>(ACHHS173)</w:t>
              </w:r>
            </w:hyperlink>
          </w:p>
        </w:tc>
        <w:tc>
          <w:tcPr>
            <w:tcW w:w="1759" w:type="pct"/>
            <w:tcBorders>
              <w:bottom w:val="single" w:sz="4" w:space="0" w:color="00928F"/>
            </w:tcBorders>
            <w:shd w:val="clear" w:color="auto" w:fill="auto"/>
          </w:tcPr>
          <w:p w:rsidR="006D16DA" w:rsidRPr="00F759A3" w:rsidRDefault="00DD438D" w:rsidP="00D05F45">
            <w:pPr>
              <w:pStyle w:val="Tablesubhead"/>
              <w:ind w:left="538" w:hanging="510"/>
            </w:pPr>
            <w:r>
              <w:rPr>
                <w:noProof/>
                <w:sz w:val="17"/>
                <w:szCs w:val="17"/>
                <w:lang w:eastAsia="en-AU"/>
              </w:rPr>
              <w:drawing>
                <wp:inline distT="0" distB="0" distL="0" distR="0">
                  <wp:extent cx="191135" cy="191135"/>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F759A3">
              <w:rPr>
                <w:sz w:val="17"/>
                <w:szCs w:val="17"/>
              </w:rPr>
              <w:tab/>
            </w:r>
            <w:r w:rsidR="006D16DA" w:rsidRPr="00F759A3">
              <w:t>Literacy</w:t>
            </w:r>
          </w:p>
          <w:p w:rsidR="006D16DA" w:rsidRPr="00D05F45" w:rsidRDefault="006D16DA" w:rsidP="00D05F45">
            <w:pPr>
              <w:pStyle w:val="GCCbullets"/>
              <w:ind w:left="510" w:hanging="357"/>
            </w:pPr>
            <w:r w:rsidRPr="00F759A3">
              <w:t>Develop and use appropriate historical language relevant to the unit</w:t>
            </w:r>
          </w:p>
          <w:p w:rsidR="006D16DA" w:rsidRPr="00D05F45" w:rsidRDefault="006D16DA" w:rsidP="00D05F45">
            <w:pPr>
              <w:pStyle w:val="GCCbullets"/>
              <w:ind w:left="510" w:hanging="357"/>
            </w:pPr>
            <w:r w:rsidRPr="00F759A3">
              <w:t>Define and use concepts relevant to the unit</w:t>
            </w:r>
          </w:p>
          <w:p w:rsidR="006D16DA" w:rsidRPr="00F759A3" w:rsidRDefault="00DD438D" w:rsidP="00D05F45">
            <w:pPr>
              <w:pStyle w:val="Tablesubhead"/>
              <w:ind w:left="538" w:hanging="510"/>
              <w:rPr>
                <w:sz w:val="21"/>
              </w:rPr>
            </w:pPr>
            <w:r>
              <w:rPr>
                <w:noProof/>
                <w:sz w:val="17"/>
                <w:szCs w:val="17"/>
                <w:lang w:eastAsia="en-AU"/>
              </w:rPr>
              <w:drawing>
                <wp:inline distT="0" distB="0" distL="0" distR="0">
                  <wp:extent cx="191135" cy="191135"/>
                  <wp:effectExtent l="0" t="0" r="0" b="0"/>
                  <wp:docPr id="8"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F759A3">
              <w:rPr>
                <w:sz w:val="17"/>
                <w:szCs w:val="17"/>
              </w:rPr>
              <w:tab/>
            </w:r>
            <w:r w:rsidR="006D16DA" w:rsidRPr="00F759A3">
              <w:t>Numeracy</w:t>
            </w:r>
          </w:p>
          <w:p w:rsidR="006D16DA" w:rsidRPr="00D05F45" w:rsidRDefault="006D16DA" w:rsidP="00D05F45">
            <w:pPr>
              <w:pStyle w:val="GCCbullets"/>
              <w:ind w:left="510" w:hanging="357"/>
            </w:pPr>
            <w:r w:rsidRPr="00F759A3">
              <w:t>Represent events in different times and places on timelines</w:t>
            </w:r>
          </w:p>
          <w:p w:rsidR="006D16DA" w:rsidRPr="00622801" w:rsidRDefault="006D16DA" w:rsidP="00D05F45">
            <w:pPr>
              <w:pStyle w:val="GCCbullets"/>
              <w:ind w:left="510" w:hanging="357"/>
            </w:pPr>
            <w:r w:rsidRPr="00622801">
              <w:t>Understand and interpret associated maps, tables and graphs that add meaning to written text</w:t>
            </w:r>
          </w:p>
          <w:p w:rsidR="006D16DA" w:rsidRPr="00622801" w:rsidRDefault="00DD438D" w:rsidP="00D05F45">
            <w:pPr>
              <w:pStyle w:val="Tablesubhead"/>
              <w:ind w:left="538" w:hanging="510"/>
              <w:rPr>
                <w:sz w:val="21"/>
              </w:rPr>
            </w:pPr>
            <w:r>
              <w:rPr>
                <w:noProof/>
                <w:sz w:val="17"/>
                <w:szCs w:val="17"/>
                <w:lang w:eastAsia="en-AU"/>
              </w:rPr>
              <w:drawing>
                <wp:inline distT="0" distB="0" distL="0" distR="0">
                  <wp:extent cx="191135" cy="191135"/>
                  <wp:effectExtent l="0" t="0" r="0" b="0"/>
                  <wp:docPr id="1"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622801">
              <w:rPr>
                <w:sz w:val="17"/>
                <w:szCs w:val="17"/>
              </w:rPr>
              <w:tab/>
            </w:r>
            <w:r w:rsidR="006D16DA" w:rsidRPr="00622801">
              <w:t>ICT</w:t>
            </w:r>
            <w:r w:rsidR="006D16DA" w:rsidRPr="00F759A3">
              <w:rPr>
                <w:b w:val="0"/>
              </w:rPr>
              <w:t xml:space="preserve"> </w:t>
            </w:r>
            <w:r w:rsidR="006D16DA" w:rsidRPr="00622801">
              <w:t>capability</w:t>
            </w:r>
          </w:p>
          <w:p w:rsidR="006D16DA" w:rsidRPr="004B2FEA" w:rsidRDefault="006D16DA" w:rsidP="00D05F45">
            <w:pPr>
              <w:pStyle w:val="GCCbullets"/>
              <w:ind w:left="510" w:hanging="357"/>
            </w:pPr>
            <w:r w:rsidRPr="00622801">
              <w:t xml:space="preserve">Use a range of digital technologies to assist with investigating concepts </w:t>
            </w:r>
          </w:p>
          <w:p w:rsidR="006D16DA" w:rsidRPr="00F759A3" w:rsidRDefault="00DD438D" w:rsidP="00D05F45">
            <w:pPr>
              <w:pStyle w:val="Tablesubhead"/>
              <w:ind w:left="538" w:hanging="510"/>
              <w:rPr>
                <w:sz w:val="21"/>
              </w:rPr>
            </w:pPr>
            <w:r>
              <w:rPr>
                <w:noProof/>
                <w:sz w:val="17"/>
                <w:szCs w:val="17"/>
                <w:lang w:eastAsia="en-AU"/>
              </w:rPr>
              <w:drawing>
                <wp:inline distT="0" distB="0" distL="0" distR="0">
                  <wp:extent cx="191135" cy="191135"/>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F759A3">
              <w:rPr>
                <w:sz w:val="17"/>
                <w:szCs w:val="17"/>
              </w:rPr>
              <w:tab/>
            </w:r>
            <w:r w:rsidR="006D16DA" w:rsidRPr="00F759A3">
              <w:t>Critical and creative thinking</w:t>
            </w:r>
          </w:p>
          <w:p w:rsidR="006D16DA" w:rsidRPr="00622801" w:rsidRDefault="006D16DA" w:rsidP="00D05F45">
            <w:pPr>
              <w:pStyle w:val="GCCbullets"/>
              <w:ind w:left="510" w:hanging="357"/>
            </w:pPr>
            <w:r w:rsidRPr="00622801">
              <w:t>Use thinking skills to complete group activities and open-ended tasks</w:t>
            </w:r>
          </w:p>
          <w:p w:rsidR="006D16DA" w:rsidRPr="00D05F45" w:rsidRDefault="006D16DA" w:rsidP="00D05F45">
            <w:pPr>
              <w:pStyle w:val="GCCbullets"/>
              <w:ind w:left="510" w:hanging="357"/>
            </w:pPr>
            <w:r w:rsidRPr="00F759A3">
              <w:t>Discuss the contestability of particular historical terms and concepts relevant to the unit</w:t>
            </w:r>
          </w:p>
          <w:p w:rsidR="006D16DA" w:rsidRPr="00622801" w:rsidRDefault="00DD438D" w:rsidP="00D05F45">
            <w:pPr>
              <w:pStyle w:val="Tablesubhead"/>
              <w:ind w:left="538" w:hanging="510"/>
              <w:rPr>
                <w:sz w:val="21"/>
              </w:rPr>
            </w:pPr>
            <w:r>
              <w:rPr>
                <w:noProof/>
                <w:sz w:val="17"/>
                <w:szCs w:val="17"/>
                <w:lang w:eastAsia="en-AU"/>
              </w:rPr>
              <w:drawing>
                <wp:inline distT="0" distB="0" distL="0" distR="0">
                  <wp:extent cx="191135" cy="191135"/>
                  <wp:effectExtent l="0" t="0" r="0" b="0"/>
                  <wp:docPr id="5"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622801">
              <w:rPr>
                <w:sz w:val="17"/>
                <w:szCs w:val="17"/>
              </w:rPr>
              <w:tab/>
            </w:r>
            <w:r w:rsidR="006D16DA" w:rsidRPr="00622801">
              <w:t>Personal and social capability</w:t>
            </w:r>
          </w:p>
          <w:p w:rsidR="006D16DA" w:rsidRPr="00D05F45" w:rsidRDefault="006D16DA" w:rsidP="00D05F45">
            <w:pPr>
              <w:pStyle w:val="GCCbullets"/>
              <w:ind w:left="510" w:hanging="357"/>
            </w:pPr>
            <w:r w:rsidRPr="00F759A3">
              <w:t>Investigate the role of human agency in historical events and developments</w:t>
            </w:r>
          </w:p>
          <w:p w:rsidR="006D16DA" w:rsidRPr="00F759A3" w:rsidRDefault="00DD438D" w:rsidP="00D05F45">
            <w:pPr>
              <w:pStyle w:val="Tablesubhead"/>
              <w:ind w:left="538" w:hanging="510"/>
              <w:rPr>
                <w:sz w:val="21"/>
              </w:rPr>
            </w:pPr>
            <w:r>
              <w:rPr>
                <w:noProof/>
                <w:sz w:val="17"/>
                <w:szCs w:val="17"/>
                <w:lang w:eastAsia="en-AU"/>
              </w:rPr>
              <w:drawing>
                <wp:inline distT="0" distB="0" distL="0" distR="0">
                  <wp:extent cx="191135" cy="191135"/>
                  <wp:effectExtent l="0" t="0" r="0" b="0"/>
                  <wp:docPr id="6"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D16DA" w:rsidRPr="00F759A3">
              <w:rPr>
                <w:sz w:val="17"/>
                <w:szCs w:val="17"/>
              </w:rPr>
              <w:tab/>
            </w:r>
            <w:r w:rsidR="006D16DA" w:rsidRPr="00F759A3">
              <w:t>Ethical behaviour</w:t>
            </w:r>
          </w:p>
          <w:p w:rsidR="006D16DA" w:rsidRPr="002B6488" w:rsidRDefault="006D16DA" w:rsidP="00D05F45">
            <w:pPr>
              <w:pStyle w:val="GCCbullets"/>
              <w:ind w:left="510" w:hanging="357"/>
            </w:pPr>
            <w:r w:rsidRPr="00F759A3">
              <w:t>Identify and consider perspectives in historical sources</w:t>
            </w:r>
          </w:p>
        </w:tc>
      </w:tr>
      <w:tr w:rsidR="00554B10" w:rsidRPr="00F759A3" w:rsidTr="005D592B">
        <w:trPr>
          <w:trHeight w:val="2993"/>
          <w:jc w:val="center"/>
        </w:trPr>
        <w:tc>
          <w:tcPr>
            <w:tcW w:w="1577" w:type="pct"/>
            <w:vMerge/>
            <w:shd w:val="clear" w:color="auto" w:fill="auto"/>
          </w:tcPr>
          <w:p w:rsidR="00554B10" w:rsidRPr="00D05F45" w:rsidRDefault="00554B10" w:rsidP="00635D79">
            <w:pPr>
              <w:pStyle w:val="Tablesubhead"/>
            </w:pPr>
          </w:p>
        </w:tc>
        <w:tc>
          <w:tcPr>
            <w:tcW w:w="1664" w:type="pct"/>
            <w:tcBorders>
              <w:top w:val="single" w:sz="4" w:space="0" w:color="00928F"/>
            </w:tcBorders>
            <w:shd w:val="clear" w:color="auto" w:fill="auto"/>
          </w:tcPr>
          <w:p w:rsidR="00554B10" w:rsidRPr="00F759A3" w:rsidRDefault="00554B10" w:rsidP="006D16DA">
            <w:pPr>
              <w:pStyle w:val="Tablesubhead"/>
              <w:keepNext/>
            </w:pPr>
            <w:r w:rsidRPr="00F759A3">
              <w:t>Explanation and communication</w:t>
            </w:r>
          </w:p>
          <w:p w:rsidR="00554B10" w:rsidRPr="00D05F45" w:rsidRDefault="00554B10" w:rsidP="006D16DA">
            <w:pPr>
              <w:pStyle w:val="Tabletext"/>
              <w:keepNext/>
              <w:numPr>
                <w:ilvl w:val="0"/>
                <w:numId w:val="42"/>
              </w:numPr>
              <w:ind w:left="311" w:hanging="284"/>
              <w:rPr>
                <w:rStyle w:val="Hyperlink"/>
                <w:color w:val="auto"/>
              </w:rPr>
            </w:pPr>
            <w:r w:rsidRPr="00D05F45">
              <w:rPr>
                <w:rFonts w:cs="Arial"/>
              </w:rPr>
              <w:t xml:space="preserve">Develop texts, particularly descriptions and discussions that use evidence from a range of sources that are referenced </w:t>
            </w:r>
            <w:hyperlink r:id="rId27" w:tooltip="View additional details of ACHHS174" w:history="1">
              <w:r w:rsidRPr="00D05F45">
                <w:rPr>
                  <w:rStyle w:val="Hyperlink"/>
                  <w:rFonts w:eastAsia="SimSun"/>
                </w:rPr>
                <w:t>(ACHHS174)</w:t>
              </w:r>
            </w:hyperlink>
          </w:p>
          <w:p w:rsidR="00554B10" w:rsidRPr="00D05F45" w:rsidRDefault="00554B10" w:rsidP="00D05F45">
            <w:pPr>
              <w:pStyle w:val="Tabletext"/>
              <w:keepNext/>
              <w:numPr>
                <w:ilvl w:val="0"/>
                <w:numId w:val="42"/>
              </w:numPr>
              <w:ind w:left="311" w:hanging="284"/>
              <w:rPr>
                <w:sz w:val="21"/>
              </w:rPr>
            </w:pPr>
            <w:r w:rsidRPr="00D05F45">
              <w:rPr>
                <w:rFonts w:cs="Arial"/>
              </w:rPr>
              <w:t xml:space="preserve">Select and use a range of communication forms (oral, graphic, written) and digital technologies </w:t>
            </w:r>
            <w:hyperlink r:id="rId28" w:tooltip="View additional details of ACHHS175" w:history="1">
              <w:r w:rsidRPr="00D05F45">
                <w:rPr>
                  <w:rStyle w:val="Hyperlink"/>
                  <w:rFonts w:eastAsia="SimSun"/>
                </w:rPr>
                <w:t>(ACHHS175)</w:t>
              </w:r>
            </w:hyperlink>
          </w:p>
        </w:tc>
        <w:tc>
          <w:tcPr>
            <w:tcW w:w="1759" w:type="pct"/>
            <w:tcBorders>
              <w:top w:val="single" w:sz="4" w:space="0" w:color="00928F"/>
            </w:tcBorders>
            <w:shd w:val="clear" w:color="auto" w:fill="auto"/>
          </w:tcPr>
          <w:p w:rsidR="00554B10" w:rsidRPr="00F759A3" w:rsidRDefault="00DD438D" w:rsidP="00D05F45">
            <w:pPr>
              <w:pStyle w:val="Tablesubhead"/>
              <w:ind w:left="538" w:hanging="510"/>
            </w:pPr>
            <w:r>
              <w:rPr>
                <w:noProof/>
                <w:sz w:val="17"/>
                <w:szCs w:val="17"/>
                <w:lang w:eastAsia="en-AU"/>
              </w:rPr>
              <w:drawing>
                <wp:inline distT="0" distB="0" distL="0" distR="0">
                  <wp:extent cx="191135" cy="191135"/>
                  <wp:effectExtent l="0" t="0" r="0" b="0"/>
                  <wp:docPr id="7" name="Picture 14"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intercultur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54B10" w:rsidRPr="00F759A3">
              <w:rPr>
                <w:sz w:val="17"/>
                <w:szCs w:val="17"/>
              </w:rPr>
              <w:tab/>
            </w:r>
            <w:r w:rsidR="00554B10" w:rsidRPr="00F759A3">
              <w:t>Intercultural understanding</w:t>
            </w:r>
          </w:p>
          <w:p w:rsidR="00554B10" w:rsidRPr="00D05F45" w:rsidRDefault="00554B10" w:rsidP="00D05F45">
            <w:pPr>
              <w:pStyle w:val="GCCbullets"/>
              <w:ind w:left="510" w:hanging="357"/>
            </w:pPr>
            <w:r w:rsidRPr="00F759A3">
              <w:t>Explore the experiences and treatment of groups of people before and during the war</w:t>
            </w:r>
          </w:p>
          <w:p w:rsidR="00554B10" w:rsidRPr="00D05F45" w:rsidRDefault="00554B10" w:rsidP="00D05F45">
            <w:pPr>
              <w:pStyle w:val="GCCbullets"/>
              <w:ind w:left="510" w:hanging="357"/>
            </w:pPr>
            <w:r w:rsidRPr="00F759A3">
              <w:t>Identify the nature of relations between Australia and other countries before, during and after the war</w:t>
            </w:r>
          </w:p>
          <w:p w:rsidR="00554B10" w:rsidRPr="00F759A3" w:rsidRDefault="00DD438D" w:rsidP="00D05F45">
            <w:pPr>
              <w:pStyle w:val="Tablesubhead"/>
              <w:ind w:left="538" w:hanging="510"/>
              <w:rPr>
                <w:sz w:val="21"/>
              </w:rPr>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XZz0A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7a6DBAAAA2wAAAA8AAABkcnMvZG93bnJldi54bWxET01rwkAQvRf8D8sIvTUbtYikrkEU0d5q&#10;atvrkJ1kg9nZkF1j+u+7hUJv83ifs85H24qBet84VjBLUhDEpdMN1wou74enFQgfkDW2jknBN3nI&#10;N5OHNWba3flMQxFqEUPYZ6jAhNBlUvrSkEWfuI44cpXrLYYI+1rqHu8x3LZynqZLabHh2GCwo52h&#10;8lrcrIKiIHOqzNvHl31+PVL1eS6Xe6PU43TcvoAINIZ/8Z/7pOP8Bfz+Eg+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7a6DBAAAA2wAAAA8AAAAAAAAAAAAAAAAAnwIA&#10;AGRycy9kb3ducmV2LnhtbFBLBQYAAAAABAAEAPcAAACNAwAAAAA=&#10;">
                        <v:imagedata r:id="rId33" o:title="flag_torres_strait_islander"/>
                      </v:shape>
                      <w10:anchorlock/>
                    </v:group>
                  </w:pict>
                </mc:Fallback>
              </mc:AlternateContent>
            </w:r>
            <w:r w:rsidR="00554B10" w:rsidRPr="00F759A3">
              <w:t xml:space="preserve"> Aboriginal and Torres Strait Islander histories and cultures</w:t>
            </w:r>
          </w:p>
          <w:p w:rsidR="00554B10" w:rsidRPr="002B6488" w:rsidRDefault="00554B10" w:rsidP="002B6488">
            <w:pPr>
              <w:pStyle w:val="GCCbullets"/>
              <w:ind w:left="510" w:hanging="357"/>
            </w:pPr>
            <w:r w:rsidRPr="00F759A3">
              <w:t>Explore the experiences of Aboriginal and Torres Strait Islander people during the war</w:t>
            </w:r>
          </w:p>
        </w:tc>
      </w:tr>
    </w:tbl>
    <w:p w:rsidR="00F759A3" w:rsidRDefault="00F759A3" w:rsidP="009C7A4E">
      <w:pPr>
        <w:pStyle w:val="smallspace"/>
      </w:pPr>
      <w:r>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078"/>
        <w:gridCol w:w="2079"/>
        <w:gridCol w:w="2079"/>
        <w:gridCol w:w="2079"/>
        <w:gridCol w:w="2079"/>
        <w:gridCol w:w="2079"/>
        <w:gridCol w:w="2085"/>
      </w:tblGrid>
      <w:tr w:rsidR="003C2CDD" w:rsidRPr="00F759A3" w:rsidTr="00C05D8C">
        <w:trPr>
          <w:jc w:val="center"/>
        </w:trPr>
        <w:tc>
          <w:tcPr>
            <w:tcW w:w="5000" w:type="pct"/>
            <w:gridSpan w:val="7"/>
            <w:shd w:val="clear" w:color="auto" w:fill="CFE7E6"/>
          </w:tcPr>
          <w:p w:rsidR="003C2CDD" w:rsidRPr="00D05F45" w:rsidRDefault="003C2CDD" w:rsidP="00C6459D">
            <w:pPr>
              <w:pStyle w:val="Tablesubhead"/>
            </w:pPr>
            <w:r w:rsidRPr="00F759A3">
              <w:t>Historical Understanding</w:t>
            </w:r>
          </w:p>
        </w:tc>
      </w:tr>
      <w:tr w:rsidR="003C2CDD" w:rsidRPr="00F759A3" w:rsidTr="00B72C73">
        <w:trPr>
          <w:trHeight w:val="199"/>
          <w:jc w:val="center"/>
        </w:trPr>
        <w:tc>
          <w:tcPr>
            <w:tcW w:w="5000" w:type="pct"/>
            <w:gridSpan w:val="7"/>
            <w:tcBorders>
              <w:bottom w:val="nil"/>
            </w:tcBorders>
            <w:shd w:val="clear" w:color="auto" w:fill="auto"/>
          </w:tcPr>
          <w:p w:rsidR="003C2CDD" w:rsidRPr="00F759A3" w:rsidRDefault="00635D79" w:rsidP="00635D79">
            <w:pPr>
              <w:pStyle w:val="Tabletext"/>
            </w:pPr>
            <w:r w:rsidRPr="00F759A3">
              <w:t>This depth study provides opportunities for students to develop historical understandings particularly focused on the key concepts of:</w:t>
            </w:r>
          </w:p>
        </w:tc>
      </w:tr>
      <w:tr w:rsidR="00B72C73" w:rsidRPr="00F759A3" w:rsidTr="00D05F45">
        <w:trPr>
          <w:trHeight w:val="255"/>
          <w:jc w:val="center"/>
        </w:trPr>
        <w:tc>
          <w:tcPr>
            <w:tcW w:w="714" w:type="pct"/>
            <w:tcBorders>
              <w:top w:val="nil"/>
              <w:bottom w:val="single" w:sz="4" w:space="0" w:color="00928F"/>
              <w:right w:val="nil"/>
            </w:tcBorders>
            <w:shd w:val="clear" w:color="auto" w:fill="auto"/>
          </w:tcPr>
          <w:p w:rsidR="00C05D8C" w:rsidRPr="00D05F45" w:rsidRDefault="00635D79" w:rsidP="00666793">
            <w:pPr>
              <w:pStyle w:val="Tablesubhead"/>
            </w:pPr>
            <w:r w:rsidRPr="00F759A3">
              <w:rPr>
                <w:rFonts w:ascii="MS Gothic" w:eastAsia="MS Gothic" w:hAnsi="MS Gothic"/>
              </w:rPr>
              <w:t>☒</w:t>
            </w:r>
            <w:r w:rsidR="00C05D8C" w:rsidRPr="00F759A3">
              <w:t xml:space="preserve">  Evidence</w:t>
            </w:r>
          </w:p>
          <w:p w:rsidR="005E559E" w:rsidRPr="00D05F45" w:rsidDel="00C05D8C" w:rsidRDefault="005E559E" w:rsidP="005E559E">
            <w:pPr>
              <w:pStyle w:val="Tabletext"/>
            </w:pPr>
            <w:r w:rsidRPr="00F759A3">
              <w:t>Information obtained from historical sources used to construct an explanation or narrative, to support a hypothesis, or prove or disprove a conclusion.</w:t>
            </w:r>
          </w:p>
        </w:tc>
        <w:tc>
          <w:tcPr>
            <w:tcW w:w="714" w:type="pct"/>
            <w:tcBorders>
              <w:top w:val="nil"/>
              <w:left w:val="nil"/>
              <w:bottom w:val="single" w:sz="4" w:space="0" w:color="00928F"/>
              <w:right w:val="nil"/>
            </w:tcBorders>
            <w:shd w:val="clear" w:color="auto" w:fill="auto"/>
          </w:tcPr>
          <w:p w:rsidR="00C05D8C" w:rsidRPr="00F759A3" w:rsidRDefault="00C05D8C" w:rsidP="00D05F45">
            <w:pPr>
              <w:pStyle w:val="Tablesubhead"/>
              <w:ind w:left="340" w:hanging="340"/>
              <w:rPr>
                <w:sz w:val="21"/>
              </w:rPr>
            </w:pPr>
            <w:r w:rsidRPr="00F759A3">
              <w:rPr>
                <w:rFonts w:ascii="MS Gothic" w:eastAsia="MS Gothic" w:hAnsi="MS Gothic"/>
              </w:rPr>
              <w:t>☐</w:t>
            </w:r>
            <w:r w:rsidRPr="00F759A3">
              <w:t xml:space="preserve">  Continuity and change</w:t>
            </w:r>
          </w:p>
          <w:p w:rsidR="005E559E" w:rsidRPr="00D05F45" w:rsidDel="00C05D8C" w:rsidRDefault="005E559E" w:rsidP="005E559E">
            <w:pPr>
              <w:pStyle w:val="Tabletext"/>
            </w:pPr>
            <w:r w:rsidRPr="00260103">
              <w:rPr>
                <w:color w:val="A6A6A6"/>
              </w:rPr>
              <w:t>Continuities are aspects of the past that have remained the same over certain periods of time. Changes are events or developments from the past that represent modifications, alterations and transformations.</w:t>
            </w:r>
          </w:p>
        </w:tc>
        <w:tc>
          <w:tcPr>
            <w:tcW w:w="714" w:type="pct"/>
            <w:tcBorders>
              <w:top w:val="nil"/>
              <w:left w:val="nil"/>
              <w:bottom w:val="single" w:sz="4" w:space="0" w:color="00928F"/>
              <w:right w:val="nil"/>
            </w:tcBorders>
            <w:shd w:val="clear" w:color="auto" w:fill="auto"/>
          </w:tcPr>
          <w:p w:rsidR="00C05D8C" w:rsidRPr="00F759A3" w:rsidRDefault="00635D79" w:rsidP="00D05F45">
            <w:pPr>
              <w:pStyle w:val="Tablesubhead"/>
              <w:ind w:left="340" w:hanging="340"/>
              <w:rPr>
                <w:sz w:val="21"/>
              </w:rPr>
            </w:pPr>
            <w:r w:rsidRPr="00F759A3">
              <w:rPr>
                <w:rFonts w:ascii="MS Gothic" w:eastAsia="MS Gothic" w:hAnsi="MS Gothic"/>
              </w:rPr>
              <w:t>☒</w:t>
            </w:r>
            <w:r w:rsidR="00C05D8C" w:rsidRPr="00F759A3">
              <w:t xml:space="preserve">  Cause and effect</w:t>
            </w:r>
          </w:p>
          <w:p w:rsidR="005E559E" w:rsidRPr="00D05F45" w:rsidDel="00C05D8C" w:rsidRDefault="005E559E" w:rsidP="005E559E">
            <w:pPr>
              <w:pStyle w:val="Tabletext"/>
            </w:pPr>
            <w:r w:rsidRPr="00F759A3">
              <w:t>The relationship between a factor or set of factors (cause/s) and consequence/s (effect/s). These form sequences of events and developments over time.</w:t>
            </w:r>
          </w:p>
        </w:tc>
        <w:tc>
          <w:tcPr>
            <w:tcW w:w="714" w:type="pct"/>
            <w:tcBorders>
              <w:top w:val="nil"/>
              <w:left w:val="nil"/>
              <w:bottom w:val="single" w:sz="4" w:space="0" w:color="00928F"/>
              <w:right w:val="nil"/>
            </w:tcBorders>
            <w:shd w:val="clear" w:color="auto" w:fill="auto"/>
          </w:tcPr>
          <w:p w:rsidR="00C05D8C" w:rsidRPr="00D05F45" w:rsidRDefault="00635D79" w:rsidP="00C05D8C">
            <w:pPr>
              <w:pStyle w:val="Tablesubhead"/>
            </w:pPr>
            <w:r w:rsidRPr="00F759A3">
              <w:rPr>
                <w:rFonts w:ascii="MS Gothic" w:eastAsia="MS Gothic" w:hAnsi="MS Gothic"/>
              </w:rPr>
              <w:t>☒</w:t>
            </w:r>
            <w:r w:rsidR="00B72C73" w:rsidRPr="00F759A3">
              <w:t xml:space="preserve">  </w:t>
            </w:r>
            <w:r w:rsidR="00C05D8C" w:rsidRPr="00F759A3">
              <w:t xml:space="preserve">Perspectives </w:t>
            </w:r>
          </w:p>
          <w:p w:rsidR="005E559E" w:rsidRPr="00D05F45" w:rsidDel="00C05D8C" w:rsidRDefault="005E559E" w:rsidP="005E559E">
            <w:pPr>
              <w:pStyle w:val="Tabletext"/>
            </w:pPr>
            <w:r w:rsidRPr="00F759A3">
              <w:t>A point of view or position from which events are seen and understood, and influenced by age, gender, culture, social position and beliefs and values.</w:t>
            </w:r>
          </w:p>
        </w:tc>
        <w:tc>
          <w:tcPr>
            <w:tcW w:w="714" w:type="pct"/>
            <w:tcBorders>
              <w:top w:val="nil"/>
              <w:left w:val="nil"/>
              <w:bottom w:val="single" w:sz="4" w:space="0" w:color="00928F"/>
              <w:right w:val="nil"/>
            </w:tcBorders>
            <w:shd w:val="clear" w:color="auto" w:fill="auto"/>
          </w:tcPr>
          <w:p w:rsidR="00C05D8C" w:rsidRPr="00D05F45" w:rsidRDefault="00116D6E" w:rsidP="00C05D8C">
            <w:pPr>
              <w:pStyle w:val="Tablesubhead"/>
            </w:pPr>
            <w:r w:rsidRPr="00F759A3">
              <w:rPr>
                <w:rFonts w:ascii="MS Gothic" w:eastAsia="MS Gothic" w:hAnsi="MS Gothic"/>
              </w:rPr>
              <w:t>☒</w:t>
            </w:r>
            <w:r w:rsidR="00B72C73" w:rsidRPr="00F759A3">
              <w:t xml:space="preserve">  </w:t>
            </w:r>
            <w:r w:rsidR="00C05D8C" w:rsidRPr="00F759A3">
              <w:t>Empathy</w:t>
            </w:r>
          </w:p>
          <w:p w:rsidR="005E559E" w:rsidRPr="00D05F45" w:rsidDel="00C05D8C" w:rsidRDefault="005E559E" w:rsidP="005E559E">
            <w:pPr>
              <w:pStyle w:val="Tabletext"/>
            </w:pPr>
            <w:r w:rsidRPr="00F759A3">
              <w:t>An understanding of the past from the point of view of the participant/s, including an appreciation of the circumstances faced, and the motivations, values and attitudes behind actions.</w:t>
            </w:r>
          </w:p>
        </w:tc>
        <w:tc>
          <w:tcPr>
            <w:tcW w:w="714" w:type="pct"/>
            <w:tcBorders>
              <w:top w:val="nil"/>
              <w:left w:val="nil"/>
              <w:bottom w:val="single" w:sz="4" w:space="0" w:color="00928F"/>
              <w:right w:val="nil"/>
            </w:tcBorders>
            <w:shd w:val="clear" w:color="auto" w:fill="auto"/>
          </w:tcPr>
          <w:p w:rsidR="00C05D8C" w:rsidRPr="00D05F45" w:rsidRDefault="00635D79" w:rsidP="00C05D8C">
            <w:pPr>
              <w:pStyle w:val="Tablesubhead"/>
            </w:pPr>
            <w:r w:rsidRPr="00F759A3">
              <w:rPr>
                <w:rFonts w:ascii="MS Gothic" w:eastAsia="MS Gothic" w:hAnsi="MS Gothic"/>
              </w:rPr>
              <w:t>☒</w:t>
            </w:r>
            <w:r w:rsidR="00B72C73" w:rsidRPr="00F759A3">
              <w:t xml:space="preserve">  </w:t>
            </w:r>
            <w:r w:rsidR="00C05D8C" w:rsidRPr="00F759A3">
              <w:t>Significance</w:t>
            </w:r>
          </w:p>
          <w:p w:rsidR="005E559E" w:rsidRPr="00D05F45" w:rsidDel="00C05D8C" w:rsidRDefault="005E559E" w:rsidP="005E559E">
            <w:pPr>
              <w:pStyle w:val="Tabletext"/>
            </w:pPr>
            <w:r w:rsidRPr="00F759A3">
              <w:t>The importance that is assigned to particular aspects of the past, such as events, developments, movements and historical sites, and includes an examination of the principles behind the selection of what should be investigated and remembered.</w:t>
            </w:r>
          </w:p>
        </w:tc>
        <w:tc>
          <w:tcPr>
            <w:tcW w:w="716" w:type="pct"/>
            <w:tcBorders>
              <w:top w:val="nil"/>
              <w:left w:val="nil"/>
              <w:bottom w:val="single" w:sz="4" w:space="0" w:color="00928F"/>
            </w:tcBorders>
            <w:shd w:val="clear" w:color="auto" w:fill="auto"/>
          </w:tcPr>
          <w:p w:rsidR="00C05D8C" w:rsidRPr="00D05F45" w:rsidRDefault="00635D79" w:rsidP="00C05D8C">
            <w:pPr>
              <w:pStyle w:val="Tablesubhead"/>
            </w:pPr>
            <w:r w:rsidRPr="00F759A3">
              <w:rPr>
                <w:rFonts w:ascii="MS Gothic" w:eastAsia="MS Gothic" w:hAnsi="MS Gothic"/>
              </w:rPr>
              <w:t>☒</w:t>
            </w:r>
            <w:r w:rsidR="00B72C73" w:rsidRPr="00F759A3">
              <w:t xml:space="preserve">  </w:t>
            </w:r>
            <w:r w:rsidR="00C05D8C" w:rsidRPr="00F759A3">
              <w:t>Contestability</w:t>
            </w:r>
          </w:p>
          <w:p w:rsidR="005E559E" w:rsidRPr="00D05F45" w:rsidDel="00C05D8C" w:rsidRDefault="005E559E" w:rsidP="005E559E">
            <w:pPr>
              <w:pStyle w:val="Tabletext"/>
            </w:pPr>
            <w:r w:rsidRPr="00F759A3">
              <w:t>Debate about particular interpretations of the past as a result of the nature of available evidence and/or different perspectives.</w:t>
            </w:r>
          </w:p>
        </w:tc>
      </w:tr>
      <w:tr w:rsidR="00C05D8C" w:rsidRPr="00F759A3" w:rsidTr="00B72C73">
        <w:trPr>
          <w:jc w:val="center"/>
        </w:trPr>
        <w:tc>
          <w:tcPr>
            <w:tcW w:w="5000" w:type="pct"/>
            <w:gridSpan w:val="7"/>
            <w:tcBorders>
              <w:top w:val="single" w:sz="4" w:space="0" w:color="00928F"/>
            </w:tcBorders>
            <w:shd w:val="clear" w:color="auto" w:fill="CFE7E6"/>
          </w:tcPr>
          <w:p w:rsidR="00C05D8C" w:rsidRPr="00D05F45" w:rsidRDefault="00C05D8C" w:rsidP="00C05D8C">
            <w:pPr>
              <w:pStyle w:val="Tablesubhead"/>
            </w:pPr>
            <w:r w:rsidRPr="00F759A3">
              <w:t>Achievement standard</w:t>
            </w:r>
          </w:p>
        </w:tc>
      </w:tr>
      <w:tr w:rsidR="00C6459D" w:rsidRPr="00F759A3" w:rsidTr="00C05D8C">
        <w:trPr>
          <w:jc w:val="center"/>
        </w:trPr>
        <w:tc>
          <w:tcPr>
            <w:tcW w:w="5000" w:type="pct"/>
            <w:gridSpan w:val="7"/>
            <w:shd w:val="clear" w:color="auto" w:fill="auto"/>
          </w:tcPr>
          <w:p w:rsidR="00443976" w:rsidRPr="00F759A3" w:rsidRDefault="00443976" w:rsidP="00443976">
            <w:pPr>
              <w:pStyle w:val="Tabletext"/>
            </w:pPr>
            <w:r w:rsidRPr="00F759A3">
              <w:t xml:space="preserve">By the end of Year 9, students refer to key events and the actions of individuals and groups to explain patterns of change and continuity over time. They analyse the causes and effects of events and developments and make judgments about their importance. They explain the motives and actions of people at the time. Students explain the </w:t>
            </w:r>
            <w:r w:rsidRPr="00F759A3">
              <w:rPr>
                <w:rFonts w:eastAsia="SimSun"/>
              </w:rPr>
              <w:t>significance</w:t>
            </w:r>
            <w:r w:rsidRPr="00F759A3">
              <w:t xml:space="preserve"> of these events and developments over the short and long term. They explain different interpretations of the past.</w:t>
            </w:r>
          </w:p>
          <w:p w:rsidR="002F3798" w:rsidRPr="00D05F45" w:rsidRDefault="002F3798" w:rsidP="00C74A06">
            <w:pPr>
              <w:pStyle w:val="Tabletext"/>
            </w:pPr>
          </w:p>
          <w:p w:rsidR="00C6459D" w:rsidRPr="00D05F45" w:rsidRDefault="00443976" w:rsidP="00C74A06">
            <w:pPr>
              <w:pStyle w:val="Tabletext"/>
            </w:pPr>
            <w:r w:rsidRPr="00F759A3">
              <w:t xml:space="preserve">Students sequence events and developments within a chronological framework, with reference to periods of time and their duration. When researching, students develop different kinds of questions to frame an </w:t>
            </w:r>
            <w:r w:rsidRPr="00F759A3">
              <w:rPr>
                <w:rFonts w:eastAsia="SimSun"/>
              </w:rPr>
              <w:t>historical inquiry</w:t>
            </w:r>
            <w:r w:rsidRPr="00F759A3">
              <w:t>. They interpret,</w:t>
            </w:r>
            <w:r w:rsidR="00C74A06" w:rsidRPr="00F759A3">
              <w:t xml:space="preserve"> </w:t>
            </w:r>
            <w:r w:rsidRPr="00F759A3">
              <w:t xml:space="preserve">process, analyse and organise information from a range of primary and </w:t>
            </w:r>
            <w:r w:rsidRPr="00F759A3">
              <w:rPr>
                <w:rFonts w:eastAsia="SimSun"/>
              </w:rPr>
              <w:t>secondary sources</w:t>
            </w:r>
            <w:r w:rsidRPr="00F759A3">
              <w:t xml:space="preserve"> and use it as </w:t>
            </w:r>
            <w:r w:rsidRPr="00F759A3">
              <w:rPr>
                <w:rFonts w:eastAsia="SimSun"/>
              </w:rPr>
              <w:t>evidence</w:t>
            </w:r>
            <w:r w:rsidRPr="00F759A3">
              <w:t xml:space="preserve"> to answer inquiry questions. Students examine sources to compare different points of view. When evaluating these sources, they analyse origin and purpose, and draw conclusions about their usefulness. They develop their own interpretations about the past. Students develop texts, particularly explanations and discussions, incorporating historical interpretations. In developing these texts, and organising and presenting their conclusions, they use historical </w:t>
            </w:r>
            <w:r w:rsidRPr="00F759A3">
              <w:rPr>
                <w:rFonts w:eastAsia="SimSun"/>
              </w:rPr>
              <w:t>terms</w:t>
            </w:r>
            <w:r w:rsidRPr="00F759A3">
              <w:t xml:space="preserve"> and </w:t>
            </w:r>
            <w:r w:rsidRPr="00F759A3">
              <w:rPr>
                <w:rFonts w:eastAsia="SimSun"/>
              </w:rPr>
              <w:t>concepts</w:t>
            </w:r>
            <w:r w:rsidRPr="00F759A3">
              <w:t xml:space="preserve">, </w:t>
            </w:r>
            <w:r w:rsidRPr="00F759A3">
              <w:rPr>
                <w:rFonts w:eastAsia="SimSun"/>
              </w:rPr>
              <w:t>evidence</w:t>
            </w:r>
            <w:r w:rsidRPr="00F759A3">
              <w:t xml:space="preserve"> identified in sources, and they reference these sources.</w:t>
            </w:r>
          </w:p>
        </w:tc>
      </w:tr>
    </w:tbl>
    <w:p w:rsidR="006D16DA" w:rsidRPr="00F759A3" w:rsidRDefault="006D16DA" w:rsidP="00364E09">
      <w:pPr>
        <w:pStyle w:val="smallspace"/>
      </w:pPr>
    </w:p>
    <w:p w:rsidR="00364E09" w:rsidRPr="00F759A3" w:rsidRDefault="00364E09" w:rsidP="00364E09">
      <w:pPr>
        <w:pStyle w:val="smallspace"/>
      </w:pPr>
      <w:r w:rsidRPr="00F759A3">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F759A3" w:rsidTr="00D05F45">
        <w:trPr>
          <w:tblHeader/>
          <w:jc w:val="center"/>
        </w:trPr>
        <w:tc>
          <w:tcPr>
            <w:tcW w:w="2519" w:type="pct"/>
            <w:tcBorders>
              <w:bottom w:val="single" w:sz="4" w:space="0" w:color="00928F"/>
            </w:tcBorders>
            <w:shd w:val="clear" w:color="auto" w:fill="CFE7E6"/>
          </w:tcPr>
          <w:p w:rsidR="001F6C01" w:rsidRPr="00D05F45" w:rsidRDefault="001F6C01" w:rsidP="00A343ED">
            <w:pPr>
              <w:pStyle w:val="Tablesubhead"/>
            </w:pPr>
            <w:r w:rsidRPr="00F759A3">
              <w:t>Relevant prior curriculum</w:t>
            </w:r>
          </w:p>
        </w:tc>
        <w:tc>
          <w:tcPr>
            <w:tcW w:w="2481" w:type="pct"/>
            <w:tcBorders>
              <w:bottom w:val="single" w:sz="4" w:space="0" w:color="00928F"/>
            </w:tcBorders>
            <w:shd w:val="clear" w:color="auto" w:fill="CFE7E6"/>
          </w:tcPr>
          <w:p w:rsidR="001F6C01" w:rsidRPr="00F759A3" w:rsidRDefault="001F6C01" w:rsidP="00A343ED">
            <w:pPr>
              <w:pStyle w:val="Tablesubhead"/>
            </w:pPr>
            <w:r w:rsidRPr="00F759A3">
              <w:t>Curriculum working towards</w:t>
            </w:r>
          </w:p>
        </w:tc>
      </w:tr>
      <w:tr w:rsidR="001F6C01" w:rsidRPr="00F759A3" w:rsidTr="00D05F45">
        <w:trPr>
          <w:trHeight w:val="8272"/>
          <w:jc w:val="center"/>
        </w:trPr>
        <w:tc>
          <w:tcPr>
            <w:tcW w:w="2519" w:type="pct"/>
            <w:tcBorders>
              <w:bottom w:val="single" w:sz="4" w:space="0" w:color="00928F"/>
            </w:tcBorders>
            <w:shd w:val="clear" w:color="auto" w:fill="auto"/>
          </w:tcPr>
          <w:p w:rsidR="00967C53" w:rsidRPr="00F759A3" w:rsidRDefault="00967C53" w:rsidP="00967C53">
            <w:pPr>
              <w:pStyle w:val="Tablesubhead"/>
            </w:pPr>
            <w:r w:rsidRPr="00F759A3">
              <w:t xml:space="preserve">The Queensland </w:t>
            </w:r>
            <w:r w:rsidR="002F3798" w:rsidRPr="00F759A3">
              <w:t xml:space="preserve">SOSE </w:t>
            </w:r>
            <w:r w:rsidRPr="00F759A3">
              <w:t>Essential Learnings by the end of Year 7</w:t>
            </w:r>
          </w:p>
          <w:p w:rsidR="00967C53" w:rsidRPr="00D05F45" w:rsidRDefault="00967C53" w:rsidP="00967C53">
            <w:pPr>
              <w:pStyle w:val="Tablesubhead"/>
            </w:pPr>
            <w:r w:rsidRPr="00F759A3">
              <w:t>Knowledge and understanding</w:t>
            </w:r>
          </w:p>
          <w:p w:rsidR="00967C53" w:rsidRPr="00D05F45" w:rsidRDefault="00967C53" w:rsidP="00967C53">
            <w:pPr>
              <w:pStyle w:val="Tablesubhead"/>
            </w:pPr>
            <w:r w:rsidRPr="00F759A3">
              <w:t>Time, continuity and change</w:t>
            </w:r>
          </w:p>
          <w:p w:rsidR="00967C53" w:rsidRPr="00D05F45" w:rsidRDefault="00967C53" w:rsidP="00967C53">
            <w:pPr>
              <w:pStyle w:val="Tabletext"/>
              <w:numPr>
                <w:ilvl w:val="0"/>
                <w:numId w:val="42"/>
              </w:numPr>
              <w:ind w:left="311" w:hanging="284"/>
              <w:rPr>
                <w:rFonts w:cs="Arial"/>
              </w:rPr>
            </w:pPr>
            <w:r w:rsidRPr="00D05F45">
              <w:rPr>
                <w:rFonts w:cs="Arial"/>
              </w:rPr>
              <w:t>E</w:t>
            </w:r>
            <w:r w:rsidR="00587570" w:rsidRPr="00D05F45">
              <w:rPr>
                <w:rFonts w:cs="Arial"/>
              </w:rPr>
              <w:t>vents from pre-colonisation to F</w:t>
            </w:r>
            <w:r w:rsidRPr="00D05F45">
              <w:rPr>
                <w:rFonts w:cs="Arial"/>
              </w:rPr>
              <w:t>eder</w:t>
            </w:r>
            <w:r w:rsidR="00587570" w:rsidRPr="00D05F45">
              <w:rPr>
                <w:rFonts w:cs="Arial"/>
              </w:rPr>
              <w:t>ation, including I</w:t>
            </w:r>
            <w:r w:rsidRPr="00D05F45">
              <w:rPr>
                <w:rFonts w:cs="Arial"/>
              </w:rPr>
              <w:t>ndigenous heritages, European colonisation, frontier conflicts, the development of the economy, and the Federation movement, have established the Australian nation and contributed to Australian identities</w:t>
            </w:r>
          </w:p>
          <w:p w:rsidR="00967C53" w:rsidRPr="00D05F45" w:rsidRDefault="00967C53" w:rsidP="00967C53">
            <w:pPr>
              <w:pStyle w:val="Tabletext"/>
              <w:numPr>
                <w:ilvl w:val="0"/>
                <w:numId w:val="42"/>
              </w:numPr>
              <w:ind w:left="311" w:hanging="284"/>
              <w:rPr>
                <w:rFonts w:cs="Arial"/>
              </w:rPr>
            </w:pPr>
            <w:r w:rsidRPr="00D05F45">
              <w:rPr>
                <w:rFonts w:cs="Arial"/>
              </w:rPr>
              <w:t>National traditions, celebration</w:t>
            </w:r>
            <w:r w:rsidR="003E26E0" w:rsidRPr="00D05F45">
              <w:rPr>
                <w:rFonts w:cs="Arial"/>
              </w:rPr>
              <w:t>s and commemorations have evolved to reflect public sentiment and the perspectives, values and interpretations of different groups.</w:t>
            </w:r>
          </w:p>
          <w:p w:rsidR="00967C53" w:rsidRPr="00D05F45" w:rsidRDefault="00967C53" w:rsidP="005A3499">
            <w:pPr>
              <w:pStyle w:val="Tablesubhead"/>
            </w:pPr>
          </w:p>
          <w:p w:rsidR="005A3499" w:rsidRPr="00D05F45" w:rsidRDefault="005A3499" w:rsidP="005A3499">
            <w:pPr>
              <w:pStyle w:val="Tablesubhead"/>
            </w:pPr>
            <w:r w:rsidRPr="00F759A3">
              <w:t xml:space="preserve">The Queensland </w:t>
            </w:r>
            <w:r w:rsidR="00444AAF" w:rsidRPr="00F759A3">
              <w:t xml:space="preserve">SOSE </w:t>
            </w:r>
            <w:r w:rsidRPr="00F759A3">
              <w:t>Essential Learnings by the end of Year 9</w:t>
            </w:r>
          </w:p>
          <w:p w:rsidR="005A3499" w:rsidRPr="00D05F45" w:rsidRDefault="005A3499" w:rsidP="005A3499">
            <w:pPr>
              <w:pStyle w:val="Tablesubhead"/>
            </w:pPr>
            <w:r w:rsidRPr="00F759A3">
              <w:t>Knowledge and understanding</w:t>
            </w:r>
          </w:p>
          <w:p w:rsidR="005A3499" w:rsidRPr="00D05F45" w:rsidRDefault="005A3499" w:rsidP="005A3499">
            <w:pPr>
              <w:pStyle w:val="Tablesubhead"/>
            </w:pPr>
            <w:r w:rsidRPr="00F759A3">
              <w:t>Time, continuity and change</w:t>
            </w:r>
          </w:p>
          <w:p w:rsidR="005A3499" w:rsidRPr="00D05F45" w:rsidRDefault="005A3499" w:rsidP="005A3499">
            <w:pPr>
              <w:pStyle w:val="Tabletext"/>
              <w:numPr>
                <w:ilvl w:val="0"/>
                <w:numId w:val="42"/>
              </w:numPr>
              <w:ind w:left="311" w:hanging="284"/>
              <w:rPr>
                <w:rFonts w:cs="Arial"/>
              </w:rPr>
            </w:pPr>
            <w:r w:rsidRPr="00D05F45">
              <w:rPr>
                <w:rFonts w:cs="Arial"/>
              </w:rPr>
              <w:t>Important ideas of democracy, government and law, citizenship rights and public decision making, and the concepts of power, dissent and civic duty, developed from ancient to modern times and from Eastern and Western cultures</w:t>
            </w:r>
          </w:p>
          <w:p w:rsidR="005A3499" w:rsidRPr="00D05F45" w:rsidRDefault="005A3499" w:rsidP="005A3499">
            <w:pPr>
              <w:pStyle w:val="Tabletext"/>
              <w:numPr>
                <w:ilvl w:val="0"/>
                <w:numId w:val="42"/>
              </w:numPr>
              <w:ind w:left="311" w:hanging="284"/>
              <w:rPr>
                <w:rFonts w:cs="Arial"/>
              </w:rPr>
            </w:pPr>
            <w:r w:rsidRPr="00D05F45">
              <w:rPr>
                <w:rFonts w:cs="Arial"/>
              </w:rPr>
              <w:t>Evidence of events in Australian, Asian, Pacific and global settings can be interpreted from different perspectives and values positions</w:t>
            </w:r>
            <w:r w:rsidR="00444AAF" w:rsidRPr="00D05F45">
              <w:rPr>
                <w:rFonts w:cs="Arial"/>
              </w:rPr>
              <w:t>.</w:t>
            </w:r>
          </w:p>
          <w:p w:rsidR="005A3499" w:rsidRPr="00D05F45" w:rsidRDefault="005A3499" w:rsidP="005A3499">
            <w:pPr>
              <w:pStyle w:val="Tablesubhead"/>
            </w:pPr>
          </w:p>
          <w:p w:rsidR="001F6C01" w:rsidRPr="00D05F45" w:rsidRDefault="005A3499" w:rsidP="005A3499">
            <w:pPr>
              <w:pStyle w:val="Tablesubhead"/>
            </w:pPr>
            <w:r w:rsidRPr="00F759A3">
              <w:t>Ways of working</w:t>
            </w:r>
          </w:p>
          <w:p w:rsidR="005A3499" w:rsidRPr="00D05F45" w:rsidRDefault="005A3499" w:rsidP="005A3499">
            <w:pPr>
              <w:pStyle w:val="Tabletext"/>
              <w:numPr>
                <w:ilvl w:val="0"/>
                <w:numId w:val="42"/>
              </w:numPr>
              <w:ind w:left="311" w:hanging="284"/>
              <w:rPr>
                <w:rFonts w:cs="Arial"/>
              </w:rPr>
            </w:pPr>
            <w:r w:rsidRPr="00D05F45">
              <w:rPr>
                <w:rFonts w:cs="Arial"/>
              </w:rPr>
              <w:t>identify a research focus from broad topics and design focus questions and sub-questions</w:t>
            </w:r>
          </w:p>
          <w:p w:rsidR="005A3499" w:rsidRPr="00D05F45" w:rsidRDefault="005A3499" w:rsidP="005A3499">
            <w:pPr>
              <w:pStyle w:val="Tabletext"/>
              <w:numPr>
                <w:ilvl w:val="0"/>
                <w:numId w:val="42"/>
              </w:numPr>
              <w:ind w:left="311" w:hanging="284"/>
              <w:rPr>
                <w:rFonts w:cs="Arial"/>
              </w:rPr>
            </w:pPr>
            <w:r w:rsidRPr="00D05F45">
              <w:rPr>
                <w:rFonts w:cs="Arial"/>
              </w:rPr>
              <w:t>plan investigations, using discipline-specific inquiry models and processes</w:t>
            </w:r>
          </w:p>
          <w:p w:rsidR="005A3499" w:rsidRPr="00D05F45" w:rsidRDefault="005A3499" w:rsidP="005A3499">
            <w:pPr>
              <w:pStyle w:val="Tabletext"/>
              <w:numPr>
                <w:ilvl w:val="0"/>
                <w:numId w:val="42"/>
              </w:numPr>
              <w:ind w:left="311" w:hanging="284"/>
              <w:rPr>
                <w:rFonts w:cs="Arial"/>
              </w:rPr>
            </w:pPr>
            <w:r w:rsidRPr="00D05F45">
              <w:rPr>
                <w:rFonts w:cs="Arial"/>
              </w:rPr>
              <w:t>research and analyse data, information and evidence from primary and secondary sources</w:t>
            </w:r>
          </w:p>
          <w:p w:rsidR="005A3499" w:rsidRPr="00D05F45" w:rsidRDefault="005A3499" w:rsidP="005A3499">
            <w:pPr>
              <w:pStyle w:val="Tabletext"/>
              <w:numPr>
                <w:ilvl w:val="0"/>
                <w:numId w:val="42"/>
              </w:numPr>
              <w:ind w:left="311" w:hanging="284"/>
              <w:rPr>
                <w:rFonts w:cs="Arial"/>
              </w:rPr>
            </w:pPr>
            <w:r w:rsidRPr="00D05F45">
              <w:rPr>
                <w:rFonts w:cs="Arial"/>
              </w:rPr>
              <w:t>evaluate sources of data, information and evidence for relevance, reliability, authenticity, purpose, bias and perspective</w:t>
            </w:r>
          </w:p>
          <w:p w:rsidR="005A3499" w:rsidRPr="00D05F45" w:rsidRDefault="005A3499" w:rsidP="005A3499">
            <w:pPr>
              <w:pStyle w:val="Tabletext"/>
              <w:numPr>
                <w:ilvl w:val="0"/>
                <w:numId w:val="42"/>
              </w:numPr>
              <w:ind w:left="311" w:hanging="284"/>
              <w:rPr>
                <w:rFonts w:cs="Arial"/>
              </w:rPr>
            </w:pPr>
            <w:r w:rsidRPr="00D05F45">
              <w:rPr>
                <w:rFonts w:cs="Arial"/>
              </w:rPr>
              <w:t>draw conclusions and make decisions supported by interpretations of data, information and evidence</w:t>
            </w:r>
          </w:p>
          <w:p w:rsidR="005A3499" w:rsidRPr="00D05F45" w:rsidRDefault="005A3499" w:rsidP="005A3499">
            <w:pPr>
              <w:pStyle w:val="Tablesubhead"/>
            </w:pPr>
          </w:p>
        </w:tc>
        <w:tc>
          <w:tcPr>
            <w:tcW w:w="2481" w:type="pct"/>
            <w:tcBorders>
              <w:bottom w:val="single" w:sz="4" w:space="0" w:color="00928F"/>
            </w:tcBorders>
            <w:shd w:val="clear" w:color="auto" w:fill="auto"/>
          </w:tcPr>
          <w:p w:rsidR="001F6C01" w:rsidRPr="00F759A3" w:rsidRDefault="005A3499" w:rsidP="005A3499">
            <w:pPr>
              <w:pStyle w:val="Tablesubhead"/>
            </w:pPr>
            <w:r w:rsidRPr="00F759A3">
              <w:t>Year 10 Australian Curriculum</w:t>
            </w:r>
            <w:r w:rsidR="002034C8" w:rsidRPr="00F759A3">
              <w:t>: History</w:t>
            </w:r>
          </w:p>
          <w:p w:rsidR="005A3499" w:rsidRPr="00D05F45" w:rsidRDefault="005A3499" w:rsidP="005A3499">
            <w:pPr>
              <w:pStyle w:val="Tabletext"/>
              <w:numPr>
                <w:ilvl w:val="0"/>
                <w:numId w:val="42"/>
              </w:numPr>
              <w:ind w:left="311" w:hanging="284"/>
            </w:pPr>
            <w:r w:rsidRPr="00F759A3">
              <w:t>The Year 10 curriculum provides a study of the history of the modern world and Australia from 1918 to the present, with an emphasis on Australia in its global context. The twentieth century became a critical period in Australia’s social, cultural, economic and political development. The transformation of the modern world during a time of political turmoil, global conflict and international cooperation provides a necessary context for understanding Australia’s development, its place within the Asia-Pacific region, and its global standing.</w:t>
            </w:r>
          </w:p>
          <w:p w:rsidR="005A3499" w:rsidRPr="00D05F45" w:rsidRDefault="005A3499" w:rsidP="005A3499">
            <w:pPr>
              <w:pStyle w:val="Tabletext"/>
              <w:ind w:left="27"/>
            </w:pPr>
          </w:p>
          <w:p w:rsidR="00AB75A7" w:rsidRPr="00D05F45" w:rsidRDefault="00AB75A7" w:rsidP="00AB75A7">
            <w:pPr>
              <w:pStyle w:val="Tablesubhead"/>
            </w:pPr>
            <w:r w:rsidRPr="00F759A3">
              <w:t>Historical Skills</w:t>
            </w:r>
          </w:p>
          <w:p w:rsidR="00AB75A7" w:rsidRPr="00D05F45" w:rsidRDefault="00AB75A7" w:rsidP="00AB75A7">
            <w:pPr>
              <w:pStyle w:val="Tablesubhead"/>
            </w:pPr>
            <w:r w:rsidRPr="00F759A3">
              <w:t>Chronology, terms and concepts</w:t>
            </w:r>
          </w:p>
          <w:p w:rsidR="00AB75A7" w:rsidRPr="00D05F45" w:rsidRDefault="00AB75A7" w:rsidP="00AB75A7">
            <w:pPr>
              <w:pStyle w:val="Tabletext"/>
              <w:numPr>
                <w:ilvl w:val="0"/>
                <w:numId w:val="42"/>
              </w:numPr>
              <w:ind w:left="311" w:hanging="284"/>
              <w:rPr>
                <w:rStyle w:val="Hyperlink"/>
                <w:color w:val="auto"/>
              </w:rPr>
            </w:pPr>
            <w:r w:rsidRPr="00D05F45">
              <w:rPr>
                <w:rFonts w:cs="Arial"/>
              </w:rPr>
              <w:t>Use chronological sequencing to demonstrate the</w:t>
            </w:r>
            <w:r w:rsidR="007F2AF1" w:rsidRPr="00D05F45">
              <w:rPr>
                <w:rFonts w:cs="Arial"/>
              </w:rPr>
              <w:t xml:space="preserve"> </w:t>
            </w:r>
            <w:r w:rsidRPr="00D05F45">
              <w:rPr>
                <w:rFonts w:cs="Arial"/>
              </w:rPr>
              <w:t xml:space="preserve">relationship between events and developments in different periods and places </w:t>
            </w:r>
            <w:hyperlink r:id="rId34" w:tooltip="View additional details of ACHHS182" w:history="1">
              <w:r w:rsidRPr="00D05F45">
                <w:rPr>
                  <w:rStyle w:val="Hyperlink"/>
                  <w:rFonts w:eastAsia="SimSun" w:cs="Arial"/>
                </w:rPr>
                <w:t>(ACHHS182)</w:t>
              </w:r>
            </w:hyperlink>
          </w:p>
          <w:p w:rsidR="00AB75A7" w:rsidRPr="00F759A3" w:rsidRDefault="00AB75A7" w:rsidP="00AB75A7">
            <w:pPr>
              <w:pStyle w:val="Tabletext"/>
              <w:numPr>
                <w:ilvl w:val="0"/>
                <w:numId w:val="42"/>
              </w:numPr>
              <w:ind w:left="311" w:hanging="284"/>
              <w:rPr>
                <w:rStyle w:val="Hyperlink"/>
                <w:color w:val="auto"/>
              </w:rPr>
            </w:pPr>
            <w:r w:rsidRPr="00D05F45">
              <w:rPr>
                <w:rFonts w:cs="Arial"/>
              </w:rPr>
              <w:t xml:space="preserve">Use historical terms and concepts </w:t>
            </w:r>
            <w:hyperlink r:id="rId35" w:tooltip="View additional details of ACHHS183" w:history="1">
              <w:r w:rsidRPr="00D05F45">
                <w:rPr>
                  <w:rStyle w:val="Hyperlink"/>
                  <w:rFonts w:eastAsia="SimSun" w:cs="Arial"/>
                </w:rPr>
                <w:t>(ACHHS183)</w:t>
              </w:r>
            </w:hyperlink>
          </w:p>
          <w:p w:rsidR="00AB75A7" w:rsidRPr="00D05F45" w:rsidRDefault="00AB75A7" w:rsidP="00AB75A7">
            <w:pPr>
              <w:pStyle w:val="Tablesubhead"/>
            </w:pPr>
            <w:r w:rsidRPr="00F759A3">
              <w:t>Historical questions and research</w:t>
            </w:r>
          </w:p>
          <w:p w:rsidR="00AB75A7" w:rsidRPr="00D05F45" w:rsidRDefault="00AB75A7" w:rsidP="00AB75A7">
            <w:pPr>
              <w:pStyle w:val="Tabletext"/>
              <w:numPr>
                <w:ilvl w:val="0"/>
                <w:numId w:val="42"/>
              </w:numPr>
              <w:ind w:left="311" w:hanging="284"/>
              <w:rPr>
                <w:rStyle w:val="Hyperlink"/>
                <w:color w:val="auto"/>
              </w:rPr>
            </w:pPr>
            <w:r w:rsidRPr="00D05F45">
              <w:rPr>
                <w:rFonts w:cs="Arial"/>
              </w:rPr>
              <w:t xml:space="preserve">Identify and select different kinds of questions about the past to inform historical inquiry </w:t>
            </w:r>
            <w:hyperlink r:id="rId36" w:tooltip="View additional details of ACHHS184" w:history="1">
              <w:r w:rsidRPr="00D05F45">
                <w:rPr>
                  <w:rStyle w:val="Hyperlink"/>
                  <w:rFonts w:cs="Arial"/>
                </w:rPr>
                <w:t>(ACHHS184)</w:t>
              </w:r>
            </w:hyperlink>
          </w:p>
          <w:p w:rsidR="00AB75A7" w:rsidRPr="00F759A3" w:rsidRDefault="00AB75A7" w:rsidP="00AB75A7">
            <w:pPr>
              <w:pStyle w:val="Tabletext"/>
              <w:numPr>
                <w:ilvl w:val="0"/>
                <w:numId w:val="42"/>
              </w:numPr>
              <w:ind w:left="311" w:hanging="284"/>
              <w:rPr>
                <w:rStyle w:val="Hyperlink"/>
                <w:color w:val="auto"/>
              </w:rPr>
            </w:pPr>
            <w:r w:rsidRPr="00D05F45">
              <w:rPr>
                <w:rFonts w:cs="Arial"/>
              </w:rPr>
              <w:t xml:space="preserve">Evaluate and enhance these questions </w:t>
            </w:r>
            <w:hyperlink r:id="rId37" w:tooltip="View additional details of ACHHS185" w:history="1">
              <w:r w:rsidRPr="00D05F45">
                <w:rPr>
                  <w:rStyle w:val="Hyperlink"/>
                  <w:rFonts w:cs="Arial"/>
                </w:rPr>
                <w:t>(ACHHS185)</w:t>
              </w:r>
            </w:hyperlink>
          </w:p>
          <w:p w:rsidR="00AB75A7" w:rsidRPr="00F759A3" w:rsidRDefault="00AB75A7" w:rsidP="00AB75A7">
            <w:pPr>
              <w:pStyle w:val="Tabletext"/>
              <w:numPr>
                <w:ilvl w:val="0"/>
                <w:numId w:val="42"/>
              </w:numPr>
              <w:ind w:left="311" w:hanging="284"/>
              <w:rPr>
                <w:rStyle w:val="Hyperlink"/>
                <w:color w:val="auto"/>
              </w:rPr>
            </w:pPr>
            <w:r w:rsidRPr="00D05F45">
              <w:rPr>
                <w:rFonts w:cs="Arial"/>
              </w:rPr>
              <w:t xml:space="preserve">Identify and locate relevant sources, using ICT and other methods </w:t>
            </w:r>
            <w:hyperlink r:id="rId38" w:tooltip="View additional details of ACHHS186" w:history="1">
              <w:r w:rsidRPr="00D05F45">
                <w:rPr>
                  <w:rStyle w:val="Hyperlink"/>
                  <w:rFonts w:cs="Arial"/>
                </w:rPr>
                <w:t>(ACHHS186)</w:t>
              </w:r>
            </w:hyperlink>
          </w:p>
          <w:p w:rsidR="00AB75A7" w:rsidRPr="00D05F45" w:rsidRDefault="00AB75A7" w:rsidP="00AB75A7">
            <w:pPr>
              <w:pStyle w:val="Tablesubhead"/>
            </w:pPr>
            <w:r w:rsidRPr="00F759A3">
              <w:t>Analysis and use of sources</w:t>
            </w:r>
          </w:p>
          <w:p w:rsidR="00AB75A7" w:rsidRPr="00D05F45" w:rsidRDefault="00AB75A7" w:rsidP="00AB75A7">
            <w:pPr>
              <w:pStyle w:val="Tabletext"/>
              <w:numPr>
                <w:ilvl w:val="0"/>
                <w:numId w:val="42"/>
              </w:numPr>
              <w:ind w:left="311" w:hanging="284"/>
              <w:rPr>
                <w:rStyle w:val="Hyperlink"/>
                <w:color w:val="auto"/>
              </w:rPr>
            </w:pPr>
            <w:r w:rsidRPr="00D05F45">
              <w:rPr>
                <w:rFonts w:cs="Arial"/>
              </w:rPr>
              <w:t xml:space="preserve">Identify the origin, purpose and context of primary and secondary sources </w:t>
            </w:r>
            <w:hyperlink r:id="rId39" w:tooltip="View additional details of ACHHS187" w:history="1">
              <w:r w:rsidRPr="00D05F45">
                <w:rPr>
                  <w:rStyle w:val="Hyperlink"/>
                  <w:rFonts w:cs="Arial"/>
                </w:rPr>
                <w:t>(ACHHS187)</w:t>
              </w:r>
            </w:hyperlink>
          </w:p>
          <w:p w:rsidR="00AB75A7" w:rsidRPr="00F759A3" w:rsidRDefault="00AB75A7" w:rsidP="00AB75A7">
            <w:pPr>
              <w:pStyle w:val="Tabletext"/>
              <w:numPr>
                <w:ilvl w:val="0"/>
                <w:numId w:val="42"/>
              </w:numPr>
              <w:ind w:left="311" w:hanging="284"/>
              <w:rPr>
                <w:rStyle w:val="Hyperlink"/>
                <w:color w:val="auto"/>
              </w:rPr>
            </w:pPr>
            <w:r w:rsidRPr="00D05F45">
              <w:rPr>
                <w:rFonts w:cs="Arial"/>
              </w:rPr>
              <w:t xml:space="preserve">Process and synthesise information from a range of sources for use as evidence in an historical argument </w:t>
            </w:r>
            <w:hyperlink r:id="rId40" w:tooltip="View additional details of ACHHS188" w:history="1">
              <w:r w:rsidRPr="00D05F45">
                <w:rPr>
                  <w:rStyle w:val="Hyperlink"/>
                  <w:rFonts w:cs="Arial"/>
                </w:rPr>
                <w:t>(ACHHS188)</w:t>
              </w:r>
            </w:hyperlink>
          </w:p>
          <w:p w:rsidR="00AB75A7" w:rsidRPr="00F759A3" w:rsidRDefault="00AB75A7" w:rsidP="00AB75A7">
            <w:pPr>
              <w:pStyle w:val="Tabletext"/>
              <w:numPr>
                <w:ilvl w:val="0"/>
                <w:numId w:val="42"/>
              </w:numPr>
              <w:ind w:left="311" w:hanging="284"/>
              <w:rPr>
                <w:rStyle w:val="Hyperlink"/>
                <w:color w:val="auto"/>
              </w:rPr>
            </w:pPr>
            <w:r w:rsidRPr="00D05F45">
              <w:rPr>
                <w:rFonts w:cs="Arial"/>
              </w:rPr>
              <w:t xml:space="preserve">Evaluate the reliability and usefulness of primary and secondary sources </w:t>
            </w:r>
            <w:hyperlink r:id="rId41" w:tooltip="View additional details of ACHHS189" w:history="1">
              <w:r w:rsidRPr="00D05F45">
                <w:rPr>
                  <w:rStyle w:val="Hyperlink"/>
                  <w:rFonts w:cs="Arial"/>
                </w:rPr>
                <w:t>(ACHHS189)</w:t>
              </w:r>
            </w:hyperlink>
          </w:p>
          <w:p w:rsidR="00AB75A7" w:rsidRPr="00D05F45" w:rsidRDefault="00AB75A7" w:rsidP="00AB75A7">
            <w:pPr>
              <w:pStyle w:val="Tablesubhead"/>
            </w:pPr>
            <w:r w:rsidRPr="00F759A3">
              <w:t>Perspectives and interpretations</w:t>
            </w:r>
          </w:p>
          <w:p w:rsidR="00AB75A7" w:rsidRPr="00D05F45" w:rsidRDefault="00AB75A7" w:rsidP="00AB75A7">
            <w:pPr>
              <w:pStyle w:val="Tabletext"/>
              <w:numPr>
                <w:ilvl w:val="0"/>
                <w:numId w:val="42"/>
              </w:numPr>
              <w:ind w:left="311" w:hanging="284"/>
              <w:rPr>
                <w:rStyle w:val="Hyperlink"/>
                <w:color w:val="auto"/>
              </w:rPr>
            </w:pPr>
            <w:r w:rsidRPr="00D05F45">
              <w:rPr>
                <w:rFonts w:cs="Arial"/>
              </w:rPr>
              <w:t xml:space="preserve">Identify and analyse the perspectives of people from the past </w:t>
            </w:r>
            <w:hyperlink r:id="rId42" w:tooltip="View additional details of ACHHS190" w:history="1">
              <w:r w:rsidRPr="00D05F45">
                <w:rPr>
                  <w:rStyle w:val="Hyperlink"/>
                  <w:rFonts w:cs="Arial"/>
                </w:rPr>
                <w:t>(ACHHS190)</w:t>
              </w:r>
            </w:hyperlink>
          </w:p>
          <w:p w:rsidR="005A3499" w:rsidRPr="00D05F45" w:rsidRDefault="00AB75A7" w:rsidP="00AB75A7">
            <w:pPr>
              <w:pStyle w:val="Tabletext"/>
              <w:numPr>
                <w:ilvl w:val="0"/>
                <w:numId w:val="42"/>
              </w:numPr>
              <w:ind w:left="311" w:hanging="284"/>
            </w:pPr>
            <w:r w:rsidRPr="00D05F45">
              <w:rPr>
                <w:rFonts w:cs="Arial"/>
              </w:rPr>
              <w:t xml:space="preserve">Identify and analyse different historical interpretations (including their own) </w:t>
            </w:r>
            <w:hyperlink r:id="rId43" w:tooltip="View additional details of ACHHS191" w:history="1">
              <w:r w:rsidRPr="00D05F45">
                <w:rPr>
                  <w:rStyle w:val="Hyperlink"/>
                  <w:rFonts w:cs="Arial"/>
                </w:rPr>
                <w:t>(ACHHS191)</w:t>
              </w:r>
            </w:hyperlink>
          </w:p>
        </w:tc>
      </w:tr>
      <w:tr w:rsidR="004B2FEA" w:rsidRPr="00F759A3" w:rsidTr="00D05F45">
        <w:trPr>
          <w:trHeight w:val="301"/>
          <w:jc w:val="center"/>
        </w:trPr>
        <w:tc>
          <w:tcPr>
            <w:tcW w:w="2519" w:type="pct"/>
            <w:tcBorders>
              <w:top w:val="single" w:sz="4" w:space="0" w:color="00928F"/>
            </w:tcBorders>
            <w:shd w:val="clear" w:color="auto" w:fill="auto"/>
          </w:tcPr>
          <w:p w:rsidR="004B2FEA" w:rsidRPr="00D05F45" w:rsidRDefault="004B2FEA" w:rsidP="005A3499">
            <w:pPr>
              <w:pStyle w:val="Tabletext"/>
              <w:numPr>
                <w:ilvl w:val="0"/>
                <w:numId w:val="42"/>
              </w:numPr>
              <w:ind w:left="311" w:hanging="284"/>
              <w:rPr>
                <w:rFonts w:cs="Arial"/>
              </w:rPr>
            </w:pPr>
            <w:r w:rsidRPr="00D05F45">
              <w:rPr>
                <w:rFonts w:cs="Arial"/>
              </w:rPr>
              <w:t>communicate descriptions, decisions and conclusions, using text types specific to the context and purpose and the conventions of research-based texts</w:t>
            </w:r>
          </w:p>
          <w:p w:rsidR="004B2FEA" w:rsidRPr="00D05F45" w:rsidRDefault="004B2FEA" w:rsidP="005A3499">
            <w:pPr>
              <w:pStyle w:val="Tabletext"/>
              <w:numPr>
                <w:ilvl w:val="0"/>
                <w:numId w:val="42"/>
              </w:numPr>
              <w:ind w:left="311" w:hanging="284"/>
              <w:rPr>
                <w:rFonts w:cs="Arial"/>
              </w:rPr>
            </w:pPr>
            <w:r w:rsidRPr="00D05F45">
              <w:rPr>
                <w:rFonts w:cs="Arial"/>
              </w:rPr>
              <w:t>respond to local and global issues by taking action in planned and enterprising ways</w:t>
            </w:r>
          </w:p>
          <w:p w:rsidR="004B2FEA" w:rsidRPr="00D05F45" w:rsidRDefault="004B2FEA" w:rsidP="005A3499">
            <w:pPr>
              <w:pStyle w:val="Tabletext"/>
              <w:numPr>
                <w:ilvl w:val="0"/>
                <w:numId w:val="42"/>
              </w:numPr>
              <w:ind w:left="311" w:hanging="284"/>
              <w:rPr>
                <w:rFonts w:cs="Arial"/>
              </w:rPr>
            </w:pPr>
            <w:r w:rsidRPr="00D05F45">
              <w:rPr>
                <w:rFonts w:cs="Arial"/>
              </w:rPr>
              <w:t>apply strategies for making group decisions and for taking informed social and environmental action</w:t>
            </w:r>
          </w:p>
          <w:p w:rsidR="004B2FEA" w:rsidRPr="00D05F45" w:rsidRDefault="004B2FEA" w:rsidP="005A3499">
            <w:pPr>
              <w:pStyle w:val="Tabletext"/>
              <w:numPr>
                <w:ilvl w:val="0"/>
                <w:numId w:val="42"/>
              </w:numPr>
              <w:ind w:left="311" w:hanging="284"/>
              <w:rPr>
                <w:rFonts w:cs="Arial"/>
              </w:rPr>
            </w:pPr>
            <w:r w:rsidRPr="00D05F45">
              <w:rPr>
                <w:rFonts w:cs="Arial"/>
              </w:rPr>
              <w:t>reflect on different perspectives, and recognise and evaluate the influence of values and beliefs in relation to social justice, the democratic process, sustainability and peace</w:t>
            </w:r>
          </w:p>
          <w:p w:rsidR="004B2FEA" w:rsidRPr="00D05F45" w:rsidRDefault="004B2FEA" w:rsidP="005A3499">
            <w:pPr>
              <w:pStyle w:val="Tabletext"/>
              <w:numPr>
                <w:ilvl w:val="0"/>
                <w:numId w:val="42"/>
              </w:numPr>
              <w:ind w:left="311" w:hanging="284"/>
              <w:rPr>
                <w:rFonts w:cs="Arial"/>
              </w:rPr>
            </w:pPr>
            <w:r w:rsidRPr="00D05F45">
              <w:rPr>
                <w:rFonts w:cs="Arial"/>
              </w:rPr>
              <w:t>reflect on learning, apply new understandings and justify future applications</w:t>
            </w:r>
          </w:p>
          <w:p w:rsidR="004B2FEA" w:rsidRPr="00F759A3" w:rsidRDefault="004B2FEA" w:rsidP="005A3499">
            <w:pPr>
              <w:pStyle w:val="Tablesubhead"/>
            </w:pPr>
          </w:p>
        </w:tc>
        <w:tc>
          <w:tcPr>
            <w:tcW w:w="2481" w:type="pct"/>
            <w:tcBorders>
              <w:top w:val="single" w:sz="4" w:space="0" w:color="00928F"/>
            </w:tcBorders>
            <w:shd w:val="clear" w:color="auto" w:fill="auto"/>
          </w:tcPr>
          <w:p w:rsidR="004B2FEA" w:rsidRPr="00D05F45" w:rsidRDefault="004B2FEA" w:rsidP="00AB75A7">
            <w:pPr>
              <w:pStyle w:val="Tablesubhead"/>
            </w:pPr>
            <w:r w:rsidRPr="00F759A3">
              <w:t>Explanation and communication</w:t>
            </w:r>
          </w:p>
          <w:p w:rsidR="004B2FEA" w:rsidRPr="00D05F45" w:rsidRDefault="004B2FEA" w:rsidP="00AB75A7">
            <w:pPr>
              <w:pStyle w:val="Tabletext"/>
              <w:numPr>
                <w:ilvl w:val="0"/>
                <w:numId w:val="42"/>
              </w:numPr>
              <w:ind w:left="311" w:hanging="284"/>
              <w:rPr>
                <w:rStyle w:val="Hyperlink"/>
                <w:color w:val="auto"/>
              </w:rPr>
            </w:pPr>
            <w:r w:rsidRPr="00D05F45">
              <w:rPr>
                <w:rFonts w:cs="Arial"/>
              </w:rPr>
              <w:t xml:space="preserve">Develop texts, particularly descriptions and discussions that use evidence from a range of sources that are referenced </w:t>
            </w:r>
            <w:hyperlink r:id="rId44" w:tooltip="View additional details of ACHHS192" w:history="1">
              <w:r w:rsidRPr="00D05F45">
                <w:rPr>
                  <w:rStyle w:val="Hyperlink"/>
                  <w:rFonts w:cs="Arial"/>
                </w:rPr>
                <w:t>(ACHHS192)</w:t>
              </w:r>
            </w:hyperlink>
          </w:p>
          <w:p w:rsidR="004B2FEA" w:rsidRPr="00F759A3" w:rsidRDefault="004B2FEA" w:rsidP="00AB75A7">
            <w:pPr>
              <w:pStyle w:val="Tabletext"/>
              <w:numPr>
                <w:ilvl w:val="0"/>
                <w:numId w:val="42"/>
              </w:numPr>
              <w:ind w:left="311" w:hanging="284"/>
            </w:pPr>
            <w:r w:rsidRPr="00D05F45">
              <w:rPr>
                <w:rFonts w:cs="Arial"/>
              </w:rPr>
              <w:t xml:space="preserve">Select and use a range of communication forms (oral, graphic, written) and digital technologies </w:t>
            </w:r>
            <w:hyperlink r:id="rId45" w:tooltip="View additional details of ACHHS193" w:history="1">
              <w:r w:rsidRPr="00D05F45">
                <w:rPr>
                  <w:rStyle w:val="Hyperlink"/>
                  <w:rFonts w:cs="Arial"/>
                </w:rPr>
                <w:t>(ACHHS193)</w:t>
              </w:r>
            </w:hyperlink>
          </w:p>
        </w:tc>
      </w:tr>
      <w:tr w:rsidR="001F6C01" w:rsidRPr="00F759A3" w:rsidTr="00D05F45">
        <w:trPr>
          <w:jc w:val="center"/>
        </w:trPr>
        <w:tc>
          <w:tcPr>
            <w:tcW w:w="5000" w:type="pct"/>
            <w:gridSpan w:val="2"/>
            <w:shd w:val="clear" w:color="auto" w:fill="CFE7E6"/>
          </w:tcPr>
          <w:p w:rsidR="001F6C01" w:rsidRPr="00F759A3" w:rsidRDefault="001F6C01" w:rsidP="00A343ED">
            <w:pPr>
              <w:pStyle w:val="Tablesubhead"/>
            </w:pPr>
            <w:r w:rsidRPr="00F759A3">
              <w:t>Bridging content</w:t>
            </w:r>
          </w:p>
        </w:tc>
      </w:tr>
      <w:tr w:rsidR="001F6C01" w:rsidRPr="00F759A3" w:rsidTr="00D05F45">
        <w:trPr>
          <w:jc w:val="center"/>
        </w:trPr>
        <w:tc>
          <w:tcPr>
            <w:tcW w:w="5000" w:type="pct"/>
            <w:gridSpan w:val="2"/>
            <w:shd w:val="clear" w:color="auto" w:fill="auto"/>
          </w:tcPr>
          <w:p w:rsidR="00471E3A" w:rsidRPr="00622801" w:rsidRDefault="00AC482D" w:rsidP="00D05F45">
            <w:pPr>
              <w:pStyle w:val="Tabletext"/>
            </w:pPr>
            <w:r w:rsidRPr="00F759A3">
              <w:t>The SOSE Essential Learnings covered by the end of Year 7</w:t>
            </w:r>
            <w:r w:rsidR="00F946C4" w:rsidRPr="00F759A3">
              <w:t>,</w:t>
            </w:r>
            <w:r w:rsidRPr="00F759A3">
              <w:t xml:space="preserve"> and </w:t>
            </w:r>
            <w:r w:rsidR="0066391B" w:rsidRPr="00F759A3">
              <w:t xml:space="preserve">to some extent </w:t>
            </w:r>
            <w:r w:rsidR="00587570" w:rsidRPr="00F759A3">
              <w:t xml:space="preserve">those </w:t>
            </w:r>
            <w:r w:rsidR="00471E3A" w:rsidRPr="00F759A3">
              <w:t xml:space="preserve">which students will have </w:t>
            </w:r>
            <w:r w:rsidRPr="00F759A3">
              <w:t xml:space="preserve">encountered during </w:t>
            </w:r>
            <w:r w:rsidR="00471E3A" w:rsidRPr="00F759A3">
              <w:t xml:space="preserve">their </w:t>
            </w:r>
            <w:r w:rsidR="00587570" w:rsidRPr="00F759A3">
              <w:t>Year 8 SOSE studies</w:t>
            </w:r>
            <w:r w:rsidR="0066391B" w:rsidRPr="00F759A3">
              <w:t>,</w:t>
            </w:r>
            <w:r w:rsidRPr="00F759A3">
              <w:t xml:space="preserve"> address Australia’s historical, political</w:t>
            </w:r>
            <w:r w:rsidR="00967C53" w:rsidRPr="00F759A3">
              <w:t>,</w:t>
            </w:r>
            <w:r w:rsidRPr="00F759A3">
              <w:t xml:space="preserve"> </w:t>
            </w:r>
            <w:r w:rsidR="00967C53" w:rsidRPr="00F759A3">
              <w:t>economic</w:t>
            </w:r>
            <w:r w:rsidR="00F54247" w:rsidRPr="00F759A3">
              <w:t>, social</w:t>
            </w:r>
            <w:r w:rsidR="00967C53" w:rsidRPr="00F759A3">
              <w:t xml:space="preserve"> and</w:t>
            </w:r>
            <w:r w:rsidRPr="00F759A3">
              <w:t xml:space="preserve"> cultural links as part of the British Commonwealth</w:t>
            </w:r>
            <w:r w:rsidR="00471E3A" w:rsidRPr="00F759A3">
              <w:t>.</w:t>
            </w:r>
            <w:r w:rsidR="007F2AF1" w:rsidRPr="00F759A3">
              <w:t xml:space="preserve"> </w:t>
            </w:r>
            <w:r w:rsidR="00471E3A" w:rsidRPr="00F759A3">
              <w:t>Colonial experiences, Federation and the establishment of the Australian nation are concepts that have been previously encountered.</w:t>
            </w:r>
            <w:r w:rsidR="007F2AF1" w:rsidRPr="00F759A3">
              <w:t xml:space="preserve"> </w:t>
            </w:r>
            <w:r w:rsidR="00471E3A" w:rsidRPr="00F759A3">
              <w:t>Revision of this material through</w:t>
            </w:r>
            <w:r w:rsidRPr="00F759A3">
              <w:t xml:space="preserve"> bridging learning experiences related to these concepts may assist in </w:t>
            </w:r>
            <w:r w:rsidR="00471E3A" w:rsidRPr="00F759A3">
              <w:t>consolidating</w:t>
            </w:r>
            <w:r w:rsidRPr="00F759A3">
              <w:t xml:space="preserve"> student understanding</w:t>
            </w:r>
            <w:r w:rsidR="00471E3A" w:rsidRPr="00F759A3">
              <w:t xml:space="preserve"> and preparedness for the depth study on World </w:t>
            </w:r>
            <w:r w:rsidR="00967C53" w:rsidRPr="00F759A3">
              <w:t>W</w:t>
            </w:r>
            <w:r w:rsidR="00471E3A" w:rsidRPr="00F759A3">
              <w:t>ar 1</w:t>
            </w:r>
            <w:r w:rsidRPr="00F759A3">
              <w:t>.</w:t>
            </w:r>
          </w:p>
        </w:tc>
      </w:tr>
      <w:tr w:rsidR="001F6C01" w:rsidRPr="00F759A3" w:rsidTr="00D05F45">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F759A3" w:rsidRDefault="001F6C01" w:rsidP="00A343ED">
            <w:pPr>
              <w:pStyle w:val="Tablesubhead"/>
            </w:pPr>
            <w:r w:rsidRPr="00F759A3">
              <w:t>Links to other learning areas</w:t>
            </w:r>
          </w:p>
        </w:tc>
      </w:tr>
      <w:tr w:rsidR="001F6C01" w:rsidRPr="00F759A3" w:rsidTr="00D05F45">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587570" w:rsidRPr="00622801" w:rsidRDefault="00587570" w:rsidP="00D05F45">
            <w:pPr>
              <w:pStyle w:val="Tabletext"/>
            </w:pPr>
            <w:r w:rsidRPr="00F759A3">
              <w:t xml:space="preserve">There is the possibility of linking the concepts and content in this unit to the broader Year 9 </w:t>
            </w:r>
            <w:r w:rsidR="00737DC6" w:rsidRPr="00F759A3">
              <w:t xml:space="preserve">Queensland and Australian Curriculum </w:t>
            </w:r>
            <w:r w:rsidRPr="00F759A3">
              <w:t xml:space="preserve">content that may be taught </w:t>
            </w:r>
            <w:r w:rsidR="005C7538" w:rsidRPr="00F759A3">
              <w:t xml:space="preserve">in other curriculum areas </w:t>
            </w:r>
            <w:r w:rsidRPr="00F759A3">
              <w:t>when implementing the Australian Curriculum: History.</w:t>
            </w:r>
          </w:p>
        </w:tc>
      </w:tr>
    </w:tbl>
    <w:p w:rsidR="00C6459D" w:rsidRPr="00F759A3" w:rsidRDefault="00C6459D" w:rsidP="00365706">
      <w:pPr>
        <w:pStyle w:val="smallspace"/>
      </w:pPr>
    </w:p>
    <w:p w:rsidR="00C6459D" w:rsidRPr="00F759A3" w:rsidRDefault="00C6459D" w:rsidP="00365706">
      <w:pPr>
        <w:pStyle w:val="smallspace"/>
      </w:pPr>
    </w:p>
    <w:p w:rsidR="00C6459D" w:rsidRPr="00F759A3" w:rsidRDefault="00C6459D" w:rsidP="00365706">
      <w:pPr>
        <w:pStyle w:val="smallspace"/>
      </w:pPr>
    </w:p>
    <w:p w:rsidR="00C6459D" w:rsidRPr="00F759A3" w:rsidRDefault="00C6459D" w:rsidP="00365706">
      <w:pPr>
        <w:pStyle w:val="smallspace"/>
      </w:pPr>
    </w:p>
    <w:p w:rsidR="00C6459D" w:rsidRPr="00F759A3" w:rsidRDefault="00C6459D" w:rsidP="00365706">
      <w:pPr>
        <w:pStyle w:val="smallspace"/>
      </w:pPr>
    </w:p>
    <w:p w:rsidR="00365706" w:rsidRPr="00F759A3" w:rsidRDefault="00364E09" w:rsidP="00365706">
      <w:pPr>
        <w:pStyle w:val="smallspace"/>
      </w:pPr>
      <w:r w:rsidRPr="00F759A3">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F759A3" w:rsidTr="002B6488">
        <w:trPr>
          <w:tblHeader/>
          <w:jc w:val="center"/>
        </w:trPr>
        <w:tc>
          <w:tcPr>
            <w:tcW w:w="2992" w:type="pct"/>
            <w:tcBorders>
              <w:bottom w:val="single" w:sz="4" w:space="0" w:color="00928F"/>
            </w:tcBorders>
            <w:shd w:val="clear" w:color="auto" w:fill="8CC8C9"/>
          </w:tcPr>
          <w:p w:rsidR="00365706" w:rsidRPr="00F759A3" w:rsidRDefault="008D28C8" w:rsidP="00EC2B44">
            <w:pPr>
              <w:pStyle w:val="Tablehead"/>
              <w:rPr>
                <w:szCs w:val="21"/>
              </w:rPr>
            </w:pPr>
            <w:r w:rsidRPr="00F759A3">
              <w:rPr>
                <w:szCs w:val="21"/>
              </w:rPr>
              <w:t>A</w:t>
            </w:r>
            <w:r w:rsidR="00365706" w:rsidRPr="00F759A3">
              <w:rPr>
                <w:szCs w:val="21"/>
              </w:rPr>
              <w:t>ssessment</w:t>
            </w:r>
          </w:p>
        </w:tc>
        <w:tc>
          <w:tcPr>
            <w:tcW w:w="2008" w:type="pct"/>
            <w:shd w:val="clear" w:color="auto" w:fill="8CC8C9"/>
          </w:tcPr>
          <w:p w:rsidR="00365706" w:rsidRPr="00F759A3" w:rsidRDefault="00C466B4" w:rsidP="00EC2B44">
            <w:pPr>
              <w:pStyle w:val="Tablehead"/>
              <w:rPr>
                <w:szCs w:val="21"/>
              </w:rPr>
            </w:pPr>
            <w:r w:rsidRPr="00F759A3">
              <w:rPr>
                <w:szCs w:val="21"/>
              </w:rPr>
              <w:t>Make judgments</w:t>
            </w:r>
          </w:p>
        </w:tc>
      </w:tr>
      <w:tr w:rsidR="002B6488" w:rsidRPr="00F759A3" w:rsidTr="002B6488">
        <w:trPr>
          <w:jc w:val="center"/>
        </w:trPr>
        <w:tc>
          <w:tcPr>
            <w:tcW w:w="2992" w:type="pct"/>
            <w:shd w:val="clear" w:color="auto" w:fill="CFE7E6"/>
          </w:tcPr>
          <w:p w:rsidR="002B6488" w:rsidRPr="00F759A3" w:rsidRDefault="002B6488" w:rsidP="00365706">
            <w:pPr>
              <w:pStyle w:val="Tablesubhead"/>
            </w:pPr>
            <w:r w:rsidRPr="00F759A3">
              <w:t>Describe the assessment</w:t>
            </w:r>
          </w:p>
        </w:tc>
        <w:tc>
          <w:tcPr>
            <w:tcW w:w="2008" w:type="pct"/>
            <w:vMerge w:val="restart"/>
            <w:shd w:val="clear" w:color="auto" w:fill="auto"/>
          </w:tcPr>
          <w:p w:rsidR="002B6488" w:rsidRPr="00F759A3" w:rsidRDefault="002B6488" w:rsidP="00FB2FAF">
            <w:pPr>
              <w:pStyle w:val="Tabletext"/>
            </w:pPr>
            <w:r w:rsidRPr="00F759A3">
              <w:t>Teachers gather evidence to make judgments about the following characteristics of student work:</w:t>
            </w:r>
          </w:p>
          <w:p w:rsidR="002B6488" w:rsidRPr="00D05F45" w:rsidRDefault="002B6488" w:rsidP="00FB2FAF">
            <w:pPr>
              <w:pStyle w:val="Tabletext"/>
            </w:pPr>
          </w:p>
          <w:p w:rsidR="002B6488" w:rsidRPr="00D05F45" w:rsidRDefault="002B6488" w:rsidP="00FB2FAF">
            <w:pPr>
              <w:pStyle w:val="Tablesubhead"/>
            </w:pPr>
            <w:r w:rsidRPr="00F759A3">
              <w:t>Understanding</w:t>
            </w:r>
          </w:p>
          <w:p w:rsidR="002B6488" w:rsidRPr="00D05F45" w:rsidRDefault="002B6488" w:rsidP="00D05F45">
            <w:pPr>
              <w:pStyle w:val="Tabletext"/>
              <w:numPr>
                <w:ilvl w:val="0"/>
                <w:numId w:val="42"/>
              </w:numPr>
              <w:ind w:left="311" w:hanging="284"/>
            </w:pPr>
            <w:r w:rsidRPr="00F759A3">
              <w:t xml:space="preserve">explanations of different interpretations of the </w:t>
            </w:r>
            <w:r w:rsidRPr="00622801">
              <w:rPr>
                <w:rFonts w:cs="Arial"/>
              </w:rPr>
              <w:t>past</w:t>
            </w:r>
            <w:r w:rsidRPr="00F759A3">
              <w:t xml:space="preserve"> and the evidence used to support these interpretations </w:t>
            </w:r>
          </w:p>
          <w:p w:rsidR="002B6488" w:rsidRPr="00D05F45" w:rsidRDefault="002B6488" w:rsidP="00D05F45">
            <w:pPr>
              <w:pStyle w:val="Tabletext"/>
              <w:numPr>
                <w:ilvl w:val="0"/>
                <w:numId w:val="42"/>
              </w:numPr>
              <w:ind w:left="311" w:hanging="284"/>
            </w:pPr>
            <w:r w:rsidRPr="00F759A3">
              <w:t xml:space="preserve">descriptions of the causes and effects of </w:t>
            </w:r>
            <w:r w:rsidRPr="00622801">
              <w:rPr>
                <w:rFonts w:cs="Arial"/>
              </w:rPr>
              <w:t>historical</w:t>
            </w:r>
            <w:r w:rsidRPr="00F759A3">
              <w:t xml:space="preserve"> events and developments with reference to the importance and the motives and actions of people in the past</w:t>
            </w:r>
          </w:p>
          <w:p w:rsidR="002B6488" w:rsidRPr="00D05F45" w:rsidRDefault="002B6488" w:rsidP="00FB2FAF">
            <w:pPr>
              <w:pStyle w:val="Tablesubhead"/>
            </w:pPr>
            <w:r w:rsidRPr="00F759A3">
              <w:t>Skills</w:t>
            </w:r>
          </w:p>
          <w:p w:rsidR="002B6488" w:rsidRPr="00D05F45" w:rsidRDefault="002B6488" w:rsidP="00D05F45">
            <w:pPr>
              <w:pStyle w:val="Tabletext"/>
              <w:numPr>
                <w:ilvl w:val="0"/>
                <w:numId w:val="42"/>
              </w:numPr>
              <w:ind w:left="311" w:hanging="284"/>
            </w:pPr>
            <w:r w:rsidRPr="00F759A3">
              <w:t xml:space="preserve">analysis and synthesis of information from a range of primary and secondary </w:t>
            </w:r>
            <w:r w:rsidRPr="00622801">
              <w:rPr>
                <w:rFonts w:cs="Arial"/>
              </w:rPr>
              <w:t>sources</w:t>
            </w:r>
            <w:r w:rsidRPr="00F759A3">
              <w:t>, including the identification of motivations, values and attitudes</w:t>
            </w:r>
          </w:p>
          <w:p w:rsidR="002B6488" w:rsidRPr="00D05F45" w:rsidRDefault="002B6488" w:rsidP="00D05F45">
            <w:pPr>
              <w:pStyle w:val="Tabletext"/>
              <w:numPr>
                <w:ilvl w:val="0"/>
                <w:numId w:val="42"/>
              </w:numPr>
              <w:ind w:left="311" w:hanging="284"/>
            </w:pPr>
            <w:r w:rsidRPr="00F759A3">
              <w:t xml:space="preserve">communication in texts that incorporate historical argument and use and </w:t>
            </w:r>
            <w:r w:rsidRPr="00622801">
              <w:rPr>
                <w:rFonts w:cs="Arial"/>
              </w:rPr>
              <w:t>acknowledge</w:t>
            </w:r>
            <w:r w:rsidRPr="00F759A3">
              <w:t xml:space="preserve"> sources of evidence, use historical terms and concepts and develop and justify interpretations of the past</w:t>
            </w:r>
          </w:p>
          <w:p w:rsidR="002B6488" w:rsidRPr="00D05F45" w:rsidRDefault="002B6488" w:rsidP="00D84A6F">
            <w:pPr>
              <w:pStyle w:val="Tabletext"/>
            </w:pPr>
          </w:p>
          <w:p w:rsidR="002B6488" w:rsidRPr="00D05F45" w:rsidRDefault="002B6488" w:rsidP="00D84A6F">
            <w:pPr>
              <w:pStyle w:val="Tabletext"/>
            </w:pPr>
            <w:r w:rsidRPr="00F759A3">
              <w:t xml:space="preserve">For further advice and guidelines on constructing guides to making judgments refer to the Learning area standard descriptors: </w:t>
            </w:r>
            <w:hyperlink r:id="rId46" w:history="1">
              <w:r w:rsidRPr="00F759A3">
                <w:rPr>
                  <w:rStyle w:val="Hyperlink"/>
                </w:rPr>
                <w:t>www.qsa.qld.edu.au</w:t>
              </w:r>
            </w:hyperlink>
          </w:p>
        </w:tc>
      </w:tr>
      <w:tr w:rsidR="002B6488" w:rsidRPr="00F759A3" w:rsidTr="002B6488">
        <w:trPr>
          <w:jc w:val="center"/>
        </w:trPr>
        <w:tc>
          <w:tcPr>
            <w:tcW w:w="2992" w:type="pct"/>
            <w:shd w:val="clear" w:color="auto" w:fill="auto"/>
          </w:tcPr>
          <w:p w:rsidR="002B6488" w:rsidRPr="00F759A3" w:rsidRDefault="002B6488" w:rsidP="00171E44">
            <w:pPr>
              <w:pStyle w:val="Tabletext"/>
            </w:pPr>
            <w:r w:rsidRPr="00F759A3">
              <w:t>Students are given opportunities to demonstrate their knowledge, skills and understanding across a range of assessments. The assessment is collated in student folios and allows for ongoing feedback to students on their learning.</w:t>
            </w:r>
          </w:p>
          <w:p w:rsidR="002B6488" w:rsidRPr="00D05F45" w:rsidRDefault="002B6488" w:rsidP="00171E44">
            <w:pPr>
              <w:pStyle w:val="Tabletext"/>
            </w:pPr>
            <w:r w:rsidRPr="00F759A3">
              <w:t>Year 9 teachers make decisions about the length of time required to complete the tasks and the conditions under which the assessment is to be conducted.</w:t>
            </w:r>
          </w:p>
          <w:p w:rsidR="002B6488" w:rsidRPr="00D05F45" w:rsidRDefault="002B6488" w:rsidP="00171E44">
            <w:pPr>
              <w:pStyle w:val="Tabletext"/>
            </w:pPr>
            <w:r w:rsidRPr="00F759A3">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2B6488" w:rsidRPr="00F759A3" w:rsidRDefault="002B6488" w:rsidP="005A3499">
            <w:pPr>
              <w:spacing w:before="40" w:after="40" w:line="220" w:lineRule="atLeast"/>
              <w:rPr>
                <w:sz w:val="20"/>
              </w:rPr>
            </w:pPr>
          </w:p>
          <w:p w:rsidR="002B6488" w:rsidRPr="00D05F45" w:rsidRDefault="002B6488" w:rsidP="00171E44">
            <w:pPr>
              <w:pStyle w:val="Tablesubhead"/>
            </w:pPr>
            <w:r w:rsidRPr="00F759A3">
              <w:t>Research: Essay (Written)</w:t>
            </w:r>
          </w:p>
          <w:p w:rsidR="002B6488" w:rsidRPr="00F759A3" w:rsidRDefault="002B6488" w:rsidP="005A3499">
            <w:pPr>
              <w:spacing w:before="40" w:after="40" w:line="220" w:lineRule="atLeast"/>
              <w:rPr>
                <w:sz w:val="20"/>
              </w:rPr>
            </w:pPr>
            <w:r w:rsidRPr="00F759A3">
              <w:rPr>
                <w:sz w:val="20"/>
              </w:rPr>
              <w:t xml:space="preserve">The purpose of this assessment is to make judgments about students’ abilities to research, collect, analyse and draw conclusions about historical sources. </w:t>
            </w:r>
          </w:p>
          <w:p w:rsidR="002B6488" w:rsidRPr="00F759A3" w:rsidRDefault="002B6488" w:rsidP="005A3499">
            <w:pPr>
              <w:spacing w:before="40" w:after="40" w:line="220" w:lineRule="atLeast"/>
              <w:rPr>
                <w:sz w:val="20"/>
              </w:rPr>
            </w:pPr>
          </w:p>
          <w:p w:rsidR="002B6488" w:rsidRPr="00F759A3" w:rsidRDefault="002B6488" w:rsidP="005A3499">
            <w:pPr>
              <w:spacing w:before="40" w:after="40" w:line="220" w:lineRule="atLeast"/>
              <w:rPr>
                <w:sz w:val="20"/>
              </w:rPr>
            </w:pPr>
            <w:r w:rsidRPr="00F759A3">
              <w:rPr>
                <w:sz w:val="20"/>
              </w:rPr>
              <w:t xml:space="preserve">Students construct a persuasive essay about the commemoration of World War I and debates about the nature and significance of the </w:t>
            </w:r>
            <w:r>
              <w:rPr>
                <w:sz w:val="20"/>
              </w:rPr>
              <w:t>“</w:t>
            </w:r>
            <w:r w:rsidRPr="00F759A3">
              <w:rPr>
                <w:sz w:val="20"/>
              </w:rPr>
              <w:t>Anzac Legend</w:t>
            </w:r>
            <w:r>
              <w:rPr>
                <w:sz w:val="20"/>
              </w:rPr>
              <w:t>”</w:t>
            </w:r>
            <w:r w:rsidRPr="00F759A3">
              <w:rPr>
                <w:sz w:val="20"/>
              </w:rPr>
              <w:t>. The essay will be based on research and make reference to the:</w:t>
            </w:r>
          </w:p>
          <w:p w:rsidR="002B6488" w:rsidRPr="00D05F45" w:rsidRDefault="002B6488">
            <w:pPr>
              <w:pStyle w:val="Tabletext"/>
              <w:numPr>
                <w:ilvl w:val="0"/>
                <w:numId w:val="42"/>
              </w:numPr>
              <w:ind w:left="311" w:hanging="284"/>
              <w:rPr>
                <w:rFonts w:cs="Arial"/>
              </w:rPr>
            </w:pPr>
            <w:r w:rsidRPr="00D05F45">
              <w:t>causes</w:t>
            </w:r>
            <w:r w:rsidRPr="00D05F45">
              <w:rPr>
                <w:rFonts w:cs="Arial"/>
              </w:rPr>
              <w:t xml:space="preserve"> of World War I</w:t>
            </w:r>
          </w:p>
          <w:p w:rsidR="002B6488" w:rsidRPr="00D05F45" w:rsidRDefault="002B6488">
            <w:pPr>
              <w:pStyle w:val="Tabletext"/>
              <w:numPr>
                <w:ilvl w:val="0"/>
                <w:numId w:val="42"/>
              </w:numPr>
              <w:ind w:left="311" w:hanging="284"/>
              <w:rPr>
                <w:rFonts w:cs="Arial"/>
              </w:rPr>
            </w:pPr>
            <w:r w:rsidRPr="00D05F45">
              <w:t>places</w:t>
            </w:r>
            <w:r w:rsidRPr="00D05F45">
              <w:rPr>
                <w:rFonts w:cs="Arial"/>
              </w:rPr>
              <w:t xml:space="preserve"> where Australians fought </w:t>
            </w:r>
          </w:p>
          <w:p w:rsidR="002B6488" w:rsidRPr="00D05F45" w:rsidRDefault="002B6488">
            <w:pPr>
              <w:pStyle w:val="Tabletext"/>
              <w:numPr>
                <w:ilvl w:val="0"/>
                <w:numId w:val="42"/>
              </w:numPr>
              <w:ind w:left="311" w:hanging="284"/>
            </w:pPr>
            <w:r w:rsidRPr="00D05F45">
              <w:t>impact</w:t>
            </w:r>
            <w:r w:rsidRPr="00D05F45">
              <w:rPr>
                <w:rFonts w:cs="Arial"/>
              </w:rPr>
              <w:t xml:space="preserve"> of World War I on Australian society.</w:t>
            </w:r>
          </w:p>
          <w:p w:rsidR="002B6488" w:rsidRDefault="002B6488" w:rsidP="00554B10">
            <w:pPr>
              <w:pStyle w:val="Tabletext"/>
              <w:ind w:left="27"/>
            </w:pPr>
            <w:r>
              <w:t>Suggested conditions:</w:t>
            </w:r>
          </w:p>
          <w:p w:rsidR="002B6488" w:rsidRDefault="002B6488" w:rsidP="00D05F45">
            <w:pPr>
              <w:pStyle w:val="Tabletext"/>
              <w:numPr>
                <w:ilvl w:val="0"/>
                <w:numId w:val="42"/>
              </w:numPr>
              <w:ind w:left="311" w:hanging="284"/>
            </w:pPr>
            <w:r>
              <w:t>open</w:t>
            </w:r>
          </w:p>
          <w:p w:rsidR="002B6488" w:rsidRDefault="002B6488" w:rsidP="00D05F45">
            <w:pPr>
              <w:pStyle w:val="Tabletext"/>
              <w:numPr>
                <w:ilvl w:val="0"/>
                <w:numId w:val="42"/>
              </w:numPr>
              <w:ind w:left="311" w:hanging="284"/>
            </w:pPr>
            <w:r>
              <w:t>600–800 words.</w:t>
            </w:r>
          </w:p>
          <w:p w:rsidR="002B6488" w:rsidRDefault="002B6488" w:rsidP="00554B10">
            <w:pPr>
              <w:pStyle w:val="Tabletext"/>
              <w:rPr>
                <w:sz w:val="21"/>
              </w:rPr>
            </w:pPr>
          </w:p>
          <w:p w:rsidR="002B6488" w:rsidRPr="002B6488" w:rsidRDefault="002B6488" w:rsidP="00FB69DC">
            <w:pPr>
              <w:spacing w:before="0" w:line="240" w:lineRule="auto"/>
              <w:rPr>
                <w:rFonts w:ascii="Times New Roman" w:hAnsi="Times New Roman"/>
                <w:sz w:val="20"/>
                <w:lang w:eastAsia="en-AU"/>
              </w:rPr>
            </w:pPr>
            <w:r w:rsidRPr="008D322D">
              <w:rPr>
                <w:sz w:val="20"/>
              </w:rPr>
              <w:t xml:space="preserve">For further advice and guidelines on conditions for assessment refer to </w:t>
            </w:r>
            <w:r w:rsidRPr="008D322D">
              <w:rPr>
                <w:i/>
                <w:sz w:val="20"/>
              </w:rPr>
              <w:t>Assessment: History</w:t>
            </w:r>
            <w:r w:rsidRPr="008D322D">
              <w:rPr>
                <w:sz w:val="20"/>
              </w:rPr>
              <w:t xml:space="preserve"> on the QSA website: </w:t>
            </w:r>
            <w:hyperlink r:id="rId47" w:history="1">
              <w:r w:rsidRPr="008D322D">
                <w:rPr>
                  <w:rStyle w:val="Hyperlink"/>
                  <w:rFonts w:eastAsia="SimSun"/>
                </w:rPr>
                <w:t>www.qsa.qld.edu.au</w:t>
              </w:r>
            </w:hyperlink>
            <w:r>
              <w:rPr>
                <w:rFonts w:ascii="Times New Roman" w:hAnsi="Times New Roman"/>
                <w:sz w:val="20"/>
                <w:lang w:eastAsia="en-AU"/>
              </w:rPr>
              <w:t xml:space="preserve"> </w:t>
            </w:r>
          </w:p>
        </w:tc>
        <w:tc>
          <w:tcPr>
            <w:tcW w:w="2008" w:type="pct"/>
            <w:vMerge/>
            <w:shd w:val="clear" w:color="auto" w:fill="auto"/>
          </w:tcPr>
          <w:p w:rsidR="002B6488" w:rsidRPr="00F759A3" w:rsidRDefault="002B6488" w:rsidP="00030551">
            <w:pPr>
              <w:pStyle w:val="Tabletext"/>
            </w:pPr>
          </w:p>
        </w:tc>
      </w:tr>
    </w:tbl>
    <w:p w:rsidR="00C466B4" w:rsidRPr="00F759A3" w:rsidRDefault="00C466B4" w:rsidP="008300AE"/>
    <w:p w:rsidR="002C0575" w:rsidRPr="00F759A3" w:rsidRDefault="00C466B4" w:rsidP="002C0575">
      <w:pPr>
        <w:pStyle w:val="smallspace"/>
      </w:pPr>
      <w:r w:rsidRPr="00F759A3">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30"/>
        <w:gridCol w:w="3684"/>
        <w:gridCol w:w="3658"/>
      </w:tblGrid>
      <w:tr w:rsidR="00934023" w:rsidRPr="00F759A3" w:rsidTr="00934023">
        <w:trPr>
          <w:tblHeader/>
          <w:jc w:val="center"/>
        </w:trPr>
        <w:tc>
          <w:tcPr>
            <w:tcW w:w="2481" w:type="pct"/>
            <w:shd w:val="clear" w:color="auto" w:fill="8CC8C9"/>
          </w:tcPr>
          <w:p w:rsidR="00934023" w:rsidRPr="00F759A3" w:rsidRDefault="00934023" w:rsidP="002C0575">
            <w:pPr>
              <w:pStyle w:val="Tablehead"/>
              <w:rPr>
                <w:szCs w:val="21"/>
              </w:rPr>
            </w:pPr>
            <w:r w:rsidRPr="00F759A3">
              <w:rPr>
                <w:szCs w:val="21"/>
              </w:rPr>
              <w:t>Teaching and learning</w:t>
            </w:r>
          </w:p>
        </w:tc>
        <w:tc>
          <w:tcPr>
            <w:tcW w:w="2519" w:type="pct"/>
            <w:gridSpan w:val="2"/>
            <w:shd w:val="clear" w:color="auto" w:fill="8CC8C9"/>
          </w:tcPr>
          <w:p w:rsidR="00934023" w:rsidRPr="00F759A3" w:rsidRDefault="00934023" w:rsidP="002C0575">
            <w:pPr>
              <w:pStyle w:val="Tablehead"/>
              <w:rPr>
                <w:szCs w:val="21"/>
              </w:rPr>
            </w:pPr>
            <w:r w:rsidRPr="00F759A3">
              <w:rPr>
                <w:szCs w:val="21"/>
              </w:rPr>
              <w:t>Supportive learning environment</w:t>
            </w:r>
          </w:p>
        </w:tc>
      </w:tr>
      <w:tr w:rsidR="00934023" w:rsidRPr="00F759A3" w:rsidTr="00934023">
        <w:trPr>
          <w:tblHeader/>
          <w:jc w:val="center"/>
        </w:trPr>
        <w:tc>
          <w:tcPr>
            <w:tcW w:w="2481" w:type="pct"/>
            <w:shd w:val="clear" w:color="auto" w:fill="CFE7E6"/>
          </w:tcPr>
          <w:p w:rsidR="002C0575" w:rsidRPr="00F759A3" w:rsidRDefault="005D333E" w:rsidP="002C0575">
            <w:pPr>
              <w:pStyle w:val="Tablesubhead"/>
            </w:pPr>
            <w:r w:rsidRPr="00F759A3">
              <w:t>T</w:t>
            </w:r>
            <w:r w:rsidR="002C0575" w:rsidRPr="00F759A3">
              <w:t>eaching strategies</w:t>
            </w:r>
            <w:r w:rsidRPr="00F759A3">
              <w:t xml:space="preserve"> and learning experiences</w:t>
            </w:r>
          </w:p>
        </w:tc>
        <w:tc>
          <w:tcPr>
            <w:tcW w:w="1264" w:type="pct"/>
            <w:shd w:val="clear" w:color="auto" w:fill="CFE7E6"/>
          </w:tcPr>
          <w:p w:rsidR="002C0575" w:rsidRPr="00F759A3" w:rsidRDefault="002C0575" w:rsidP="002C0575">
            <w:pPr>
              <w:pStyle w:val="Tablesubhead"/>
            </w:pPr>
            <w:r w:rsidRPr="00F759A3">
              <w:t>Adjustments for needs of learners</w:t>
            </w:r>
          </w:p>
        </w:tc>
        <w:tc>
          <w:tcPr>
            <w:tcW w:w="1255" w:type="pct"/>
            <w:shd w:val="clear" w:color="auto" w:fill="CFE7E6"/>
          </w:tcPr>
          <w:p w:rsidR="002C0575" w:rsidRPr="00F759A3" w:rsidRDefault="002C0575" w:rsidP="002C0575">
            <w:pPr>
              <w:pStyle w:val="Tablesubhead"/>
            </w:pPr>
            <w:r w:rsidRPr="00F759A3">
              <w:t>Resources</w:t>
            </w:r>
          </w:p>
        </w:tc>
      </w:tr>
      <w:tr w:rsidR="00934023" w:rsidRPr="00F759A3" w:rsidTr="00934023">
        <w:trPr>
          <w:jc w:val="center"/>
        </w:trPr>
        <w:tc>
          <w:tcPr>
            <w:tcW w:w="2481" w:type="pct"/>
            <w:shd w:val="clear" w:color="auto" w:fill="auto"/>
          </w:tcPr>
          <w:p w:rsidR="00001BD9" w:rsidRDefault="00001BD9" w:rsidP="00001BD9">
            <w:pPr>
              <w:pStyle w:val="Tabletext"/>
              <w:rPr>
                <w:i/>
              </w:rPr>
            </w:pPr>
            <w:r w:rsidRPr="00F759A3">
              <w:rPr>
                <w:i/>
              </w:rPr>
              <w:t>Chronology,</w:t>
            </w:r>
            <w:r w:rsidR="00F946C4" w:rsidRPr="00F759A3">
              <w:rPr>
                <w:i/>
              </w:rPr>
              <w:t xml:space="preserve"> </w:t>
            </w:r>
            <w:r w:rsidRPr="00F759A3">
              <w:rPr>
                <w:i/>
              </w:rPr>
              <w:t>terms and concepts</w:t>
            </w:r>
          </w:p>
          <w:p w:rsidR="00F759A3" w:rsidRPr="00D05F45" w:rsidRDefault="00F759A3" w:rsidP="00001BD9">
            <w:pPr>
              <w:pStyle w:val="Tabletext"/>
            </w:pPr>
            <w:r w:rsidRPr="00D05F45">
              <w:t>Students:</w:t>
            </w:r>
          </w:p>
          <w:p w:rsidR="00001BD9" w:rsidRPr="00D05F45" w:rsidRDefault="00CC59A0" w:rsidP="00D05F45">
            <w:pPr>
              <w:pStyle w:val="Tabletext"/>
              <w:numPr>
                <w:ilvl w:val="0"/>
                <w:numId w:val="42"/>
              </w:numPr>
              <w:ind w:left="311" w:hanging="284"/>
            </w:pPr>
            <w:r>
              <w:t>u</w:t>
            </w:r>
            <w:r w:rsidRPr="00F759A3">
              <w:t xml:space="preserve">se </w:t>
            </w:r>
            <w:r w:rsidR="00F946C4" w:rsidRPr="00F759A3">
              <w:t xml:space="preserve">and </w:t>
            </w:r>
            <w:r w:rsidR="00F946C4" w:rsidRPr="00622801">
              <w:rPr>
                <w:rFonts w:cs="Arial"/>
              </w:rPr>
              <w:t>understand</w:t>
            </w:r>
            <w:r w:rsidR="00F946C4" w:rsidRPr="00F759A3">
              <w:t xml:space="preserve"> </w:t>
            </w:r>
            <w:r w:rsidR="00001BD9" w:rsidRPr="00F759A3">
              <w:t xml:space="preserve">historical terms and concepts such as historical sources, primary </w:t>
            </w:r>
            <w:r w:rsidR="00001BD9" w:rsidRPr="00622801">
              <w:rPr>
                <w:rFonts w:cs="Arial"/>
              </w:rPr>
              <w:t>and</w:t>
            </w:r>
            <w:r w:rsidR="00001BD9" w:rsidRPr="00F759A3">
              <w:t xml:space="preserve"> secondary sources, evidence and inquiry</w:t>
            </w:r>
          </w:p>
          <w:p w:rsidR="00001BD9" w:rsidRPr="00D05F45" w:rsidRDefault="00CC59A0" w:rsidP="00D05F45">
            <w:pPr>
              <w:pStyle w:val="Tabletext"/>
              <w:numPr>
                <w:ilvl w:val="0"/>
                <w:numId w:val="42"/>
              </w:numPr>
              <w:ind w:left="311" w:hanging="284"/>
            </w:pPr>
            <w:r w:rsidRPr="006E62F6">
              <w:rPr>
                <w:rFonts w:cs="Arial"/>
              </w:rPr>
              <w:t>construct</w:t>
            </w:r>
            <w:r w:rsidRPr="00D05F45">
              <w:rPr>
                <w:rFonts w:cs="Arial"/>
              </w:rPr>
              <w:t xml:space="preserve"> </w:t>
            </w:r>
            <w:r w:rsidR="00001BD9" w:rsidRPr="00D05F45">
              <w:rPr>
                <w:rFonts w:cs="Arial"/>
              </w:rPr>
              <w:t>a</w:t>
            </w:r>
            <w:r w:rsidR="00FA3F01" w:rsidRPr="00D05F45">
              <w:rPr>
                <w:rFonts w:cs="Arial"/>
              </w:rPr>
              <w:t>n annotated</w:t>
            </w:r>
            <w:r w:rsidR="00001BD9" w:rsidRPr="00D05F45">
              <w:rPr>
                <w:rFonts w:cs="Arial"/>
              </w:rPr>
              <w:t xml:space="preserve"> timeline of events leading to the outbreak of hostilities in </w:t>
            </w:r>
            <w:r w:rsidR="00FA3F01" w:rsidRPr="00D05F45">
              <w:rPr>
                <w:rFonts w:cs="Arial"/>
              </w:rPr>
              <w:t xml:space="preserve">Europe in </w:t>
            </w:r>
            <w:r w:rsidR="00001BD9" w:rsidRPr="00D05F45">
              <w:rPr>
                <w:rFonts w:cs="Arial"/>
              </w:rPr>
              <w:t>1914</w:t>
            </w:r>
          </w:p>
          <w:p w:rsidR="00116D6E" w:rsidRPr="00D05F45" w:rsidRDefault="00CC59A0" w:rsidP="00D05F45">
            <w:pPr>
              <w:pStyle w:val="Tabletext"/>
              <w:numPr>
                <w:ilvl w:val="0"/>
                <w:numId w:val="42"/>
              </w:numPr>
              <w:ind w:left="311" w:hanging="284"/>
            </w:pPr>
            <w:r>
              <w:rPr>
                <w:rFonts w:cs="Arial"/>
              </w:rPr>
              <w:t>i</w:t>
            </w:r>
            <w:r w:rsidRPr="00D05F45">
              <w:rPr>
                <w:rFonts w:cs="Arial"/>
              </w:rPr>
              <w:t xml:space="preserve">dentify </w:t>
            </w:r>
            <w:r w:rsidR="00FA3F01" w:rsidRPr="00D05F45">
              <w:t>the</w:t>
            </w:r>
            <w:r w:rsidR="00FA3F01" w:rsidRPr="00D05F45">
              <w:rPr>
                <w:rFonts w:cs="Arial"/>
              </w:rPr>
              <w:t xml:space="preserve"> causes of World War 1, including </w:t>
            </w:r>
            <w:r w:rsidR="00116D6E" w:rsidRPr="00D05F45">
              <w:rPr>
                <w:rFonts w:cs="Arial"/>
              </w:rPr>
              <w:t>the impact of nationalism, imperialism</w:t>
            </w:r>
            <w:r w:rsidR="00001BD9" w:rsidRPr="00D05F45">
              <w:rPr>
                <w:rFonts w:cs="Arial"/>
              </w:rPr>
              <w:t xml:space="preserve"> and militarism</w:t>
            </w:r>
            <w:r w:rsidR="00FA3F01" w:rsidRPr="00D05F45">
              <w:rPr>
                <w:rFonts w:cs="Arial"/>
              </w:rPr>
              <w:t xml:space="preserve"> on the relationships between European powers</w:t>
            </w:r>
          </w:p>
          <w:p w:rsidR="00116D6E" w:rsidRPr="00D05F45" w:rsidRDefault="00CC59A0" w:rsidP="00D05F45">
            <w:pPr>
              <w:pStyle w:val="Tabletext"/>
              <w:numPr>
                <w:ilvl w:val="0"/>
                <w:numId w:val="42"/>
              </w:numPr>
              <w:ind w:left="311" w:hanging="284"/>
            </w:pPr>
            <w:r w:rsidRPr="00622801">
              <w:t>understand</w:t>
            </w:r>
            <w:r w:rsidRPr="00D05F45">
              <w:rPr>
                <w:rFonts w:cs="Arial"/>
              </w:rPr>
              <w:t xml:space="preserve"> </w:t>
            </w:r>
            <w:r w:rsidR="00116D6E" w:rsidRPr="00D05F45">
              <w:rPr>
                <w:rFonts w:cs="Arial"/>
              </w:rPr>
              <w:t xml:space="preserve">the </w:t>
            </w:r>
            <w:r w:rsidR="00647EC8" w:rsidRPr="00D05F45">
              <w:rPr>
                <w:rFonts w:cs="Arial"/>
              </w:rPr>
              <w:t xml:space="preserve">importance </w:t>
            </w:r>
            <w:r w:rsidR="00116D6E" w:rsidRPr="00D05F45">
              <w:rPr>
                <w:rFonts w:cs="Arial"/>
              </w:rPr>
              <w:t xml:space="preserve">of European alliances </w:t>
            </w:r>
            <w:r w:rsidR="00647EC8" w:rsidRPr="00D05F45">
              <w:rPr>
                <w:rFonts w:cs="Arial"/>
              </w:rPr>
              <w:t>(part</w:t>
            </w:r>
            <w:r w:rsidR="00001BD9" w:rsidRPr="00D05F45">
              <w:rPr>
                <w:rFonts w:cs="Arial"/>
              </w:rPr>
              <w:t xml:space="preserve">icularly the </w:t>
            </w:r>
            <w:r w:rsidR="00116D6E" w:rsidRPr="00D05F45">
              <w:rPr>
                <w:rFonts w:cs="Arial"/>
              </w:rPr>
              <w:t>Triple Alliance and Triple Entente</w:t>
            </w:r>
            <w:r w:rsidR="00001BD9" w:rsidRPr="00D05F45">
              <w:rPr>
                <w:rFonts w:cs="Arial"/>
              </w:rPr>
              <w:t>)</w:t>
            </w:r>
            <w:r w:rsidR="00647EC8" w:rsidRPr="00D05F45">
              <w:rPr>
                <w:rFonts w:cs="Arial"/>
              </w:rPr>
              <w:t xml:space="preserve"> and their significance when war broke out in 1914</w:t>
            </w:r>
            <w:r w:rsidR="006E62F6">
              <w:rPr>
                <w:rFonts w:cs="Arial"/>
              </w:rPr>
              <w:t>.</w:t>
            </w:r>
          </w:p>
          <w:p w:rsidR="007501DA" w:rsidRPr="00D05F45" w:rsidRDefault="007501DA" w:rsidP="00777A52">
            <w:pPr>
              <w:pStyle w:val="Tabletext"/>
              <w:ind w:left="720"/>
            </w:pPr>
          </w:p>
          <w:p w:rsidR="007501DA" w:rsidRDefault="007501DA" w:rsidP="00777A52">
            <w:pPr>
              <w:pStyle w:val="Tabletext"/>
              <w:jc w:val="both"/>
              <w:rPr>
                <w:rFonts w:cs="Arial"/>
                <w:i/>
              </w:rPr>
            </w:pPr>
            <w:r w:rsidRPr="00D05F45">
              <w:rPr>
                <w:rFonts w:cs="Arial"/>
                <w:i/>
              </w:rPr>
              <w:t xml:space="preserve">The Australian </w:t>
            </w:r>
            <w:r w:rsidR="00DB46BC" w:rsidRPr="00D05F45">
              <w:rPr>
                <w:rFonts w:cs="Arial"/>
                <w:i/>
              </w:rPr>
              <w:t xml:space="preserve">experience </w:t>
            </w:r>
            <w:r w:rsidRPr="00D05F45">
              <w:rPr>
                <w:rFonts w:cs="Arial"/>
                <w:i/>
              </w:rPr>
              <w:t xml:space="preserve">of </w:t>
            </w:r>
            <w:r w:rsidR="00DB46BC" w:rsidRPr="00D05F45">
              <w:rPr>
                <w:rFonts w:cs="Arial"/>
                <w:i/>
              </w:rPr>
              <w:t>war</w:t>
            </w:r>
          </w:p>
          <w:p w:rsidR="00CC59A0" w:rsidRPr="00B720C1" w:rsidRDefault="00CC59A0" w:rsidP="00CC59A0">
            <w:pPr>
              <w:pStyle w:val="Tabletext"/>
            </w:pPr>
            <w:r w:rsidRPr="00B720C1">
              <w:t>Students:</w:t>
            </w:r>
          </w:p>
          <w:p w:rsidR="00B85A66" w:rsidRPr="00D05F45" w:rsidRDefault="00CC59A0" w:rsidP="00D05F45">
            <w:pPr>
              <w:pStyle w:val="Tabletext"/>
              <w:numPr>
                <w:ilvl w:val="0"/>
                <w:numId w:val="42"/>
              </w:numPr>
              <w:ind w:left="311" w:hanging="284"/>
            </w:pPr>
            <w:r>
              <w:rPr>
                <w:rFonts w:cs="Arial"/>
              </w:rPr>
              <w:t>c</w:t>
            </w:r>
            <w:r w:rsidR="00B85A66" w:rsidRPr="00D05F45">
              <w:rPr>
                <w:rFonts w:cs="Arial"/>
              </w:rPr>
              <w:t>onsider the reasons Australians so readily enlisted in the early years of WW1 through examining a range of primary sources (e.g. newspaper articles, recruitment posters, etc</w:t>
            </w:r>
            <w:r w:rsidR="00901F09">
              <w:rPr>
                <w:rFonts w:cs="Arial"/>
              </w:rPr>
              <w:t>.</w:t>
            </w:r>
            <w:r w:rsidR="00B85A66" w:rsidRPr="00D05F45">
              <w:rPr>
                <w:rFonts w:cs="Arial"/>
              </w:rPr>
              <w:t>)</w:t>
            </w:r>
          </w:p>
          <w:p w:rsidR="002A15CB" w:rsidRPr="00D05F45" w:rsidRDefault="00CC59A0" w:rsidP="00D05F45">
            <w:pPr>
              <w:pStyle w:val="Tabletext"/>
              <w:numPr>
                <w:ilvl w:val="0"/>
                <w:numId w:val="42"/>
              </w:numPr>
              <w:ind w:left="311" w:hanging="284"/>
            </w:pPr>
            <w:r>
              <w:rPr>
                <w:rFonts w:cs="Arial"/>
              </w:rPr>
              <w:t>m</w:t>
            </w:r>
            <w:r w:rsidRPr="00D05F45">
              <w:rPr>
                <w:rFonts w:cs="Arial"/>
              </w:rPr>
              <w:t xml:space="preserve">ap </w:t>
            </w:r>
            <w:r w:rsidR="002A15CB" w:rsidRPr="00D05F45">
              <w:rPr>
                <w:rFonts w:cs="Arial"/>
              </w:rPr>
              <w:t>the various theatres of war (e.g. Fromelles, the Somme, Gallipoli, Sinai and Palestine) in which Australian soldiers fought</w:t>
            </w:r>
          </w:p>
          <w:p w:rsidR="00647EC8" w:rsidRPr="00D05F45" w:rsidRDefault="00CC59A0" w:rsidP="00D05F45">
            <w:pPr>
              <w:pStyle w:val="Tabletext"/>
              <w:numPr>
                <w:ilvl w:val="0"/>
                <w:numId w:val="42"/>
              </w:numPr>
              <w:ind w:left="311" w:hanging="284"/>
              <w:rPr>
                <w:rFonts w:cs="Arial"/>
                <w:i/>
              </w:rPr>
            </w:pPr>
            <w:r>
              <w:rPr>
                <w:rFonts w:cs="Arial"/>
              </w:rPr>
              <w:t>c</w:t>
            </w:r>
            <w:r w:rsidRPr="00D05F45">
              <w:rPr>
                <w:rFonts w:cs="Arial"/>
              </w:rPr>
              <w:t xml:space="preserve">ompare </w:t>
            </w:r>
            <w:r w:rsidR="00647EC8" w:rsidRPr="00D05F45">
              <w:rPr>
                <w:rFonts w:cs="Arial"/>
              </w:rPr>
              <w:t>and contrast the conditions, types of warfare and personal experiences of Australian soldiers in Gallipoli and on the Western Front</w:t>
            </w:r>
          </w:p>
          <w:p w:rsidR="001F78F8" w:rsidRPr="00D05F45" w:rsidRDefault="00CC59A0" w:rsidP="00D05F45">
            <w:pPr>
              <w:pStyle w:val="Tabletext"/>
              <w:numPr>
                <w:ilvl w:val="0"/>
                <w:numId w:val="42"/>
              </w:numPr>
              <w:ind w:left="311" w:hanging="284"/>
              <w:rPr>
                <w:rFonts w:cs="Arial"/>
                <w:i/>
              </w:rPr>
            </w:pPr>
            <w:r>
              <w:rPr>
                <w:rFonts w:cs="Arial"/>
              </w:rPr>
              <w:t>i</w:t>
            </w:r>
            <w:r w:rsidRPr="00D05F45">
              <w:rPr>
                <w:rFonts w:cs="Arial"/>
              </w:rPr>
              <w:t xml:space="preserve">dentify </w:t>
            </w:r>
            <w:r w:rsidR="001F78F8" w:rsidRPr="00D05F45">
              <w:rPr>
                <w:rFonts w:cs="Arial"/>
              </w:rPr>
              <w:t xml:space="preserve">and describe the different experiences of war of both individuals and </w:t>
            </w:r>
            <w:r w:rsidR="001F78F8" w:rsidRPr="00D05F45">
              <w:t>groups</w:t>
            </w:r>
            <w:r w:rsidR="001F78F8" w:rsidRPr="00D05F45">
              <w:rPr>
                <w:rFonts w:cs="Arial"/>
              </w:rPr>
              <w:t xml:space="preserve"> </w:t>
            </w:r>
            <w:r w:rsidR="00647EC8" w:rsidRPr="00D05F45">
              <w:rPr>
                <w:rFonts w:cs="Arial"/>
              </w:rPr>
              <w:t xml:space="preserve">in Australia </w:t>
            </w:r>
            <w:r w:rsidR="001F78F8" w:rsidRPr="00D05F45">
              <w:rPr>
                <w:rFonts w:cs="Arial"/>
              </w:rPr>
              <w:t>(e.g. soldier</w:t>
            </w:r>
            <w:r w:rsidR="00647EC8" w:rsidRPr="00D05F45">
              <w:rPr>
                <w:rFonts w:cs="Arial"/>
              </w:rPr>
              <w:t>s</w:t>
            </w:r>
            <w:r w:rsidR="001F78F8" w:rsidRPr="00D05F45">
              <w:rPr>
                <w:rFonts w:cs="Arial"/>
              </w:rPr>
              <w:t xml:space="preserve"> </w:t>
            </w:r>
            <w:r w:rsidR="00146580" w:rsidRPr="00D05F45">
              <w:rPr>
                <w:rFonts w:cs="Arial"/>
              </w:rPr>
              <w:t>at the F</w:t>
            </w:r>
            <w:r w:rsidR="001F78F8" w:rsidRPr="00D05F45">
              <w:rPr>
                <w:rFonts w:cs="Arial"/>
              </w:rPr>
              <w:t xml:space="preserve">ront, </w:t>
            </w:r>
            <w:r w:rsidR="00647EC8" w:rsidRPr="00D05F45">
              <w:rPr>
                <w:rFonts w:cs="Arial"/>
              </w:rPr>
              <w:t xml:space="preserve">Aboriginal and Torres Strait </w:t>
            </w:r>
            <w:r w:rsidR="004237ED" w:rsidRPr="00D05F45">
              <w:rPr>
                <w:rFonts w:cs="Arial"/>
              </w:rPr>
              <w:t>I</w:t>
            </w:r>
            <w:r w:rsidR="00647EC8" w:rsidRPr="00D05F45">
              <w:rPr>
                <w:rFonts w:cs="Arial"/>
              </w:rPr>
              <w:t>slander peoples, people of German descent</w:t>
            </w:r>
            <w:r w:rsidR="001F78F8" w:rsidRPr="00D05F45">
              <w:rPr>
                <w:rFonts w:cs="Arial"/>
              </w:rPr>
              <w:t>, women)</w:t>
            </w:r>
            <w:r w:rsidR="00146580" w:rsidRPr="00D05F45">
              <w:rPr>
                <w:rFonts w:cs="Arial"/>
              </w:rPr>
              <w:t xml:space="preserve"> through examining a range of source documents (e.g. letters, </w:t>
            </w:r>
            <w:r w:rsidR="002A15CB" w:rsidRPr="00D05F45">
              <w:rPr>
                <w:rFonts w:cs="Arial"/>
              </w:rPr>
              <w:t xml:space="preserve">photographs, </w:t>
            </w:r>
            <w:r w:rsidR="00AE3F73" w:rsidRPr="00D05F45">
              <w:rPr>
                <w:rFonts w:cs="Arial"/>
              </w:rPr>
              <w:t>newspa</w:t>
            </w:r>
            <w:r w:rsidR="00146580" w:rsidRPr="00D05F45">
              <w:rPr>
                <w:rFonts w:cs="Arial"/>
              </w:rPr>
              <w:t>p</w:t>
            </w:r>
            <w:r w:rsidR="00AE3F73" w:rsidRPr="00D05F45">
              <w:rPr>
                <w:rFonts w:cs="Arial"/>
              </w:rPr>
              <w:t>e</w:t>
            </w:r>
            <w:r w:rsidR="00146580" w:rsidRPr="00D05F45">
              <w:rPr>
                <w:rFonts w:cs="Arial"/>
              </w:rPr>
              <w:t>r articles</w:t>
            </w:r>
            <w:r w:rsidR="00647EC8" w:rsidRPr="00D05F45">
              <w:rPr>
                <w:rFonts w:cs="Arial"/>
              </w:rPr>
              <w:t>, government propaganda</w:t>
            </w:r>
            <w:r w:rsidR="00146580" w:rsidRPr="00D05F45">
              <w:rPr>
                <w:rFonts w:cs="Arial"/>
              </w:rPr>
              <w:t>)</w:t>
            </w:r>
          </w:p>
          <w:p w:rsidR="00571B51" w:rsidRPr="00D05F45" w:rsidRDefault="00CC59A0" w:rsidP="00D05F45">
            <w:pPr>
              <w:pStyle w:val="Tabletext"/>
              <w:numPr>
                <w:ilvl w:val="0"/>
                <w:numId w:val="42"/>
              </w:numPr>
              <w:ind w:left="311" w:hanging="284"/>
              <w:rPr>
                <w:rFonts w:cs="Arial"/>
              </w:rPr>
            </w:pPr>
            <w:r w:rsidRPr="006E62F6">
              <w:rPr>
                <w:rFonts w:cs="Arial"/>
              </w:rPr>
              <w:t>describe</w:t>
            </w:r>
            <w:r w:rsidRPr="00D05F45">
              <w:rPr>
                <w:rFonts w:cs="Arial"/>
              </w:rPr>
              <w:t xml:space="preserve"> </w:t>
            </w:r>
            <w:r w:rsidR="00571B51" w:rsidRPr="00D05F45">
              <w:rPr>
                <w:rFonts w:cs="Arial"/>
              </w:rPr>
              <w:t>the experiences of returned service personnel in the immediate post-war years (e.g. health, employment prospects)</w:t>
            </w:r>
          </w:p>
          <w:p w:rsidR="00CA163F" w:rsidRPr="00D05F45" w:rsidRDefault="00CC59A0" w:rsidP="00D05F45">
            <w:pPr>
              <w:pStyle w:val="Tabletext"/>
              <w:numPr>
                <w:ilvl w:val="0"/>
                <w:numId w:val="42"/>
              </w:numPr>
              <w:ind w:left="311" w:hanging="284"/>
              <w:rPr>
                <w:rFonts w:cs="Arial"/>
                <w:i/>
              </w:rPr>
            </w:pPr>
            <w:r>
              <w:rPr>
                <w:rFonts w:cs="Arial"/>
              </w:rPr>
              <w:t>i</w:t>
            </w:r>
            <w:r w:rsidRPr="00D05F45">
              <w:rPr>
                <w:rFonts w:cs="Arial"/>
              </w:rPr>
              <w:t xml:space="preserve">nvestigate </w:t>
            </w:r>
            <w:r w:rsidR="00CA163F" w:rsidRPr="00D05F45">
              <w:rPr>
                <w:rFonts w:cs="Arial"/>
              </w:rPr>
              <w:t>the reasons for the establishment of programs and organisations</w:t>
            </w:r>
            <w:r w:rsidR="007F2AF1" w:rsidRPr="00D05F45">
              <w:rPr>
                <w:rFonts w:cs="Arial"/>
              </w:rPr>
              <w:t xml:space="preserve"> </w:t>
            </w:r>
            <w:r w:rsidR="00CA163F" w:rsidRPr="00D05F45">
              <w:rPr>
                <w:rFonts w:cs="Arial"/>
              </w:rPr>
              <w:t xml:space="preserve">(e.g. </w:t>
            </w:r>
            <w:r w:rsidR="00CA163F" w:rsidRPr="00D05F45">
              <w:t>Soldier</w:t>
            </w:r>
            <w:r w:rsidR="00CA163F" w:rsidRPr="00D05F45">
              <w:rPr>
                <w:rFonts w:cs="Arial"/>
              </w:rPr>
              <w:t xml:space="preserve"> Settlement schemes and the RSL) to support returning soldiers after the war</w:t>
            </w:r>
            <w:r w:rsidR="006E62F6">
              <w:rPr>
                <w:rFonts w:cs="Arial"/>
              </w:rPr>
              <w:t>.</w:t>
            </w:r>
          </w:p>
          <w:p w:rsidR="00571B51" w:rsidRPr="00D05F45" w:rsidRDefault="00571B51" w:rsidP="00571B51">
            <w:pPr>
              <w:pStyle w:val="Tabletext"/>
              <w:rPr>
                <w:rFonts w:cs="Arial"/>
                <w:i/>
              </w:rPr>
            </w:pPr>
          </w:p>
          <w:p w:rsidR="001F78F8" w:rsidRDefault="00146580" w:rsidP="00777A52">
            <w:pPr>
              <w:pStyle w:val="Tabletext"/>
              <w:rPr>
                <w:rFonts w:cs="Arial"/>
                <w:i/>
              </w:rPr>
            </w:pPr>
            <w:r w:rsidRPr="00D05F45">
              <w:rPr>
                <w:rFonts w:cs="Arial"/>
                <w:i/>
              </w:rPr>
              <w:t>Issues and</w:t>
            </w:r>
            <w:r w:rsidR="00605135" w:rsidRPr="00D05F45">
              <w:rPr>
                <w:rFonts w:cs="Arial"/>
                <w:i/>
              </w:rPr>
              <w:t xml:space="preserve"> </w:t>
            </w:r>
            <w:r w:rsidR="00DB46BC" w:rsidRPr="00D05F45">
              <w:rPr>
                <w:rFonts w:cs="Arial"/>
                <w:i/>
              </w:rPr>
              <w:t>controversies</w:t>
            </w:r>
          </w:p>
          <w:p w:rsidR="006E62F6" w:rsidRPr="00D05F45" w:rsidRDefault="006E62F6" w:rsidP="00777A52">
            <w:pPr>
              <w:pStyle w:val="Tabletext"/>
              <w:rPr>
                <w:rFonts w:cs="Arial"/>
                <w:i/>
                <w:sz w:val="21"/>
              </w:rPr>
            </w:pPr>
            <w:r w:rsidRPr="00B720C1">
              <w:t>Students</w:t>
            </w:r>
            <w:r>
              <w:t>:</w:t>
            </w:r>
          </w:p>
          <w:p w:rsidR="00AA00F0" w:rsidRPr="00D05F45" w:rsidRDefault="006E62F6" w:rsidP="00D05F45">
            <w:pPr>
              <w:pStyle w:val="Tabletext"/>
              <w:numPr>
                <w:ilvl w:val="0"/>
                <w:numId w:val="42"/>
              </w:numPr>
              <w:ind w:left="311" w:hanging="284"/>
              <w:rPr>
                <w:rFonts w:cs="Arial"/>
                <w:sz w:val="21"/>
              </w:rPr>
            </w:pPr>
            <w:r>
              <w:rPr>
                <w:rFonts w:cs="Arial"/>
              </w:rPr>
              <w:t>c</w:t>
            </w:r>
            <w:r w:rsidR="00AA00F0" w:rsidRPr="00D05F45">
              <w:rPr>
                <w:rFonts w:cs="Arial"/>
              </w:rPr>
              <w:t>onsider the role of propaganda and the ways in which it influenced public perceptions and attitudes</w:t>
            </w:r>
            <w:r w:rsidR="00AE3F73" w:rsidRPr="00D05F45">
              <w:rPr>
                <w:rFonts w:cs="Arial"/>
              </w:rPr>
              <w:t xml:space="preserve"> about the war</w:t>
            </w:r>
            <w:r w:rsidR="00160458" w:rsidRPr="00D05F45">
              <w:rPr>
                <w:rFonts w:cs="Arial"/>
              </w:rPr>
              <w:t xml:space="preserve"> (e.g. </w:t>
            </w:r>
            <w:r w:rsidR="00C2691B" w:rsidRPr="00D05F45">
              <w:rPr>
                <w:rFonts w:cs="Arial"/>
              </w:rPr>
              <w:t xml:space="preserve">the nature </w:t>
            </w:r>
            <w:r w:rsidR="004237ED" w:rsidRPr="00D05F45">
              <w:rPr>
                <w:rFonts w:cs="Arial"/>
              </w:rPr>
              <w:t xml:space="preserve">and publication </w:t>
            </w:r>
            <w:r w:rsidR="00C2691B" w:rsidRPr="00D05F45">
              <w:rPr>
                <w:rFonts w:cs="Arial"/>
              </w:rPr>
              <w:t xml:space="preserve">of </w:t>
            </w:r>
            <w:r w:rsidR="00160458" w:rsidRPr="00D05F45">
              <w:rPr>
                <w:rFonts w:cs="Arial"/>
              </w:rPr>
              <w:t>propaganda</w:t>
            </w:r>
            <w:r w:rsidR="00034A45" w:rsidRPr="00D05F45">
              <w:rPr>
                <w:rFonts w:cs="Arial"/>
              </w:rPr>
              <w:t xml:space="preserve"> posters</w:t>
            </w:r>
            <w:r w:rsidR="00C2691B" w:rsidRPr="00D05F45">
              <w:rPr>
                <w:rFonts w:cs="Arial"/>
              </w:rPr>
              <w:t xml:space="preserve"> at various stages of the war;</w:t>
            </w:r>
            <w:r w:rsidR="00034A45" w:rsidRPr="00D05F45">
              <w:rPr>
                <w:rFonts w:cs="Arial"/>
              </w:rPr>
              <w:t xml:space="preserve"> enlistment figures)</w:t>
            </w:r>
          </w:p>
          <w:p w:rsidR="00647EC8" w:rsidRPr="00F759A3" w:rsidRDefault="006E62F6" w:rsidP="00D05F45">
            <w:pPr>
              <w:pStyle w:val="Tabletext"/>
              <w:numPr>
                <w:ilvl w:val="0"/>
                <w:numId w:val="42"/>
              </w:numPr>
              <w:ind w:left="311" w:hanging="284"/>
            </w:pPr>
            <w:r>
              <w:t>l</w:t>
            </w:r>
            <w:r w:rsidR="00647EC8" w:rsidRPr="00F759A3">
              <w:t xml:space="preserve">ocate evidence to describe how conscription might have been viewed by </w:t>
            </w:r>
            <w:r w:rsidR="00647EC8" w:rsidRPr="00622801">
              <w:rPr>
                <w:rFonts w:cs="Arial"/>
              </w:rPr>
              <w:t>people</w:t>
            </w:r>
            <w:r w:rsidR="00647EC8" w:rsidRPr="00F759A3">
              <w:t xml:space="preserve"> of different ages, genders, social position and beliefs and values </w:t>
            </w:r>
          </w:p>
          <w:p w:rsidR="00647EC8" w:rsidRPr="00D05F45" w:rsidRDefault="006E62F6" w:rsidP="00D05F45">
            <w:pPr>
              <w:pStyle w:val="Tabletext"/>
              <w:numPr>
                <w:ilvl w:val="0"/>
                <w:numId w:val="42"/>
              </w:numPr>
              <w:ind w:left="311" w:hanging="284"/>
              <w:rPr>
                <w:rFonts w:cs="Arial"/>
              </w:rPr>
            </w:pPr>
            <w:r>
              <w:rPr>
                <w:rFonts w:cs="Arial"/>
              </w:rPr>
              <w:t>e</w:t>
            </w:r>
            <w:r w:rsidRPr="00D05F45">
              <w:rPr>
                <w:rFonts w:cs="Arial"/>
              </w:rPr>
              <w:t xml:space="preserve">xamine </w:t>
            </w:r>
            <w:r w:rsidR="00AA00F0" w:rsidRPr="00D05F45">
              <w:rPr>
                <w:rFonts w:cs="Arial"/>
              </w:rPr>
              <w:t xml:space="preserve">and analyse </w:t>
            </w:r>
            <w:r w:rsidR="00EF6041" w:rsidRPr="00D05F45">
              <w:rPr>
                <w:rFonts w:cs="Arial"/>
              </w:rPr>
              <w:t xml:space="preserve">the different perspectives evident in relation to </w:t>
            </w:r>
            <w:r w:rsidR="00AA00F0" w:rsidRPr="00D05F45">
              <w:rPr>
                <w:rFonts w:cs="Arial"/>
              </w:rPr>
              <w:t xml:space="preserve">the </w:t>
            </w:r>
            <w:r>
              <w:rPr>
                <w:rFonts w:cs="Arial"/>
              </w:rPr>
              <w:t>“</w:t>
            </w:r>
            <w:r w:rsidR="00AA00F0" w:rsidRPr="00D05F45">
              <w:rPr>
                <w:rFonts w:cs="Arial"/>
              </w:rPr>
              <w:t xml:space="preserve">conscription </w:t>
            </w:r>
            <w:r w:rsidRPr="00D05F45">
              <w:rPr>
                <w:rFonts w:cs="Arial"/>
              </w:rPr>
              <w:t>debate</w:t>
            </w:r>
            <w:r>
              <w:rPr>
                <w:rFonts w:cs="Arial"/>
              </w:rPr>
              <w:t>”</w:t>
            </w:r>
            <w:r w:rsidRPr="00D05F45">
              <w:rPr>
                <w:rFonts w:cs="Arial"/>
              </w:rPr>
              <w:t xml:space="preserve"> </w:t>
            </w:r>
            <w:r w:rsidR="00156CB0" w:rsidRPr="00D05F45">
              <w:rPr>
                <w:rFonts w:cs="Arial"/>
              </w:rPr>
              <w:t>in Australia</w:t>
            </w:r>
            <w:r w:rsidR="00647EC8" w:rsidRPr="00D05F45">
              <w:rPr>
                <w:rFonts w:cs="Arial"/>
              </w:rPr>
              <w:t xml:space="preserve"> (e.g.</w:t>
            </w:r>
            <w:r w:rsidR="002A15CB" w:rsidRPr="00D05F45">
              <w:rPr>
                <w:rFonts w:cs="Arial"/>
              </w:rPr>
              <w:t xml:space="preserve"> </w:t>
            </w:r>
            <w:r w:rsidR="00647EC8" w:rsidRPr="00D05F45">
              <w:rPr>
                <w:rFonts w:cs="Arial"/>
              </w:rPr>
              <w:t>government, trade unionists, Irish Catholics) and the outcome of various referenda on the issue.</w:t>
            </w:r>
          </w:p>
          <w:p w:rsidR="00AE3F73" w:rsidRPr="00D05F45" w:rsidRDefault="00AE3F73" w:rsidP="00777A52">
            <w:pPr>
              <w:pStyle w:val="Tabletext"/>
              <w:ind w:left="720"/>
              <w:rPr>
                <w:rFonts w:cs="Arial"/>
                <w:i/>
                <w:sz w:val="21"/>
              </w:rPr>
            </w:pPr>
          </w:p>
          <w:p w:rsidR="00605135" w:rsidRDefault="00605135" w:rsidP="00777A52">
            <w:pPr>
              <w:pStyle w:val="Tabletext"/>
              <w:rPr>
                <w:rFonts w:cs="Arial"/>
                <w:i/>
              </w:rPr>
            </w:pPr>
            <w:r w:rsidRPr="00D05F45">
              <w:rPr>
                <w:rFonts w:cs="Arial"/>
                <w:i/>
              </w:rPr>
              <w:t xml:space="preserve">The </w:t>
            </w:r>
            <w:r w:rsidR="00DB46BC" w:rsidRPr="00D05F45">
              <w:rPr>
                <w:rFonts w:cs="Arial"/>
                <w:i/>
              </w:rPr>
              <w:t xml:space="preserve">impact </w:t>
            </w:r>
            <w:r w:rsidRPr="00D05F45">
              <w:rPr>
                <w:rFonts w:cs="Arial"/>
                <w:i/>
              </w:rPr>
              <w:t xml:space="preserve">of </w:t>
            </w:r>
            <w:r w:rsidR="00DB46BC" w:rsidRPr="00D05F45">
              <w:rPr>
                <w:rFonts w:cs="Arial"/>
                <w:i/>
              </w:rPr>
              <w:t xml:space="preserve">war </w:t>
            </w:r>
            <w:r w:rsidR="00AE3F73" w:rsidRPr="00D05F45">
              <w:rPr>
                <w:rFonts w:cs="Arial"/>
                <w:i/>
              </w:rPr>
              <w:t xml:space="preserve">on Australian </w:t>
            </w:r>
            <w:r w:rsidR="00DB46BC" w:rsidRPr="00D05F45">
              <w:rPr>
                <w:rFonts w:cs="Arial"/>
                <w:i/>
              </w:rPr>
              <w:t>society</w:t>
            </w:r>
          </w:p>
          <w:p w:rsidR="006E62F6" w:rsidRPr="00D05F45" w:rsidRDefault="006E62F6" w:rsidP="00777A52">
            <w:pPr>
              <w:pStyle w:val="Tabletext"/>
              <w:rPr>
                <w:rFonts w:cs="Arial"/>
              </w:rPr>
            </w:pPr>
            <w:r w:rsidRPr="00D05F45">
              <w:rPr>
                <w:rFonts w:cs="Arial"/>
              </w:rPr>
              <w:t>Students:</w:t>
            </w:r>
          </w:p>
          <w:p w:rsidR="00C2691B" w:rsidRPr="00D05F45" w:rsidRDefault="006E62F6" w:rsidP="00D05F45">
            <w:pPr>
              <w:pStyle w:val="Tabletext"/>
              <w:numPr>
                <w:ilvl w:val="0"/>
                <w:numId w:val="42"/>
              </w:numPr>
              <w:ind w:left="311" w:hanging="284"/>
              <w:rPr>
                <w:rFonts w:cs="Arial"/>
                <w:i/>
              </w:rPr>
            </w:pPr>
            <w:r>
              <w:rPr>
                <w:rFonts w:cs="Arial"/>
              </w:rPr>
              <w:t>i</w:t>
            </w:r>
            <w:r w:rsidRPr="00D05F45">
              <w:rPr>
                <w:rFonts w:cs="Arial"/>
              </w:rPr>
              <w:t xml:space="preserve">dentify </w:t>
            </w:r>
            <w:r w:rsidR="00C2691B" w:rsidRPr="00D05F45">
              <w:rPr>
                <w:rFonts w:cs="Arial"/>
              </w:rPr>
              <w:t>and explain the changing attitudes of Australians towards the war and the decline in enlistment numbers from 1916.</w:t>
            </w:r>
            <w:r w:rsidR="007F2AF1" w:rsidRPr="00D05F45">
              <w:rPr>
                <w:rFonts w:cs="Arial"/>
              </w:rPr>
              <w:t xml:space="preserve"> </w:t>
            </w:r>
            <w:r w:rsidR="004237ED" w:rsidRPr="00D05F45">
              <w:rPr>
                <w:rFonts w:cs="Arial"/>
              </w:rPr>
              <w:t>Show this graphically</w:t>
            </w:r>
          </w:p>
          <w:p w:rsidR="00C2691B" w:rsidRPr="00D05F45" w:rsidRDefault="006E62F6" w:rsidP="00D05F45">
            <w:pPr>
              <w:pStyle w:val="Tabletext"/>
              <w:numPr>
                <w:ilvl w:val="0"/>
                <w:numId w:val="42"/>
              </w:numPr>
              <w:ind w:left="311" w:hanging="284"/>
              <w:rPr>
                <w:rFonts w:cs="Arial"/>
              </w:rPr>
            </w:pPr>
            <w:r>
              <w:rPr>
                <w:rFonts w:cs="Arial"/>
              </w:rPr>
              <w:t>e</w:t>
            </w:r>
            <w:r w:rsidRPr="00D05F45">
              <w:rPr>
                <w:rFonts w:cs="Arial"/>
              </w:rPr>
              <w:t xml:space="preserve">valuate </w:t>
            </w:r>
            <w:r w:rsidR="00C2691B" w:rsidRPr="00D05F45">
              <w:rPr>
                <w:rFonts w:cs="Arial"/>
              </w:rPr>
              <w:t xml:space="preserve">the importance of Australia’s involvement in World War I in the development of a </w:t>
            </w:r>
            <w:r>
              <w:rPr>
                <w:rFonts w:cs="Arial"/>
              </w:rPr>
              <w:t xml:space="preserve"> “</w:t>
            </w:r>
            <w:r w:rsidR="00C2691B" w:rsidRPr="00D05F45">
              <w:rPr>
                <w:rFonts w:cs="Arial"/>
              </w:rPr>
              <w:t>National Identity</w:t>
            </w:r>
            <w:r w:rsidR="00901F09">
              <w:rPr>
                <w:rFonts w:cs="Arial"/>
              </w:rPr>
              <w:t>”</w:t>
            </w:r>
          </w:p>
          <w:p w:rsidR="00AA00F0" w:rsidRPr="00D05F45" w:rsidRDefault="006E62F6" w:rsidP="00D05F45">
            <w:pPr>
              <w:pStyle w:val="Tabletext"/>
              <w:numPr>
                <w:ilvl w:val="0"/>
                <w:numId w:val="42"/>
              </w:numPr>
              <w:ind w:left="311" w:hanging="284"/>
              <w:rPr>
                <w:rFonts w:cs="Arial"/>
                <w:sz w:val="21"/>
              </w:rPr>
            </w:pPr>
            <w:r>
              <w:rPr>
                <w:rFonts w:cs="Arial"/>
              </w:rPr>
              <w:t>a</w:t>
            </w:r>
            <w:r w:rsidRPr="00D05F45">
              <w:rPr>
                <w:rFonts w:cs="Arial"/>
              </w:rPr>
              <w:t xml:space="preserve">nalyse </w:t>
            </w:r>
            <w:r w:rsidR="00AA00F0" w:rsidRPr="00D05F45">
              <w:rPr>
                <w:rFonts w:cs="Arial"/>
              </w:rPr>
              <w:t>the changing relationship between Australia and Britain as a result of</w:t>
            </w:r>
            <w:r w:rsidR="00605135" w:rsidRPr="00D05F45">
              <w:rPr>
                <w:rFonts w:cs="Arial"/>
              </w:rPr>
              <w:t xml:space="preserve"> Australia’s </w:t>
            </w:r>
            <w:r>
              <w:rPr>
                <w:rFonts w:cs="Arial"/>
              </w:rPr>
              <w:t>“</w:t>
            </w:r>
            <w:r w:rsidR="00605135" w:rsidRPr="00D05F45">
              <w:rPr>
                <w:rFonts w:cs="Arial"/>
              </w:rPr>
              <w:t xml:space="preserve">coming of </w:t>
            </w:r>
            <w:r w:rsidRPr="00D05F45">
              <w:rPr>
                <w:rFonts w:cs="Arial"/>
              </w:rPr>
              <w:t>age</w:t>
            </w:r>
            <w:r>
              <w:rPr>
                <w:rFonts w:cs="Arial"/>
              </w:rPr>
              <w:t>”</w:t>
            </w:r>
            <w:r w:rsidRPr="00D05F45">
              <w:rPr>
                <w:rFonts w:cs="Arial"/>
              </w:rPr>
              <w:t xml:space="preserve"> </w:t>
            </w:r>
            <w:r w:rsidR="00605135" w:rsidRPr="00D05F45">
              <w:rPr>
                <w:rFonts w:cs="Arial"/>
              </w:rPr>
              <w:t>on the battlefields of Gallipoli</w:t>
            </w:r>
            <w:r w:rsidR="00AE3F73" w:rsidRPr="00D05F45">
              <w:rPr>
                <w:rFonts w:cs="Arial"/>
              </w:rPr>
              <w:t xml:space="preserve"> and the Western Front</w:t>
            </w:r>
          </w:p>
          <w:p w:rsidR="00001BD9" w:rsidRPr="00D05F45" w:rsidRDefault="006E62F6" w:rsidP="00D05F45">
            <w:pPr>
              <w:pStyle w:val="Tabletext"/>
              <w:numPr>
                <w:ilvl w:val="0"/>
                <w:numId w:val="42"/>
              </w:numPr>
              <w:ind w:left="311" w:hanging="284"/>
              <w:rPr>
                <w:rFonts w:cs="Arial"/>
              </w:rPr>
            </w:pPr>
            <w:r>
              <w:rPr>
                <w:rFonts w:cs="Arial"/>
              </w:rPr>
              <w:t>i</w:t>
            </w:r>
            <w:r w:rsidRPr="00D05F45">
              <w:rPr>
                <w:rFonts w:cs="Arial"/>
              </w:rPr>
              <w:t xml:space="preserve">nvestigate </w:t>
            </w:r>
            <w:r w:rsidR="00AE3F73" w:rsidRPr="00D05F45">
              <w:rPr>
                <w:rFonts w:cs="Arial"/>
              </w:rPr>
              <w:t xml:space="preserve">the changing role of women in Australian society as a result of their involvement in </w:t>
            </w:r>
            <w:r w:rsidR="00571B51" w:rsidRPr="00D05F45">
              <w:rPr>
                <w:rFonts w:cs="Arial"/>
              </w:rPr>
              <w:t xml:space="preserve">various capacities during </w:t>
            </w:r>
            <w:r w:rsidR="00AE3F73" w:rsidRPr="00D05F45">
              <w:rPr>
                <w:rFonts w:cs="Arial"/>
              </w:rPr>
              <w:t>World War I</w:t>
            </w:r>
            <w:r>
              <w:rPr>
                <w:rFonts w:cs="Arial"/>
              </w:rPr>
              <w:t>.</w:t>
            </w:r>
          </w:p>
          <w:p w:rsidR="00571B51" w:rsidRPr="00D05F45" w:rsidRDefault="00571B51" w:rsidP="00777A52">
            <w:pPr>
              <w:pStyle w:val="Tabletext"/>
              <w:rPr>
                <w:rFonts w:cs="Arial"/>
                <w:i/>
                <w:sz w:val="21"/>
              </w:rPr>
            </w:pPr>
          </w:p>
          <w:p w:rsidR="00605DC0" w:rsidRDefault="00C06D7B" w:rsidP="00777A52">
            <w:pPr>
              <w:pStyle w:val="Tabletext"/>
              <w:rPr>
                <w:rFonts w:cs="Arial"/>
                <w:i/>
              </w:rPr>
            </w:pPr>
            <w:r w:rsidRPr="00D05F45">
              <w:rPr>
                <w:rFonts w:cs="Arial"/>
                <w:i/>
              </w:rPr>
              <w:t xml:space="preserve">Australia </w:t>
            </w:r>
            <w:r w:rsidR="00DB46BC" w:rsidRPr="00D05F45">
              <w:rPr>
                <w:rFonts w:cs="Arial"/>
                <w:i/>
              </w:rPr>
              <w:t>remembers</w:t>
            </w:r>
          </w:p>
          <w:p w:rsidR="006E62F6" w:rsidRPr="00D05F45" w:rsidRDefault="006E62F6" w:rsidP="00777A52">
            <w:pPr>
              <w:pStyle w:val="Tabletext"/>
              <w:rPr>
                <w:rFonts w:cs="Arial"/>
                <w:sz w:val="21"/>
              </w:rPr>
            </w:pPr>
            <w:r w:rsidRPr="00D05F45">
              <w:rPr>
                <w:rFonts w:cs="Arial"/>
              </w:rPr>
              <w:t>Students:</w:t>
            </w:r>
          </w:p>
          <w:p w:rsidR="00605DC0" w:rsidRPr="00D05F45" w:rsidRDefault="006E62F6" w:rsidP="00D05F45">
            <w:pPr>
              <w:pStyle w:val="Tabletext"/>
              <w:numPr>
                <w:ilvl w:val="0"/>
                <w:numId w:val="42"/>
              </w:numPr>
              <w:ind w:left="311" w:hanging="284"/>
              <w:rPr>
                <w:rFonts w:cs="Arial"/>
                <w:i/>
              </w:rPr>
            </w:pPr>
            <w:r>
              <w:rPr>
                <w:rFonts w:cs="Arial"/>
              </w:rPr>
              <w:t>u</w:t>
            </w:r>
            <w:r w:rsidR="00605DC0" w:rsidRPr="00D05F45">
              <w:rPr>
                <w:rFonts w:cs="Arial"/>
              </w:rPr>
              <w:t>nderstand and explain</w:t>
            </w:r>
            <w:r w:rsidR="00BF12DF" w:rsidRPr="00D05F45">
              <w:rPr>
                <w:rFonts w:cs="Arial"/>
              </w:rPr>
              <w:t xml:space="preserve"> the development of the </w:t>
            </w:r>
            <w:r w:rsidR="00644575" w:rsidRPr="00D05F45">
              <w:rPr>
                <w:rFonts w:cs="Arial"/>
              </w:rPr>
              <w:t>Anzac l</w:t>
            </w:r>
            <w:r w:rsidR="00BF12DF" w:rsidRPr="00D05F45">
              <w:rPr>
                <w:rFonts w:cs="Arial"/>
              </w:rPr>
              <w:t>egend</w:t>
            </w:r>
            <w:r w:rsidR="00605DC0" w:rsidRPr="00D05F45">
              <w:rPr>
                <w:rFonts w:cs="Arial"/>
              </w:rPr>
              <w:t xml:space="preserve"> and the ideals and characte</w:t>
            </w:r>
            <w:r w:rsidR="00644575" w:rsidRPr="00D05F45">
              <w:rPr>
                <w:rFonts w:cs="Arial"/>
              </w:rPr>
              <w:t xml:space="preserve">ristics inherent in the </w:t>
            </w:r>
            <w:r>
              <w:rPr>
                <w:rFonts w:cs="Arial"/>
              </w:rPr>
              <w:t>“</w:t>
            </w:r>
            <w:r w:rsidR="00644575" w:rsidRPr="00D05F45">
              <w:rPr>
                <w:rFonts w:cs="Arial"/>
              </w:rPr>
              <w:t xml:space="preserve">Anzac </w:t>
            </w:r>
            <w:r w:rsidRPr="00D05F45">
              <w:rPr>
                <w:rFonts w:cs="Arial"/>
              </w:rPr>
              <w:t>spirit</w:t>
            </w:r>
            <w:r>
              <w:rPr>
                <w:rFonts w:cs="Arial"/>
              </w:rPr>
              <w:t>”</w:t>
            </w:r>
            <w:r w:rsidRPr="00D05F45">
              <w:rPr>
                <w:rFonts w:cs="Arial"/>
              </w:rPr>
              <w:t xml:space="preserve"> </w:t>
            </w:r>
          </w:p>
          <w:p w:rsidR="00605DC0" w:rsidRPr="00D05F45" w:rsidRDefault="006E62F6" w:rsidP="00D05F45">
            <w:pPr>
              <w:pStyle w:val="Tabletext"/>
              <w:numPr>
                <w:ilvl w:val="0"/>
                <w:numId w:val="42"/>
              </w:numPr>
              <w:ind w:left="311" w:hanging="284"/>
              <w:rPr>
                <w:rFonts w:cs="Arial"/>
                <w:i/>
              </w:rPr>
            </w:pPr>
            <w:r>
              <w:rPr>
                <w:rFonts w:cs="Arial"/>
              </w:rPr>
              <w:t>d</w:t>
            </w:r>
            <w:r w:rsidR="00605DC0" w:rsidRPr="00D05F45">
              <w:rPr>
                <w:rFonts w:cs="Arial"/>
              </w:rPr>
              <w:t xml:space="preserve">iscuss and debate differing perspectives in relation to </w:t>
            </w:r>
            <w:r w:rsidR="00805812" w:rsidRPr="00D05F45">
              <w:rPr>
                <w:rFonts w:cs="Arial"/>
              </w:rPr>
              <w:t xml:space="preserve">Anzac Day </w:t>
            </w:r>
            <w:r w:rsidR="00605DC0" w:rsidRPr="00D05F45">
              <w:rPr>
                <w:rFonts w:cs="Arial"/>
              </w:rPr>
              <w:t xml:space="preserve">(i.e. </w:t>
            </w:r>
            <w:r w:rsidR="00805812" w:rsidRPr="00D05F45">
              <w:rPr>
                <w:rFonts w:cs="Arial"/>
              </w:rPr>
              <w:t xml:space="preserve">notions about </w:t>
            </w:r>
            <w:r w:rsidR="00605DC0" w:rsidRPr="00D05F45">
              <w:rPr>
                <w:rFonts w:cs="Arial"/>
              </w:rPr>
              <w:t xml:space="preserve">the </w:t>
            </w:r>
            <w:r>
              <w:rPr>
                <w:rFonts w:cs="Arial"/>
              </w:rPr>
              <w:t>“</w:t>
            </w:r>
            <w:r w:rsidR="00605DC0" w:rsidRPr="00D05F45">
              <w:rPr>
                <w:rFonts w:cs="Arial"/>
              </w:rPr>
              <w:t xml:space="preserve">glorification of </w:t>
            </w:r>
            <w:r w:rsidRPr="00D05F45">
              <w:rPr>
                <w:rFonts w:cs="Arial"/>
              </w:rPr>
              <w:t>war</w:t>
            </w:r>
            <w:r>
              <w:rPr>
                <w:rFonts w:cs="Arial"/>
              </w:rPr>
              <w:t>”</w:t>
            </w:r>
            <w:r w:rsidRPr="00D05F45">
              <w:rPr>
                <w:rFonts w:cs="Arial"/>
              </w:rPr>
              <w:t xml:space="preserve"> </w:t>
            </w:r>
            <w:r w:rsidR="00805812" w:rsidRPr="00D05F45">
              <w:rPr>
                <w:rFonts w:cs="Arial"/>
              </w:rPr>
              <w:t xml:space="preserve">as opposed to commemorating and </w:t>
            </w:r>
            <w:r w:rsidRPr="00F759A3">
              <w:rPr>
                <w:rFonts w:cs="Arial"/>
              </w:rPr>
              <w:t>honouring</w:t>
            </w:r>
            <w:r w:rsidR="00805812" w:rsidRPr="00D05F45">
              <w:rPr>
                <w:rFonts w:cs="Arial"/>
              </w:rPr>
              <w:t xml:space="preserve"> the contribution of Australian servicemen and women)</w:t>
            </w:r>
            <w:r>
              <w:rPr>
                <w:rFonts w:cs="Arial"/>
              </w:rPr>
              <w:t>.</w:t>
            </w:r>
          </w:p>
          <w:p w:rsidR="00605DC0" w:rsidRPr="00D05F45" w:rsidRDefault="00605DC0" w:rsidP="00777A52">
            <w:pPr>
              <w:pStyle w:val="Tabletext"/>
              <w:rPr>
                <w:rFonts w:cs="Arial"/>
                <w:i/>
              </w:rPr>
            </w:pPr>
          </w:p>
        </w:tc>
        <w:tc>
          <w:tcPr>
            <w:tcW w:w="1264" w:type="pct"/>
            <w:shd w:val="clear" w:color="auto" w:fill="auto"/>
          </w:tcPr>
          <w:p w:rsidR="00FA4C69" w:rsidRPr="00F759A3" w:rsidRDefault="00FA4C69" w:rsidP="00FA4C69">
            <w:pPr>
              <w:pStyle w:val="Tabletext"/>
            </w:pPr>
            <w:r w:rsidRPr="00F759A3">
              <w:t xml:space="preserve">Section 6 of the </w:t>
            </w:r>
            <w:r w:rsidRPr="00F759A3">
              <w:rPr>
                <w:i/>
              </w:rPr>
              <w:t xml:space="preserve">Disability Standards for Education </w:t>
            </w:r>
            <w:r w:rsidRPr="00F759A3">
              <w:t>(The Standards for Curriculum Development, Accreditation and Delivery) state</w:t>
            </w:r>
            <w:r w:rsidR="00CA057C" w:rsidRPr="00F759A3">
              <w:t>s</w:t>
            </w:r>
            <w:r w:rsidRPr="00F759A3">
              <w:t xml:space="preserve"> that education providers, including class teachers, must take reasonable steps to ensure a course/program is designed to allow any student to participate and experience success in learning. </w:t>
            </w:r>
          </w:p>
          <w:p w:rsidR="00FA4C69" w:rsidRPr="00D05F45" w:rsidRDefault="00FA4C69" w:rsidP="00FA4C69">
            <w:pPr>
              <w:pStyle w:val="Tabletext"/>
              <w:rPr>
                <w:rFonts w:eastAsia="MS Mincho"/>
              </w:rPr>
            </w:pPr>
            <w:r w:rsidRPr="00F759A3">
              <w:t xml:space="preserve">The </w:t>
            </w:r>
            <w:r w:rsidRPr="00F759A3">
              <w:rPr>
                <w:i/>
              </w:rPr>
              <w:t xml:space="preserve">Disability Standards for Education 2005 </w:t>
            </w:r>
            <w:r w:rsidRPr="00F759A3">
              <w:t>(Cwlth) is available from</w:t>
            </w:r>
            <w:r w:rsidR="00230B64" w:rsidRPr="00F759A3">
              <w:t>:</w:t>
            </w:r>
            <w:r w:rsidRPr="00F759A3">
              <w:t xml:space="preserve"> &lt;www.ag.gov.au&gt; </w:t>
            </w:r>
            <w:r w:rsidR="00230B64" w:rsidRPr="00F759A3">
              <w:t xml:space="preserve">select </w:t>
            </w:r>
            <w:r w:rsidRPr="00F759A3">
              <w:rPr>
                <w:rFonts w:eastAsia="MS Mincho"/>
              </w:rPr>
              <w:t>Human rights and anti</w:t>
            </w:r>
            <w:r w:rsidR="00901F09">
              <w:rPr>
                <w:rFonts w:eastAsia="MS Mincho"/>
              </w:rPr>
              <w:noBreakHyphen/>
            </w:r>
            <w:r w:rsidRPr="00F759A3">
              <w:rPr>
                <w:rFonts w:eastAsia="MS Mincho"/>
              </w:rPr>
              <w:t>discrimination &gt; Disability standards for education.</w:t>
            </w:r>
          </w:p>
          <w:p w:rsidR="00FA4C69" w:rsidRPr="00D05F45" w:rsidRDefault="00FA4C69" w:rsidP="00FA4C69">
            <w:pPr>
              <w:pStyle w:val="Tabletext"/>
            </w:pPr>
          </w:p>
          <w:p w:rsidR="00030551" w:rsidRPr="00F759A3" w:rsidRDefault="00030551" w:rsidP="008C51D6"/>
        </w:tc>
        <w:tc>
          <w:tcPr>
            <w:tcW w:w="1255" w:type="pct"/>
            <w:shd w:val="clear" w:color="auto" w:fill="auto"/>
          </w:tcPr>
          <w:p w:rsidR="00010D2D" w:rsidRPr="00F759A3" w:rsidRDefault="00010D2D" w:rsidP="00010D2D">
            <w:pPr>
              <w:pStyle w:val="Tabletext"/>
            </w:pPr>
            <w:r w:rsidRPr="00F759A3">
              <w:t>Students would benefit from access to:</w:t>
            </w:r>
          </w:p>
          <w:p w:rsidR="00010D2D" w:rsidRPr="00D05F45" w:rsidRDefault="00010D2D" w:rsidP="00D05F45">
            <w:pPr>
              <w:pStyle w:val="Tabletext"/>
              <w:numPr>
                <w:ilvl w:val="0"/>
                <w:numId w:val="42"/>
              </w:numPr>
              <w:ind w:left="311" w:hanging="284"/>
            </w:pPr>
            <w:r w:rsidRPr="00F759A3">
              <w:t xml:space="preserve">computer </w:t>
            </w:r>
            <w:r w:rsidR="00733813" w:rsidRPr="00F759A3">
              <w:t>facilities</w:t>
            </w:r>
            <w:r w:rsidRPr="00F759A3">
              <w:t xml:space="preserve"> and ICT </w:t>
            </w:r>
            <w:r w:rsidRPr="00622801">
              <w:rPr>
                <w:rFonts w:cs="Arial"/>
              </w:rPr>
              <w:t>support</w:t>
            </w:r>
          </w:p>
          <w:p w:rsidR="00010D2D" w:rsidRPr="00D05F45" w:rsidRDefault="00010D2D" w:rsidP="00D05F45">
            <w:pPr>
              <w:pStyle w:val="Tabletext"/>
              <w:numPr>
                <w:ilvl w:val="0"/>
                <w:numId w:val="42"/>
              </w:numPr>
              <w:ind w:left="311" w:hanging="284"/>
              <w:rPr>
                <w:rFonts w:cs="Arial"/>
              </w:rPr>
            </w:pPr>
            <w:r w:rsidRPr="00F759A3">
              <w:rPr>
                <w:rFonts w:cs="Arial"/>
              </w:rPr>
              <w:t>field trips to relevant locations or excursions to museums and galleries</w:t>
            </w:r>
            <w:r w:rsidR="00DA4DBE" w:rsidRPr="00F759A3">
              <w:rPr>
                <w:rFonts w:cs="Arial"/>
              </w:rPr>
              <w:t xml:space="preserve"> (e.g. Anzac Square, Queensland Military Memorial Museum, </w:t>
            </w:r>
            <w:r w:rsidR="00DA4DBE" w:rsidRPr="00F759A3">
              <w:rPr>
                <w:rFonts w:cs="Arial"/>
                <w:color w:val="333333"/>
              </w:rPr>
              <w:t>The 2nd/14th Light Horse Regiment (Queensland Mounted Infantry) Museum</w:t>
            </w:r>
            <w:r w:rsidR="002C39FA" w:rsidRPr="00F759A3">
              <w:rPr>
                <w:rFonts w:cs="Arial"/>
                <w:color w:val="333333"/>
              </w:rPr>
              <w:t>);</w:t>
            </w:r>
            <w:r w:rsidR="00DA4DBE" w:rsidRPr="00F759A3">
              <w:rPr>
                <w:rFonts w:cs="Arial"/>
              </w:rPr>
              <w:t xml:space="preserve"> local cemeteries or War Memorials)</w:t>
            </w:r>
            <w:r w:rsidR="00B81019">
              <w:rPr>
                <w:rFonts w:cs="Arial"/>
              </w:rPr>
              <w:t>.</w:t>
            </w:r>
          </w:p>
          <w:p w:rsidR="00DA4DBE" w:rsidRPr="00F759A3" w:rsidRDefault="00DA4DBE" w:rsidP="00DA4DBE">
            <w:pPr>
              <w:rPr>
                <w:b/>
                <w:sz w:val="20"/>
              </w:rPr>
            </w:pPr>
            <w:r w:rsidRPr="00F759A3">
              <w:rPr>
                <w:b/>
                <w:sz w:val="20"/>
              </w:rPr>
              <w:t xml:space="preserve">Useful </w:t>
            </w:r>
            <w:r w:rsidR="00B81019">
              <w:rPr>
                <w:b/>
                <w:sz w:val="20"/>
              </w:rPr>
              <w:t>w</w:t>
            </w:r>
            <w:r w:rsidRPr="00F759A3">
              <w:rPr>
                <w:b/>
                <w:sz w:val="20"/>
              </w:rPr>
              <w:t>eb</w:t>
            </w:r>
            <w:r w:rsidR="00B81019">
              <w:rPr>
                <w:b/>
                <w:sz w:val="20"/>
              </w:rPr>
              <w:t>s</w:t>
            </w:r>
            <w:r w:rsidRPr="00F759A3">
              <w:rPr>
                <w:b/>
                <w:sz w:val="20"/>
              </w:rPr>
              <w:t>ites</w:t>
            </w:r>
          </w:p>
          <w:p w:rsidR="00DA4DBE" w:rsidRPr="00F759A3" w:rsidRDefault="00DA4DBE" w:rsidP="00D05F45">
            <w:pPr>
              <w:pStyle w:val="Tabletext"/>
              <w:numPr>
                <w:ilvl w:val="0"/>
                <w:numId w:val="42"/>
              </w:numPr>
              <w:ind w:left="311" w:hanging="284"/>
              <w:rPr>
                <w:b/>
              </w:rPr>
            </w:pPr>
            <w:r w:rsidRPr="00622801">
              <w:rPr>
                <w:rFonts w:cs="Arial"/>
              </w:rPr>
              <w:t>Australian</w:t>
            </w:r>
            <w:r w:rsidRPr="00F759A3">
              <w:t xml:space="preserve"> War Memorial</w:t>
            </w:r>
            <w:r w:rsidRPr="00F759A3">
              <w:rPr>
                <w:b/>
              </w:rPr>
              <w:t xml:space="preserve"> </w:t>
            </w:r>
            <w:hyperlink r:id="rId48" w:history="1">
              <w:r w:rsidR="00934023" w:rsidRPr="003267A2">
                <w:rPr>
                  <w:rStyle w:val="Hyperlink"/>
                </w:rPr>
                <w:t>www.awm.gov.au</w:t>
              </w:r>
            </w:hyperlink>
          </w:p>
          <w:p w:rsidR="00DA4DBE" w:rsidRPr="00F759A3" w:rsidRDefault="00DA4DBE" w:rsidP="00D05F45">
            <w:pPr>
              <w:pStyle w:val="Tabletext"/>
              <w:numPr>
                <w:ilvl w:val="0"/>
                <w:numId w:val="42"/>
              </w:numPr>
              <w:ind w:left="311" w:hanging="284"/>
              <w:rPr>
                <w:b/>
              </w:rPr>
            </w:pPr>
            <w:r w:rsidRPr="00622801">
              <w:rPr>
                <w:rFonts w:cs="Arial"/>
              </w:rPr>
              <w:t>Australians</w:t>
            </w:r>
            <w:r w:rsidRPr="00F759A3">
              <w:t xml:space="preserve"> at War </w:t>
            </w:r>
            <w:hyperlink r:id="rId49" w:history="1">
              <w:r w:rsidR="00934023" w:rsidRPr="003267A2">
                <w:rPr>
                  <w:rStyle w:val="Hyperlink"/>
                </w:rPr>
                <w:t>www.australiansatwar.gov.au</w:t>
              </w:r>
            </w:hyperlink>
          </w:p>
          <w:p w:rsidR="00034A45" w:rsidRPr="00F759A3" w:rsidRDefault="00010D2D" w:rsidP="00DA4DBE">
            <w:pPr>
              <w:rPr>
                <w:sz w:val="20"/>
              </w:rPr>
            </w:pPr>
            <w:r w:rsidRPr="00F759A3">
              <w:rPr>
                <w:b/>
                <w:sz w:val="20"/>
              </w:rPr>
              <w:t>Guest speakers</w:t>
            </w:r>
            <w:r w:rsidRPr="00F759A3">
              <w:rPr>
                <w:sz w:val="20"/>
              </w:rPr>
              <w:t xml:space="preserve"> </w:t>
            </w:r>
          </w:p>
          <w:p w:rsidR="006E62F6" w:rsidRDefault="006E62F6" w:rsidP="00D05F45">
            <w:pPr>
              <w:pStyle w:val="Tabletext"/>
              <w:numPr>
                <w:ilvl w:val="0"/>
                <w:numId w:val="42"/>
              </w:numPr>
              <w:ind w:left="311" w:hanging="284"/>
            </w:pPr>
            <w:r w:rsidRPr="004B2FEA">
              <w:rPr>
                <w:rFonts w:cs="Arial"/>
              </w:rPr>
              <w:t>R</w:t>
            </w:r>
            <w:r w:rsidR="00DA09C4" w:rsidRPr="00934023">
              <w:rPr>
                <w:rFonts w:cs="Arial"/>
              </w:rPr>
              <w:t>epresentatives</w:t>
            </w:r>
            <w:r w:rsidR="00DA09C4" w:rsidRPr="00F759A3">
              <w:t xml:space="preserve"> fro</w:t>
            </w:r>
            <w:r w:rsidR="00010D2D" w:rsidRPr="00F759A3">
              <w:t>m the RSL or Veterans associations</w:t>
            </w:r>
            <w:r w:rsidR="002A15CB" w:rsidRPr="00F759A3">
              <w:t xml:space="preserve"> </w:t>
            </w:r>
            <w:r>
              <w:t>could</w:t>
            </w:r>
            <w:r w:rsidRPr="00F759A3">
              <w:t xml:space="preserve"> </w:t>
            </w:r>
            <w:r w:rsidR="002A15CB" w:rsidRPr="00F759A3">
              <w:t>discuss the experiences of soldiers</w:t>
            </w:r>
            <w:r w:rsidR="004B2FEA">
              <w:t>.</w:t>
            </w:r>
          </w:p>
          <w:p w:rsidR="00DA4DBE" w:rsidRPr="00F759A3" w:rsidRDefault="006E62F6" w:rsidP="00D05F45">
            <w:pPr>
              <w:pStyle w:val="Tabletext"/>
              <w:numPr>
                <w:ilvl w:val="0"/>
                <w:numId w:val="42"/>
              </w:numPr>
              <w:ind w:left="311" w:hanging="284"/>
            </w:pPr>
            <w:r>
              <w:t>H</w:t>
            </w:r>
            <w:r w:rsidR="00010D2D" w:rsidRPr="00F759A3">
              <w:t xml:space="preserve">istorians or librarians/museum curators </w:t>
            </w:r>
            <w:r>
              <w:t>could</w:t>
            </w:r>
            <w:r w:rsidRPr="00F759A3">
              <w:t xml:space="preserve"> </w:t>
            </w:r>
            <w:r w:rsidR="00010D2D" w:rsidRPr="00F759A3">
              <w:t xml:space="preserve">discuss </w:t>
            </w:r>
            <w:r w:rsidR="002A15CB" w:rsidRPr="00F759A3">
              <w:t xml:space="preserve">the methods and sources used in historical investigations and/or </w:t>
            </w:r>
            <w:r w:rsidR="00733813" w:rsidRPr="00F759A3">
              <w:t>how to locate</w:t>
            </w:r>
            <w:r w:rsidR="00010D2D" w:rsidRPr="00F759A3">
              <w:t xml:space="preserve"> </w:t>
            </w:r>
            <w:r w:rsidR="00733813" w:rsidRPr="00F759A3">
              <w:t>and use</w:t>
            </w:r>
            <w:r w:rsidR="00010D2D" w:rsidRPr="00F759A3">
              <w:t xml:space="preserve"> evidence </w:t>
            </w:r>
            <w:r w:rsidR="00733813" w:rsidRPr="00F759A3">
              <w:t>related to</w:t>
            </w:r>
            <w:r w:rsidR="00010D2D" w:rsidRPr="00F759A3">
              <w:t xml:space="preserve"> </w:t>
            </w:r>
            <w:r w:rsidR="00DA09C4" w:rsidRPr="00F759A3">
              <w:t>Australia’s involvement in WWI</w:t>
            </w:r>
            <w:r>
              <w:t>.</w:t>
            </w:r>
          </w:p>
          <w:p w:rsidR="00A9101E" w:rsidRPr="00F759A3" w:rsidRDefault="00A9101E" w:rsidP="00010D2D"/>
        </w:tc>
      </w:tr>
    </w:tbl>
    <w:p w:rsidR="002A67FA" w:rsidRPr="00F759A3" w:rsidRDefault="002A67FA" w:rsidP="002A67FA">
      <w:pPr>
        <w:pStyle w:val="smallspace"/>
      </w:pPr>
      <w:r w:rsidRPr="00F759A3">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F759A3"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F759A3" w:rsidRDefault="00A4154C" w:rsidP="00CC6607">
            <w:pPr>
              <w:pStyle w:val="Tablehead"/>
              <w:rPr>
                <w:szCs w:val="21"/>
              </w:rPr>
            </w:pPr>
            <w:r w:rsidRPr="00F759A3">
              <w:t>Use feedback</w:t>
            </w:r>
          </w:p>
        </w:tc>
      </w:tr>
      <w:tr w:rsidR="00B622C7" w:rsidRPr="00F759A3"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F759A3" w:rsidRDefault="00B622C7" w:rsidP="00CC6607">
            <w:pPr>
              <w:pStyle w:val="Tablesubhead"/>
              <w:rPr>
                <w:lang w:eastAsia="en-AU"/>
              </w:rPr>
            </w:pPr>
            <w:r w:rsidRPr="00F759A3">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759A3" w:rsidRDefault="00B622C7" w:rsidP="008C51D6">
            <w:pPr>
              <w:pStyle w:val="Tabletext"/>
            </w:pPr>
            <w:r w:rsidRPr="00F759A3">
              <w:t>Teachers meet to collaboratively plan the teaching, learning and assessment to meet the needs of all learners in each unit.</w:t>
            </w:r>
          </w:p>
          <w:p w:rsidR="00B622C7" w:rsidRPr="00D05F45" w:rsidRDefault="00B622C7" w:rsidP="008C51D6">
            <w:pPr>
              <w:pStyle w:val="Tabletext"/>
            </w:pPr>
            <w:r w:rsidRPr="00F759A3">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F759A3"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F759A3" w:rsidRDefault="00B622C7" w:rsidP="00CC6607">
            <w:pPr>
              <w:pStyle w:val="Tablesubhead"/>
              <w:rPr>
                <w:lang w:eastAsia="en-AU"/>
              </w:rPr>
            </w:pPr>
            <w:r w:rsidRPr="00F759A3">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759A3" w:rsidRDefault="00B622C7" w:rsidP="008C51D6">
            <w:pPr>
              <w:pStyle w:val="Tabletext"/>
            </w:pPr>
            <w:r w:rsidRPr="00F759A3">
              <w:t>Teachers strategically plan opportunities and ways to provide ongoing feedback (both written and informal) and encouragement to students on their strengths and areas for improvement.</w:t>
            </w:r>
          </w:p>
          <w:p w:rsidR="00B622C7" w:rsidRPr="00D05F45" w:rsidRDefault="00B622C7" w:rsidP="008C51D6">
            <w:pPr>
              <w:pStyle w:val="Tabletext"/>
            </w:pPr>
            <w:r w:rsidRPr="00F759A3">
              <w:t>Students reflect on and discuss with their teachers or peers what they can do well and what they need to improve.</w:t>
            </w:r>
          </w:p>
          <w:p w:rsidR="00B622C7" w:rsidRPr="00D05F45" w:rsidRDefault="00B622C7" w:rsidP="008C51D6">
            <w:pPr>
              <w:pStyle w:val="Tabletext"/>
            </w:pPr>
            <w:r w:rsidRPr="00F759A3">
              <w:t xml:space="preserve">Teachers reflect on and review learning opportunities to incorporate specific learning experiences and provide multiple opportunities for </w:t>
            </w:r>
            <w:r w:rsidR="00592556" w:rsidRPr="00F759A3">
              <w:t xml:space="preserve">students </w:t>
            </w:r>
            <w:r w:rsidRPr="00F759A3">
              <w:t>to experience, practise and improve.</w:t>
            </w:r>
          </w:p>
        </w:tc>
      </w:tr>
      <w:tr w:rsidR="00B622C7" w:rsidRPr="00F759A3"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F759A3" w:rsidRDefault="00B622C7" w:rsidP="00CC6607">
            <w:pPr>
              <w:pStyle w:val="Tablesubhead"/>
              <w:rPr>
                <w:lang w:eastAsia="en-AU"/>
              </w:rPr>
            </w:pPr>
            <w:r w:rsidRPr="00F759A3">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759A3" w:rsidRDefault="00B622C7" w:rsidP="008C51D6">
            <w:pPr>
              <w:pStyle w:val="Tabletext"/>
            </w:pPr>
            <w:r w:rsidRPr="00F759A3">
              <w:t>Identify what worked well during and at the end of the unit, including:</w:t>
            </w:r>
          </w:p>
          <w:p w:rsidR="00B622C7" w:rsidRPr="00D05F45" w:rsidRDefault="00B622C7" w:rsidP="008C51D6">
            <w:pPr>
              <w:pStyle w:val="Tablebullets"/>
              <w:numPr>
                <w:ilvl w:val="0"/>
                <w:numId w:val="39"/>
              </w:numPr>
              <w:ind w:left="213" w:hanging="213"/>
            </w:pPr>
            <w:r w:rsidRPr="00F759A3">
              <w:t>activities that worked well and why</w:t>
            </w:r>
          </w:p>
          <w:p w:rsidR="00B622C7" w:rsidRPr="00D05F45" w:rsidRDefault="00B622C7" w:rsidP="008C51D6">
            <w:pPr>
              <w:pStyle w:val="Tablebullets"/>
              <w:numPr>
                <w:ilvl w:val="0"/>
                <w:numId w:val="39"/>
              </w:numPr>
              <w:ind w:left="213" w:hanging="213"/>
            </w:pPr>
            <w:r w:rsidRPr="00F759A3">
              <w:t>activities that could be improved and how</w:t>
            </w:r>
          </w:p>
          <w:p w:rsidR="00B622C7" w:rsidRPr="00D05F45" w:rsidRDefault="00B622C7" w:rsidP="008C51D6">
            <w:pPr>
              <w:pStyle w:val="Tablebullets"/>
              <w:numPr>
                <w:ilvl w:val="0"/>
                <w:numId w:val="39"/>
              </w:numPr>
              <w:ind w:left="213" w:hanging="213"/>
            </w:pPr>
            <w:r w:rsidRPr="00F759A3">
              <w:t>assessment that worked well and why</w:t>
            </w:r>
          </w:p>
          <w:p w:rsidR="00B622C7" w:rsidRPr="00D05F45" w:rsidRDefault="00B622C7" w:rsidP="008C51D6">
            <w:pPr>
              <w:pStyle w:val="Tablebullets"/>
              <w:numPr>
                <w:ilvl w:val="0"/>
                <w:numId w:val="39"/>
              </w:numPr>
              <w:ind w:left="213" w:hanging="213"/>
            </w:pPr>
            <w:r w:rsidRPr="00F759A3">
              <w:t>assessment that could be improved and how</w:t>
            </w:r>
          </w:p>
          <w:p w:rsidR="00B622C7" w:rsidRPr="00D05F45" w:rsidRDefault="00B622C7" w:rsidP="008C51D6">
            <w:pPr>
              <w:pStyle w:val="Tablebullets"/>
              <w:numPr>
                <w:ilvl w:val="0"/>
                <w:numId w:val="39"/>
              </w:numPr>
              <w:ind w:left="213" w:hanging="213"/>
            </w:pPr>
            <w:r w:rsidRPr="00F759A3">
              <w:t>common student misconceptions that need, or needed, to be clarified.</w:t>
            </w:r>
          </w:p>
        </w:tc>
      </w:tr>
    </w:tbl>
    <w:p w:rsidR="00A4154C" w:rsidRPr="00F759A3" w:rsidRDefault="00A4154C" w:rsidP="008300AE"/>
    <w:sectPr w:rsidR="00A4154C" w:rsidRPr="00F759A3" w:rsidSect="00DA23E4">
      <w:footerReference w:type="even" r:id="rId50"/>
      <w:footerReference w:type="default" r:id="rId51"/>
      <w:headerReference w:type="first" r:id="rId52"/>
      <w:footerReference w:type="first" r:id="rId5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67" w:rsidRDefault="009D2C67">
      <w:r>
        <w:separator/>
      </w:r>
    </w:p>
  </w:endnote>
  <w:endnote w:type="continuationSeparator" w:id="0">
    <w:p w:rsidR="009D2C67" w:rsidRDefault="009D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Zurich Cn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19" w:rsidRDefault="00B81019"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B69DC">
      <w:rPr>
        <w:rStyle w:val="Footerbold"/>
        <w:noProof/>
      </w:rPr>
      <w:t>8</w:t>
    </w:r>
    <w:r w:rsidRPr="001947AE">
      <w:rPr>
        <w:rStyle w:val="Footerbold"/>
      </w:rPr>
      <w:fldChar w:fldCharType="end"/>
    </w:r>
    <w:r w:rsidRPr="00AA55F1">
      <w:tab/>
      <w:t>|</w:t>
    </w:r>
    <w:r w:rsidRPr="00AA55F1">
      <w:tab/>
    </w:r>
    <w:r w:rsidRPr="005213F2">
      <w:rPr>
        <w:rStyle w:val="Footerbold"/>
      </w:rPr>
      <w:t xml:space="preserve">Year </w:t>
    </w:r>
    <w:r>
      <w:rPr>
        <w:rStyle w:val="Footerbold"/>
      </w:rPr>
      <w:t>9</w:t>
    </w:r>
    <w:r w:rsidRPr="005213F2">
      <w:rPr>
        <w:rStyle w:val="Footerbold"/>
      </w:rPr>
      <w:t xml:space="preserve"> </w:t>
    </w:r>
    <w:r>
      <w:rPr>
        <w:rStyle w:val="Footerbold"/>
      </w:rPr>
      <w:t>u</w:t>
    </w:r>
    <w:r w:rsidRPr="005213F2">
      <w:rPr>
        <w:rStyle w:val="Footerbold"/>
      </w:rPr>
      <w:t>nit overview</w:t>
    </w:r>
    <w:r w:rsidR="002B6488" w:rsidRPr="002B6488">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19" w:rsidRDefault="00B81019" w:rsidP="00FA0810">
    <w:pPr>
      <w:pStyle w:val="Footerodd"/>
    </w:pPr>
    <w:r w:rsidRPr="00AA55F1">
      <w:tab/>
    </w:r>
    <w:r w:rsidRPr="001947AE">
      <w:rPr>
        <w:rStyle w:val="Footerbold"/>
      </w:rPr>
      <w:t>Queensland Studies Authority</w:t>
    </w:r>
    <w:r w:rsidR="002B6488" w:rsidRPr="002B6488">
      <w:rPr>
        <w:rStyle w:val="Footerbold"/>
      </w:rPr>
      <w:t> </w:t>
    </w:r>
    <w:r w:rsidR="002B6488">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D438D">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19" w:rsidRDefault="00DD438D" w:rsidP="003636A6">
    <w:pPr>
      <w:ind w:right="-261"/>
    </w:pPr>
    <w:r>
      <w:rPr>
        <w:noProof/>
        <w:lang w:eastAsia="en-AU"/>
      </w:rPr>
      <w:drawing>
        <wp:anchor distT="0" distB="0" distL="114300" distR="114300" simplePos="0" relativeHeight="251656704" behindDoc="1" locked="0" layoutInCell="1" allowOverlap="1">
          <wp:simplePos x="0" y="0"/>
          <wp:positionH relativeFrom="page">
            <wp:align>left</wp:align>
          </wp:positionH>
          <wp:positionV relativeFrom="page">
            <wp:align>bottom</wp:align>
          </wp:positionV>
          <wp:extent cx="7578090" cy="1089660"/>
          <wp:effectExtent l="0" t="0" r="3810" b="0"/>
          <wp:wrapNone/>
          <wp:docPr id="2"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67" w:rsidRDefault="009D2C67">
      <w:r>
        <w:separator/>
      </w:r>
    </w:p>
  </w:footnote>
  <w:footnote w:type="continuationSeparator" w:id="0">
    <w:p w:rsidR="009D2C67" w:rsidRDefault="009D2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19" w:rsidRPr="002E4C72" w:rsidRDefault="005D592B" w:rsidP="00D90209">
    <w:pPr>
      <w:rPr>
        <w:color w:val="00928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907" o:spid="_x0000_s2049" type="#_x0000_t136" style="position:absolute;margin-left:0;margin-top:0;width:578.55pt;height:60.9pt;rotation:315;z-index:-251657728;mso-position-horizontal:center;mso-position-horizontal-relative:margin;mso-position-vertical:center;mso-position-vertical-relative:margin" o:allowincell="f" fillcolor="#7f7f7f" stroked="f">
          <v:fill opacity=".5"/>
          <v:textpath style="font-family:&quot;Arial&quot;;font-size:1pt" string="Draft-in-Development"/>
          <w10:wrap anchorx="margin" anchory="margin"/>
        </v:shape>
      </w:pict>
    </w:r>
    <w:r w:rsidR="00DD438D">
      <w:rPr>
        <w:noProof/>
        <w:lang w:eastAsia="en-AU"/>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662545" cy="1226820"/>
          <wp:effectExtent l="0" t="0" r="0" b="0"/>
          <wp:wrapNone/>
          <wp:docPr id="3"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B81019" w:rsidTr="004E0C69">
      <w:tc>
        <w:tcPr>
          <w:tcW w:w="10450" w:type="dxa"/>
          <w:shd w:val="clear" w:color="auto" w:fill="auto"/>
        </w:tcPr>
        <w:p w:rsidR="00B81019" w:rsidRPr="00F561C0" w:rsidRDefault="00B81019" w:rsidP="00F561C0">
          <w:r w:rsidRPr="00F561C0">
            <w:t>Insert fact sheet title</w:t>
          </w:r>
        </w:p>
        <w:p w:rsidR="00B81019" w:rsidRPr="00F561C0" w:rsidRDefault="00B81019" w:rsidP="00F561C0">
          <w:r w:rsidRPr="00F561C0">
            <w:t>Insert fact sheet subtitle (if necessary)</w:t>
          </w:r>
        </w:p>
        <w:p w:rsidR="00B81019" w:rsidRPr="004E0C69" w:rsidRDefault="00B81019" w:rsidP="004E0C69">
          <w:pPr>
            <w:tabs>
              <w:tab w:val="left" w:pos="-110"/>
              <w:tab w:val="left" w:pos="220"/>
            </w:tabs>
            <w:ind w:left="-437"/>
            <w:rPr>
              <w:color w:val="00928F"/>
              <w:szCs w:val="16"/>
            </w:rPr>
          </w:pPr>
        </w:p>
      </w:tc>
    </w:tr>
  </w:tbl>
  <w:p w:rsidR="00B81019" w:rsidRPr="00954490" w:rsidRDefault="00B8101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4B5CF5"/>
    <w:multiLevelType w:val="hybridMultilevel"/>
    <w:tmpl w:val="FFAE4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5129F3"/>
    <w:multiLevelType w:val="hybridMultilevel"/>
    <w:tmpl w:val="29C01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F402400"/>
    <w:multiLevelType w:val="hybridMultilevel"/>
    <w:tmpl w:val="9176FFEE"/>
    <w:lvl w:ilvl="0" w:tplc="C57A69A2">
      <w:start w:val="1"/>
      <w:numFmt w:val="bullet"/>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3E1748"/>
    <w:multiLevelType w:val="hybridMultilevel"/>
    <w:tmpl w:val="9A64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5738B8"/>
    <w:multiLevelType w:val="hybridMultilevel"/>
    <w:tmpl w:val="A66ACDF8"/>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0">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C51640"/>
    <w:multiLevelType w:val="hybridMultilevel"/>
    <w:tmpl w:val="AADE7A76"/>
    <w:lvl w:ilvl="0" w:tplc="CF06A95C">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5E4F5051"/>
    <w:multiLevelType w:val="hybridMultilevel"/>
    <w:tmpl w:val="2B60575E"/>
    <w:lvl w:ilvl="0" w:tplc="21762F00">
      <w:start w:val="1"/>
      <w:numFmt w:val="bullet"/>
      <w:pStyle w:val="GCCbullets"/>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5">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66155D2"/>
    <w:multiLevelType w:val="hybridMultilevel"/>
    <w:tmpl w:val="3CC6E32A"/>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71CD9"/>
    <w:multiLevelType w:val="hybridMultilevel"/>
    <w:tmpl w:val="BF6648D4"/>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A8767B"/>
    <w:multiLevelType w:val="hybridMultilevel"/>
    <w:tmpl w:val="4DFE7492"/>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nsid w:val="75C31D23"/>
    <w:multiLevelType w:val="hybridMultilevel"/>
    <w:tmpl w:val="0CBE4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0418D0"/>
    <w:multiLevelType w:val="singleLevel"/>
    <w:tmpl w:val="C00AB7B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32">
    <w:nsid w:val="797A0C14"/>
    <w:multiLevelType w:val="hybridMultilevel"/>
    <w:tmpl w:val="1B282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CB915E2"/>
    <w:multiLevelType w:val="hybridMultilevel"/>
    <w:tmpl w:val="8C2286C6"/>
    <w:lvl w:ilvl="0" w:tplc="DBB65D9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20"/>
  </w:num>
  <w:num w:numId="4">
    <w:abstractNumId w:val="10"/>
  </w:num>
  <w:num w:numId="5">
    <w:abstractNumId w:val="9"/>
  </w:num>
  <w:num w:numId="6">
    <w:abstractNumId w:val="18"/>
  </w:num>
  <w:num w:numId="7">
    <w:abstractNumId w:val="31"/>
  </w:num>
  <w:num w:numId="8">
    <w:abstractNumId w:val="2"/>
  </w:num>
  <w:num w:numId="9">
    <w:abstractNumId w:val="24"/>
  </w:num>
  <w:num w:numId="10">
    <w:abstractNumId w:val="15"/>
  </w:num>
  <w:num w:numId="11">
    <w:abstractNumId w:val="29"/>
  </w:num>
  <w:num w:numId="12">
    <w:abstractNumId w:val="17"/>
  </w:num>
  <w:num w:numId="13">
    <w:abstractNumId w:val="4"/>
  </w:num>
  <w:num w:numId="14">
    <w:abstractNumId w:val="20"/>
  </w:num>
  <w:num w:numId="15">
    <w:abstractNumId w:val="10"/>
  </w:num>
  <w:num w:numId="16">
    <w:abstractNumId w:val="9"/>
  </w:num>
  <w:num w:numId="17">
    <w:abstractNumId w:val="9"/>
  </w:num>
  <w:num w:numId="18">
    <w:abstractNumId w:val="9"/>
  </w:num>
  <w:num w:numId="19">
    <w:abstractNumId w:val="9"/>
  </w:num>
  <w:num w:numId="20">
    <w:abstractNumId w:val="9"/>
  </w:num>
  <w:num w:numId="21">
    <w:abstractNumId w:val="18"/>
  </w:num>
  <w:num w:numId="22">
    <w:abstractNumId w:val="18"/>
  </w:num>
  <w:num w:numId="23">
    <w:abstractNumId w:val="18"/>
  </w:num>
  <w:num w:numId="24">
    <w:abstractNumId w:val="31"/>
  </w:num>
  <w:num w:numId="25">
    <w:abstractNumId w:val="2"/>
  </w:num>
  <w:num w:numId="26">
    <w:abstractNumId w:val="24"/>
  </w:num>
  <w:num w:numId="27">
    <w:abstractNumId w:val="5"/>
  </w:num>
  <w:num w:numId="28">
    <w:abstractNumId w:val="14"/>
  </w:num>
  <w:num w:numId="29">
    <w:abstractNumId w:val="25"/>
  </w:num>
  <w:num w:numId="30">
    <w:abstractNumId w:val="8"/>
  </w:num>
  <w:num w:numId="31">
    <w:abstractNumId w:val="0"/>
  </w:num>
  <w:num w:numId="32">
    <w:abstractNumId w:val="19"/>
  </w:num>
  <w:num w:numId="33">
    <w:abstractNumId w:val="7"/>
  </w:num>
  <w:num w:numId="34">
    <w:abstractNumId w:val="33"/>
  </w:num>
  <w:num w:numId="35">
    <w:abstractNumId w:val="21"/>
  </w:num>
  <w:num w:numId="36">
    <w:abstractNumId w:val="11"/>
  </w:num>
  <w:num w:numId="37">
    <w:abstractNumId w:val="16"/>
  </w:num>
  <w:num w:numId="38">
    <w:abstractNumId w:val="31"/>
  </w:num>
  <w:num w:numId="39">
    <w:abstractNumId w:val="28"/>
  </w:num>
  <w:num w:numId="40">
    <w:abstractNumId w:val="31"/>
  </w:num>
  <w:num w:numId="41">
    <w:abstractNumId w:val="26"/>
  </w:num>
  <w:num w:numId="42">
    <w:abstractNumId w:val="23"/>
  </w:num>
  <w:num w:numId="43">
    <w:abstractNumId w:val="30"/>
  </w:num>
  <w:num w:numId="44">
    <w:abstractNumId w:val="22"/>
  </w:num>
  <w:num w:numId="45">
    <w:abstractNumId w:val="27"/>
  </w:num>
  <w:num w:numId="46">
    <w:abstractNumId w:val="13"/>
  </w:num>
  <w:num w:numId="47">
    <w:abstractNumId w:val="1"/>
  </w:num>
  <w:num w:numId="48">
    <w:abstractNumId w:val="32"/>
  </w:num>
  <w:num w:numId="49">
    <w:abstractNumId w:val="3"/>
  </w:num>
  <w:num w:numId="50">
    <w:abstractNumId w:val="12"/>
  </w:num>
  <w:num w:numId="51">
    <w:abstractNumId w:val="6"/>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8C"/>
    <w:rsid w:val="00001BD9"/>
    <w:rsid w:val="00001DE7"/>
    <w:rsid w:val="00010D2D"/>
    <w:rsid w:val="00025D91"/>
    <w:rsid w:val="00030333"/>
    <w:rsid w:val="00030551"/>
    <w:rsid w:val="00032413"/>
    <w:rsid w:val="00033DBD"/>
    <w:rsid w:val="00034A45"/>
    <w:rsid w:val="00035203"/>
    <w:rsid w:val="00042417"/>
    <w:rsid w:val="00042CCA"/>
    <w:rsid w:val="00043015"/>
    <w:rsid w:val="00046924"/>
    <w:rsid w:val="0006205A"/>
    <w:rsid w:val="000658BE"/>
    <w:rsid w:val="00066A6D"/>
    <w:rsid w:val="00067264"/>
    <w:rsid w:val="00073A08"/>
    <w:rsid w:val="0007560B"/>
    <w:rsid w:val="000834F5"/>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E70FE"/>
    <w:rsid w:val="000F1EC4"/>
    <w:rsid w:val="000F76EF"/>
    <w:rsid w:val="001029DB"/>
    <w:rsid w:val="00115C68"/>
    <w:rsid w:val="0011610B"/>
    <w:rsid w:val="00116D6E"/>
    <w:rsid w:val="00121469"/>
    <w:rsid w:val="00124A32"/>
    <w:rsid w:val="00130772"/>
    <w:rsid w:val="00135C0D"/>
    <w:rsid w:val="00140672"/>
    <w:rsid w:val="00140938"/>
    <w:rsid w:val="00145904"/>
    <w:rsid w:val="00146580"/>
    <w:rsid w:val="0015354A"/>
    <w:rsid w:val="001551A7"/>
    <w:rsid w:val="00155D4F"/>
    <w:rsid w:val="00156CB0"/>
    <w:rsid w:val="00160458"/>
    <w:rsid w:val="001703E9"/>
    <w:rsid w:val="001711DE"/>
    <w:rsid w:val="00171E44"/>
    <w:rsid w:val="001739A8"/>
    <w:rsid w:val="00177A03"/>
    <w:rsid w:val="00186714"/>
    <w:rsid w:val="001947AE"/>
    <w:rsid w:val="001975A9"/>
    <w:rsid w:val="001A3304"/>
    <w:rsid w:val="001A51A3"/>
    <w:rsid w:val="001A7D7B"/>
    <w:rsid w:val="001C11BE"/>
    <w:rsid w:val="001C6D32"/>
    <w:rsid w:val="001D6C85"/>
    <w:rsid w:val="001E1961"/>
    <w:rsid w:val="001E4C27"/>
    <w:rsid w:val="001F1CE1"/>
    <w:rsid w:val="001F2178"/>
    <w:rsid w:val="001F6BE3"/>
    <w:rsid w:val="001F6C01"/>
    <w:rsid w:val="001F78F8"/>
    <w:rsid w:val="00200478"/>
    <w:rsid w:val="002008B6"/>
    <w:rsid w:val="0020301A"/>
    <w:rsid w:val="002034C8"/>
    <w:rsid w:val="00205D97"/>
    <w:rsid w:val="00207832"/>
    <w:rsid w:val="00210577"/>
    <w:rsid w:val="00221C9C"/>
    <w:rsid w:val="00223BD7"/>
    <w:rsid w:val="00227B1B"/>
    <w:rsid w:val="00230B64"/>
    <w:rsid w:val="00233BB5"/>
    <w:rsid w:val="00234025"/>
    <w:rsid w:val="00236B88"/>
    <w:rsid w:val="002377E9"/>
    <w:rsid w:val="00240591"/>
    <w:rsid w:val="00260103"/>
    <w:rsid w:val="00263B4A"/>
    <w:rsid w:val="00274EBE"/>
    <w:rsid w:val="00277ADC"/>
    <w:rsid w:val="00285E96"/>
    <w:rsid w:val="0028641F"/>
    <w:rsid w:val="00286A7F"/>
    <w:rsid w:val="00290C2F"/>
    <w:rsid w:val="00292FF4"/>
    <w:rsid w:val="002A15CB"/>
    <w:rsid w:val="002A67FA"/>
    <w:rsid w:val="002A77D3"/>
    <w:rsid w:val="002B6488"/>
    <w:rsid w:val="002B66CD"/>
    <w:rsid w:val="002C0575"/>
    <w:rsid w:val="002C1F67"/>
    <w:rsid w:val="002C21E6"/>
    <w:rsid w:val="002C3949"/>
    <w:rsid w:val="002C39FA"/>
    <w:rsid w:val="002D23BF"/>
    <w:rsid w:val="002D276F"/>
    <w:rsid w:val="002D290F"/>
    <w:rsid w:val="002D7859"/>
    <w:rsid w:val="002E4C72"/>
    <w:rsid w:val="002E5DB1"/>
    <w:rsid w:val="002F25CE"/>
    <w:rsid w:val="002F33A4"/>
    <w:rsid w:val="002F3798"/>
    <w:rsid w:val="003001E6"/>
    <w:rsid w:val="003044FC"/>
    <w:rsid w:val="0031614F"/>
    <w:rsid w:val="00330CF7"/>
    <w:rsid w:val="003406AC"/>
    <w:rsid w:val="00346429"/>
    <w:rsid w:val="00346D3E"/>
    <w:rsid w:val="00346E9C"/>
    <w:rsid w:val="00352F3A"/>
    <w:rsid w:val="003547DB"/>
    <w:rsid w:val="0036333C"/>
    <w:rsid w:val="003636A6"/>
    <w:rsid w:val="00364E09"/>
    <w:rsid w:val="00365706"/>
    <w:rsid w:val="003664A3"/>
    <w:rsid w:val="00372E92"/>
    <w:rsid w:val="00374483"/>
    <w:rsid w:val="00393E8B"/>
    <w:rsid w:val="0039537C"/>
    <w:rsid w:val="00396C14"/>
    <w:rsid w:val="003A7415"/>
    <w:rsid w:val="003B07B0"/>
    <w:rsid w:val="003C2CDD"/>
    <w:rsid w:val="003C5172"/>
    <w:rsid w:val="003C6914"/>
    <w:rsid w:val="003D7CEA"/>
    <w:rsid w:val="003E0E83"/>
    <w:rsid w:val="003E26E0"/>
    <w:rsid w:val="003E62B0"/>
    <w:rsid w:val="003F1A88"/>
    <w:rsid w:val="003F1B1C"/>
    <w:rsid w:val="003F65E2"/>
    <w:rsid w:val="004005C2"/>
    <w:rsid w:val="00405A80"/>
    <w:rsid w:val="004100FC"/>
    <w:rsid w:val="00415B31"/>
    <w:rsid w:val="004167A6"/>
    <w:rsid w:val="00417E9D"/>
    <w:rsid w:val="004237ED"/>
    <w:rsid w:val="00423A60"/>
    <w:rsid w:val="00433BEC"/>
    <w:rsid w:val="00443976"/>
    <w:rsid w:val="00444AAF"/>
    <w:rsid w:val="004456BE"/>
    <w:rsid w:val="004475C0"/>
    <w:rsid w:val="0045314A"/>
    <w:rsid w:val="00455603"/>
    <w:rsid w:val="00456DE6"/>
    <w:rsid w:val="00460455"/>
    <w:rsid w:val="00470904"/>
    <w:rsid w:val="00471E3A"/>
    <w:rsid w:val="00472DDE"/>
    <w:rsid w:val="004730FF"/>
    <w:rsid w:val="00474CDB"/>
    <w:rsid w:val="00475EF5"/>
    <w:rsid w:val="00475F85"/>
    <w:rsid w:val="00481D7C"/>
    <w:rsid w:val="00483F3B"/>
    <w:rsid w:val="00487176"/>
    <w:rsid w:val="00490BAB"/>
    <w:rsid w:val="004A1196"/>
    <w:rsid w:val="004A2506"/>
    <w:rsid w:val="004A3149"/>
    <w:rsid w:val="004A60BB"/>
    <w:rsid w:val="004A63FF"/>
    <w:rsid w:val="004A69B7"/>
    <w:rsid w:val="004A6B37"/>
    <w:rsid w:val="004B2FEA"/>
    <w:rsid w:val="004C146C"/>
    <w:rsid w:val="004C3954"/>
    <w:rsid w:val="004C43C1"/>
    <w:rsid w:val="004C572F"/>
    <w:rsid w:val="004C7384"/>
    <w:rsid w:val="004D04F0"/>
    <w:rsid w:val="004D19DD"/>
    <w:rsid w:val="004E0C69"/>
    <w:rsid w:val="004E5C44"/>
    <w:rsid w:val="004F365A"/>
    <w:rsid w:val="004F36D4"/>
    <w:rsid w:val="004F3B8B"/>
    <w:rsid w:val="004F6801"/>
    <w:rsid w:val="004F6974"/>
    <w:rsid w:val="005052ED"/>
    <w:rsid w:val="0052010F"/>
    <w:rsid w:val="005213F2"/>
    <w:rsid w:val="0052313B"/>
    <w:rsid w:val="00532DA1"/>
    <w:rsid w:val="00537D1B"/>
    <w:rsid w:val="00544562"/>
    <w:rsid w:val="00545B63"/>
    <w:rsid w:val="0055092E"/>
    <w:rsid w:val="00554B10"/>
    <w:rsid w:val="005632AE"/>
    <w:rsid w:val="005678C2"/>
    <w:rsid w:val="00571B51"/>
    <w:rsid w:val="00576206"/>
    <w:rsid w:val="00587570"/>
    <w:rsid w:val="00592556"/>
    <w:rsid w:val="00596A35"/>
    <w:rsid w:val="005A29D0"/>
    <w:rsid w:val="005A3499"/>
    <w:rsid w:val="005A6DDB"/>
    <w:rsid w:val="005C0F27"/>
    <w:rsid w:val="005C5B93"/>
    <w:rsid w:val="005C68F1"/>
    <w:rsid w:val="005C7538"/>
    <w:rsid w:val="005D0462"/>
    <w:rsid w:val="005D333E"/>
    <w:rsid w:val="005D592B"/>
    <w:rsid w:val="005D7E39"/>
    <w:rsid w:val="005E1659"/>
    <w:rsid w:val="005E1AD6"/>
    <w:rsid w:val="005E559E"/>
    <w:rsid w:val="005E6236"/>
    <w:rsid w:val="005E70B4"/>
    <w:rsid w:val="005F1C74"/>
    <w:rsid w:val="005F397C"/>
    <w:rsid w:val="005F7BF6"/>
    <w:rsid w:val="00604E1C"/>
    <w:rsid w:val="00605135"/>
    <w:rsid w:val="00605DC0"/>
    <w:rsid w:val="00617E11"/>
    <w:rsid w:val="00622801"/>
    <w:rsid w:val="00622EEE"/>
    <w:rsid w:val="006244B0"/>
    <w:rsid w:val="00632199"/>
    <w:rsid w:val="00635D79"/>
    <w:rsid w:val="00642462"/>
    <w:rsid w:val="00643FEC"/>
    <w:rsid w:val="00644575"/>
    <w:rsid w:val="00644EF5"/>
    <w:rsid w:val="00647CC6"/>
    <w:rsid w:val="00647EC8"/>
    <w:rsid w:val="00660414"/>
    <w:rsid w:val="00663292"/>
    <w:rsid w:val="0066391B"/>
    <w:rsid w:val="00666793"/>
    <w:rsid w:val="00677730"/>
    <w:rsid w:val="00677F9B"/>
    <w:rsid w:val="00681499"/>
    <w:rsid w:val="00686DF2"/>
    <w:rsid w:val="00687891"/>
    <w:rsid w:val="00687F39"/>
    <w:rsid w:val="00696083"/>
    <w:rsid w:val="006A03B7"/>
    <w:rsid w:val="006A5222"/>
    <w:rsid w:val="006A6651"/>
    <w:rsid w:val="006B22CB"/>
    <w:rsid w:val="006B57D6"/>
    <w:rsid w:val="006B6B74"/>
    <w:rsid w:val="006B708E"/>
    <w:rsid w:val="006C7B26"/>
    <w:rsid w:val="006D16DA"/>
    <w:rsid w:val="006E229B"/>
    <w:rsid w:val="006E62F6"/>
    <w:rsid w:val="006F389D"/>
    <w:rsid w:val="006F6BFB"/>
    <w:rsid w:val="00704F62"/>
    <w:rsid w:val="00705C18"/>
    <w:rsid w:val="00707D7E"/>
    <w:rsid w:val="007108E8"/>
    <w:rsid w:val="00711051"/>
    <w:rsid w:val="007211E7"/>
    <w:rsid w:val="00722885"/>
    <w:rsid w:val="00722EF6"/>
    <w:rsid w:val="00726039"/>
    <w:rsid w:val="00727790"/>
    <w:rsid w:val="007322C6"/>
    <w:rsid w:val="00733813"/>
    <w:rsid w:val="00737522"/>
    <w:rsid w:val="00737DC6"/>
    <w:rsid w:val="007501DA"/>
    <w:rsid w:val="0075321B"/>
    <w:rsid w:val="007562C5"/>
    <w:rsid w:val="00777A52"/>
    <w:rsid w:val="00782A0C"/>
    <w:rsid w:val="00783EF7"/>
    <w:rsid w:val="00791E9D"/>
    <w:rsid w:val="0079287A"/>
    <w:rsid w:val="00795430"/>
    <w:rsid w:val="007A570B"/>
    <w:rsid w:val="007B1E7A"/>
    <w:rsid w:val="007B343C"/>
    <w:rsid w:val="007B69DC"/>
    <w:rsid w:val="007E09A8"/>
    <w:rsid w:val="007E14E8"/>
    <w:rsid w:val="007F2AF1"/>
    <w:rsid w:val="007F3637"/>
    <w:rsid w:val="007F5888"/>
    <w:rsid w:val="00801CCA"/>
    <w:rsid w:val="008035EA"/>
    <w:rsid w:val="00805812"/>
    <w:rsid w:val="008068E1"/>
    <w:rsid w:val="008108D8"/>
    <w:rsid w:val="00814D15"/>
    <w:rsid w:val="008248FF"/>
    <w:rsid w:val="00825079"/>
    <w:rsid w:val="008300AE"/>
    <w:rsid w:val="008331B9"/>
    <w:rsid w:val="008338F8"/>
    <w:rsid w:val="008406A0"/>
    <w:rsid w:val="00842772"/>
    <w:rsid w:val="00842D41"/>
    <w:rsid w:val="0085050C"/>
    <w:rsid w:val="008721B3"/>
    <w:rsid w:val="00881EFD"/>
    <w:rsid w:val="0088630F"/>
    <w:rsid w:val="0089026E"/>
    <w:rsid w:val="00893925"/>
    <w:rsid w:val="00893B6D"/>
    <w:rsid w:val="00895126"/>
    <w:rsid w:val="008A12B0"/>
    <w:rsid w:val="008A1957"/>
    <w:rsid w:val="008A31C9"/>
    <w:rsid w:val="008C4F74"/>
    <w:rsid w:val="008C51D6"/>
    <w:rsid w:val="008C78DF"/>
    <w:rsid w:val="008D061D"/>
    <w:rsid w:val="008D28C8"/>
    <w:rsid w:val="008D322D"/>
    <w:rsid w:val="008D55A1"/>
    <w:rsid w:val="008E05BD"/>
    <w:rsid w:val="008E1D6A"/>
    <w:rsid w:val="008F2C5C"/>
    <w:rsid w:val="00901F09"/>
    <w:rsid w:val="00905E95"/>
    <w:rsid w:val="00906F19"/>
    <w:rsid w:val="00907C83"/>
    <w:rsid w:val="00912EE6"/>
    <w:rsid w:val="00933AC0"/>
    <w:rsid w:val="00934023"/>
    <w:rsid w:val="0094644D"/>
    <w:rsid w:val="00952A73"/>
    <w:rsid w:val="00954490"/>
    <w:rsid w:val="00954542"/>
    <w:rsid w:val="00961EE1"/>
    <w:rsid w:val="00962F1D"/>
    <w:rsid w:val="00967C53"/>
    <w:rsid w:val="0097214C"/>
    <w:rsid w:val="00980DE3"/>
    <w:rsid w:val="00987336"/>
    <w:rsid w:val="009915CF"/>
    <w:rsid w:val="00994A45"/>
    <w:rsid w:val="0099576A"/>
    <w:rsid w:val="00997F6F"/>
    <w:rsid w:val="009A2E8A"/>
    <w:rsid w:val="009A4FDB"/>
    <w:rsid w:val="009A5922"/>
    <w:rsid w:val="009B25E8"/>
    <w:rsid w:val="009C39B5"/>
    <w:rsid w:val="009C7A4E"/>
    <w:rsid w:val="009D2C67"/>
    <w:rsid w:val="009E10C7"/>
    <w:rsid w:val="009E5523"/>
    <w:rsid w:val="009E55EE"/>
    <w:rsid w:val="009F0A43"/>
    <w:rsid w:val="009F6910"/>
    <w:rsid w:val="009F6B3E"/>
    <w:rsid w:val="009F6FAE"/>
    <w:rsid w:val="009F7DCE"/>
    <w:rsid w:val="00A002C7"/>
    <w:rsid w:val="00A0129D"/>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46A5"/>
    <w:rsid w:val="00A7585D"/>
    <w:rsid w:val="00A776EE"/>
    <w:rsid w:val="00A84C34"/>
    <w:rsid w:val="00A84EFE"/>
    <w:rsid w:val="00A8733F"/>
    <w:rsid w:val="00A9101E"/>
    <w:rsid w:val="00A93A2E"/>
    <w:rsid w:val="00AA00F0"/>
    <w:rsid w:val="00AA5CB0"/>
    <w:rsid w:val="00AB75A7"/>
    <w:rsid w:val="00AB7E76"/>
    <w:rsid w:val="00AC46E8"/>
    <w:rsid w:val="00AC482D"/>
    <w:rsid w:val="00AE3F73"/>
    <w:rsid w:val="00AE7F34"/>
    <w:rsid w:val="00AF5074"/>
    <w:rsid w:val="00AF543B"/>
    <w:rsid w:val="00AF7910"/>
    <w:rsid w:val="00B02A7A"/>
    <w:rsid w:val="00B04CEE"/>
    <w:rsid w:val="00B05173"/>
    <w:rsid w:val="00B101E4"/>
    <w:rsid w:val="00B13144"/>
    <w:rsid w:val="00B34144"/>
    <w:rsid w:val="00B42936"/>
    <w:rsid w:val="00B4591B"/>
    <w:rsid w:val="00B56219"/>
    <w:rsid w:val="00B57D25"/>
    <w:rsid w:val="00B622C7"/>
    <w:rsid w:val="00B62B64"/>
    <w:rsid w:val="00B62E37"/>
    <w:rsid w:val="00B72C73"/>
    <w:rsid w:val="00B81019"/>
    <w:rsid w:val="00B84A97"/>
    <w:rsid w:val="00B85A66"/>
    <w:rsid w:val="00B94A92"/>
    <w:rsid w:val="00B96411"/>
    <w:rsid w:val="00B9743F"/>
    <w:rsid w:val="00BA5999"/>
    <w:rsid w:val="00BA5AF0"/>
    <w:rsid w:val="00BA62FB"/>
    <w:rsid w:val="00BB200B"/>
    <w:rsid w:val="00BC3210"/>
    <w:rsid w:val="00BC6005"/>
    <w:rsid w:val="00BC7A1D"/>
    <w:rsid w:val="00BD0790"/>
    <w:rsid w:val="00BF12DF"/>
    <w:rsid w:val="00C032ED"/>
    <w:rsid w:val="00C05D8C"/>
    <w:rsid w:val="00C0652E"/>
    <w:rsid w:val="00C06B50"/>
    <w:rsid w:val="00C06D7B"/>
    <w:rsid w:val="00C17C5D"/>
    <w:rsid w:val="00C2691B"/>
    <w:rsid w:val="00C313F2"/>
    <w:rsid w:val="00C32150"/>
    <w:rsid w:val="00C3297E"/>
    <w:rsid w:val="00C368BA"/>
    <w:rsid w:val="00C4086D"/>
    <w:rsid w:val="00C42C8E"/>
    <w:rsid w:val="00C44783"/>
    <w:rsid w:val="00C45ABF"/>
    <w:rsid w:val="00C466B4"/>
    <w:rsid w:val="00C518D4"/>
    <w:rsid w:val="00C52CEF"/>
    <w:rsid w:val="00C61DBF"/>
    <w:rsid w:val="00C6459D"/>
    <w:rsid w:val="00C66DDE"/>
    <w:rsid w:val="00C70F72"/>
    <w:rsid w:val="00C74A06"/>
    <w:rsid w:val="00C80AA2"/>
    <w:rsid w:val="00C832FB"/>
    <w:rsid w:val="00C8500A"/>
    <w:rsid w:val="00C8736D"/>
    <w:rsid w:val="00C90DCF"/>
    <w:rsid w:val="00C94036"/>
    <w:rsid w:val="00CA057C"/>
    <w:rsid w:val="00CA11A8"/>
    <w:rsid w:val="00CA163F"/>
    <w:rsid w:val="00CC1119"/>
    <w:rsid w:val="00CC1967"/>
    <w:rsid w:val="00CC1BEC"/>
    <w:rsid w:val="00CC3D59"/>
    <w:rsid w:val="00CC59A0"/>
    <w:rsid w:val="00CC6607"/>
    <w:rsid w:val="00CC76F5"/>
    <w:rsid w:val="00CD553C"/>
    <w:rsid w:val="00CD7584"/>
    <w:rsid w:val="00CE1AC5"/>
    <w:rsid w:val="00CE5415"/>
    <w:rsid w:val="00CE5BCF"/>
    <w:rsid w:val="00CF0F03"/>
    <w:rsid w:val="00CF1348"/>
    <w:rsid w:val="00CF3501"/>
    <w:rsid w:val="00CF525B"/>
    <w:rsid w:val="00D01547"/>
    <w:rsid w:val="00D02E2F"/>
    <w:rsid w:val="00D05F45"/>
    <w:rsid w:val="00D1265B"/>
    <w:rsid w:val="00D140B9"/>
    <w:rsid w:val="00D14778"/>
    <w:rsid w:val="00D14D37"/>
    <w:rsid w:val="00D15107"/>
    <w:rsid w:val="00D16AEA"/>
    <w:rsid w:val="00D1758B"/>
    <w:rsid w:val="00D22FF0"/>
    <w:rsid w:val="00D256AF"/>
    <w:rsid w:val="00D25DD6"/>
    <w:rsid w:val="00D31800"/>
    <w:rsid w:val="00D32FF2"/>
    <w:rsid w:val="00D3575B"/>
    <w:rsid w:val="00D368B1"/>
    <w:rsid w:val="00D4001D"/>
    <w:rsid w:val="00D41726"/>
    <w:rsid w:val="00D43C31"/>
    <w:rsid w:val="00D61A21"/>
    <w:rsid w:val="00D6503F"/>
    <w:rsid w:val="00D71B49"/>
    <w:rsid w:val="00D75580"/>
    <w:rsid w:val="00D84A6F"/>
    <w:rsid w:val="00D8768B"/>
    <w:rsid w:val="00D87F03"/>
    <w:rsid w:val="00D90209"/>
    <w:rsid w:val="00DA09C4"/>
    <w:rsid w:val="00DA23E4"/>
    <w:rsid w:val="00DA2605"/>
    <w:rsid w:val="00DA3A7B"/>
    <w:rsid w:val="00DA3F5B"/>
    <w:rsid w:val="00DA4B94"/>
    <w:rsid w:val="00DA4DBE"/>
    <w:rsid w:val="00DB46BC"/>
    <w:rsid w:val="00DB5734"/>
    <w:rsid w:val="00DC2DC8"/>
    <w:rsid w:val="00DC4258"/>
    <w:rsid w:val="00DC565A"/>
    <w:rsid w:val="00DD438D"/>
    <w:rsid w:val="00DD721B"/>
    <w:rsid w:val="00DD75F1"/>
    <w:rsid w:val="00DD7720"/>
    <w:rsid w:val="00DE2DC2"/>
    <w:rsid w:val="00DE3E6E"/>
    <w:rsid w:val="00DE4B3F"/>
    <w:rsid w:val="00DE56EA"/>
    <w:rsid w:val="00DE7B47"/>
    <w:rsid w:val="00DF08A9"/>
    <w:rsid w:val="00DF599D"/>
    <w:rsid w:val="00DF7381"/>
    <w:rsid w:val="00E17A1F"/>
    <w:rsid w:val="00E222C1"/>
    <w:rsid w:val="00E2355E"/>
    <w:rsid w:val="00E24044"/>
    <w:rsid w:val="00E25AFD"/>
    <w:rsid w:val="00E37EC9"/>
    <w:rsid w:val="00E411C4"/>
    <w:rsid w:val="00E4148E"/>
    <w:rsid w:val="00E450BE"/>
    <w:rsid w:val="00E45D49"/>
    <w:rsid w:val="00E515B0"/>
    <w:rsid w:val="00E71123"/>
    <w:rsid w:val="00E80F35"/>
    <w:rsid w:val="00E83BAD"/>
    <w:rsid w:val="00E925E1"/>
    <w:rsid w:val="00E965F1"/>
    <w:rsid w:val="00EB4E34"/>
    <w:rsid w:val="00EC2B44"/>
    <w:rsid w:val="00EC46AF"/>
    <w:rsid w:val="00EC4AC7"/>
    <w:rsid w:val="00EC7E25"/>
    <w:rsid w:val="00ED6C05"/>
    <w:rsid w:val="00EE0AFE"/>
    <w:rsid w:val="00EE2DC7"/>
    <w:rsid w:val="00EF12C0"/>
    <w:rsid w:val="00EF5123"/>
    <w:rsid w:val="00EF6041"/>
    <w:rsid w:val="00EF6A81"/>
    <w:rsid w:val="00F04407"/>
    <w:rsid w:val="00F07D6F"/>
    <w:rsid w:val="00F11918"/>
    <w:rsid w:val="00F142C3"/>
    <w:rsid w:val="00F15F9A"/>
    <w:rsid w:val="00F16C34"/>
    <w:rsid w:val="00F24A94"/>
    <w:rsid w:val="00F30500"/>
    <w:rsid w:val="00F3327C"/>
    <w:rsid w:val="00F4206B"/>
    <w:rsid w:val="00F43651"/>
    <w:rsid w:val="00F502AA"/>
    <w:rsid w:val="00F54247"/>
    <w:rsid w:val="00F551FC"/>
    <w:rsid w:val="00F561C0"/>
    <w:rsid w:val="00F662FF"/>
    <w:rsid w:val="00F7378C"/>
    <w:rsid w:val="00F744DD"/>
    <w:rsid w:val="00F759A3"/>
    <w:rsid w:val="00F777BC"/>
    <w:rsid w:val="00F8272A"/>
    <w:rsid w:val="00F8588C"/>
    <w:rsid w:val="00F91C00"/>
    <w:rsid w:val="00F946C4"/>
    <w:rsid w:val="00F96E23"/>
    <w:rsid w:val="00F97316"/>
    <w:rsid w:val="00F97D9D"/>
    <w:rsid w:val="00FA0595"/>
    <w:rsid w:val="00FA0810"/>
    <w:rsid w:val="00FA3F01"/>
    <w:rsid w:val="00FA449E"/>
    <w:rsid w:val="00FA4C69"/>
    <w:rsid w:val="00FB1D8F"/>
    <w:rsid w:val="00FB2D70"/>
    <w:rsid w:val="00FB2FAF"/>
    <w:rsid w:val="00FB3688"/>
    <w:rsid w:val="00FB69DC"/>
    <w:rsid w:val="00FC195A"/>
    <w:rsid w:val="00FC4958"/>
    <w:rsid w:val="00FD01ED"/>
    <w:rsid w:val="00FE09CB"/>
    <w:rsid w:val="00FE640E"/>
    <w:rsid w:val="00FF16A4"/>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62280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62280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bullet">
    <w:name w:val="bullet"/>
    <w:basedOn w:val="Normal"/>
    <w:rsid w:val="005A3499"/>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5A3499"/>
    <w:rPr>
      <w:rFonts w:ascii="Arial" w:hAnsi="Arial" w:cs="Zurich Cn BT"/>
      <w:i/>
      <w:iCs/>
      <w:color w:val="000000"/>
      <w:sz w:val="18"/>
      <w:lang w:val="en-GB"/>
    </w:rPr>
  </w:style>
  <w:style w:type="paragraph" w:customStyle="1" w:styleId="exampletext">
    <w:name w:val="example text"/>
    <w:basedOn w:val="Normal"/>
    <w:link w:val="exampletextChar"/>
    <w:rsid w:val="005A3499"/>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ListParagraph">
    <w:name w:val="List Paragraph"/>
    <w:basedOn w:val="Normal"/>
    <w:uiPriority w:val="34"/>
    <w:qFormat/>
    <w:rsid w:val="00FF16A4"/>
    <w:pPr>
      <w:ind w:left="720"/>
      <w:contextualSpacing/>
    </w:pPr>
  </w:style>
  <w:style w:type="paragraph" w:customStyle="1" w:styleId="GCCbullets">
    <w:name w:val="GCC bullets"/>
    <w:basedOn w:val="Tabletext"/>
    <w:qFormat/>
    <w:rsid w:val="007F2AF1"/>
    <w:pPr>
      <w:numPr>
        <w:numId w:val="42"/>
      </w:numPr>
    </w:pPr>
  </w:style>
  <w:style w:type="character" w:customStyle="1" w:styleId="CommentTextChar">
    <w:name w:val="Comment Text Char"/>
    <w:link w:val="CommentText"/>
    <w:semiHidden/>
    <w:rsid w:val="008D322D"/>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62280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62280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bullet">
    <w:name w:val="bullet"/>
    <w:basedOn w:val="Normal"/>
    <w:rsid w:val="005A3499"/>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5A3499"/>
    <w:rPr>
      <w:rFonts w:ascii="Arial" w:hAnsi="Arial" w:cs="Zurich Cn BT"/>
      <w:i/>
      <w:iCs/>
      <w:color w:val="000000"/>
      <w:sz w:val="18"/>
      <w:lang w:val="en-GB"/>
    </w:rPr>
  </w:style>
  <w:style w:type="paragraph" w:customStyle="1" w:styleId="exampletext">
    <w:name w:val="example text"/>
    <w:basedOn w:val="Normal"/>
    <w:link w:val="exampletextChar"/>
    <w:rsid w:val="005A3499"/>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ListParagraph">
    <w:name w:val="List Paragraph"/>
    <w:basedOn w:val="Normal"/>
    <w:uiPriority w:val="34"/>
    <w:qFormat/>
    <w:rsid w:val="00FF16A4"/>
    <w:pPr>
      <w:ind w:left="720"/>
      <w:contextualSpacing/>
    </w:pPr>
  </w:style>
  <w:style w:type="paragraph" w:customStyle="1" w:styleId="GCCbullets">
    <w:name w:val="GCC bullets"/>
    <w:basedOn w:val="Tabletext"/>
    <w:qFormat/>
    <w:rsid w:val="007F2AF1"/>
    <w:pPr>
      <w:numPr>
        <w:numId w:val="42"/>
      </w:numPr>
    </w:pPr>
  </w:style>
  <w:style w:type="character" w:customStyle="1" w:styleId="CommentTextChar">
    <w:name w:val="Comment Text Char"/>
    <w:link w:val="CommentText"/>
    <w:semiHidden/>
    <w:rsid w:val="008D322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1268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HS164" TargetMode="External"/><Relationship Id="rId18" Type="http://schemas.openxmlformats.org/officeDocument/2006/relationships/hyperlink" Target="http://www.australiancurriculum.edu.au/Curriculum/ContentDescription/ACHHS170" TargetMode="External"/><Relationship Id="rId26" Type="http://schemas.openxmlformats.org/officeDocument/2006/relationships/image" Target="media/image6.png"/><Relationship Id="rId39" Type="http://schemas.openxmlformats.org/officeDocument/2006/relationships/hyperlink" Target="http://www.australiancurriculum.edu.au/Curriculum/ContentDescription/ACHHS187" TargetMode="External"/><Relationship Id="rId21" Type="http://schemas.openxmlformats.org/officeDocument/2006/relationships/image" Target="media/image1.png"/><Relationship Id="rId34" Type="http://schemas.openxmlformats.org/officeDocument/2006/relationships/hyperlink" Target="http://www.australiancurriculum.edu.au/Curriculum/ContentDescription/ACHHS182" TargetMode="External"/><Relationship Id="rId42" Type="http://schemas.openxmlformats.org/officeDocument/2006/relationships/hyperlink" Target="http://www.australiancurriculum.edu.au/Curriculum/ContentDescription/ACHHS190" TargetMode="External"/><Relationship Id="rId47" Type="http://schemas.openxmlformats.org/officeDocument/2006/relationships/hyperlink" Target="http://www.qsa.qld.edu.a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straliancurriculum.edu.au/Curriculum/ContentDescription/ACDSEH097" TargetMode="External"/><Relationship Id="rId17" Type="http://schemas.openxmlformats.org/officeDocument/2006/relationships/hyperlink" Target="http://www.australiancurriculum.edu.au/Curriculum/ContentDescription/ACHHS168"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hyperlink" Target="http://www.australiancurriculum.edu.au/Curriculum/ContentDescription/ACHHS186" TargetMode="External"/><Relationship Id="rId46" Type="http://schemas.openxmlformats.org/officeDocument/2006/relationships/hyperlink" Target="http://www.qsa.qld.edu.au/"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HHS167" TargetMode="External"/><Relationship Id="rId20" Type="http://schemas.openxmlformats.org/officeDocument/2006/relationships/hyperlink" Target="http://www.australiancurriculum.edu.au/Curriculum/ContentDescription/ACHHS173" TargetMode="External"/><Relationship Id="rId29" Type="http://schemas.openxmlformats.org/officeDocument/2006/relationships/image" Target="media/image7.png"/><Relationship Id="rId41" Type="http://schemas.openxmlformats.org/officeDocument/2006/relationships/hyperlink" Target="http://www.australiancurriculum.edu.au/Curriculum/ContentDescription/ACHHS18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DSEH096"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hyperlink" Target="http://www.australiancurriculum.edu.au/Curriculum/ContentDescription/ACHHS185" TargetMode="External"/><Relationship Id="rId40" Type="http://schemas.openxmlformats.org/officeDocument/2006/relationships/hyperlink" Target="http://www.australiancurriculum.edu.au/Curriculum/ContentDescription/ACHHS188" TargetMode="External"/><Relationship Id="rId45" Type="http://schemas.openxmlformats.org/officeDocument/2006/relationships/hyperlink" Target="http://www.australiancurriculum.edu.au/Curriculum/ContentDescription/ACHHS193"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HHS166" TargetMode="External"/><Relationship Id="rId23" Type="http://schemas.openxmlformats.org/officeDocument/2006/relationships/image" Target="media/image3.png"/><Relationship Id="rId28" Type="http://schemas.openxmlformats.org/officeDocument/2006/relationships/hyperlink" Target="http://www.australiancurriculum.edu.au/Curriculum/ContentDescription/ACHHS175" TargetMode="External"/><Relationship Id="rId36" Type="http://schemas.openxmlformats.org/officeDocument/2006/relationships/hyperlink" Target="http://www.australiancurriculum.edu.au/Curriculum/ContentDescription/ACHHS184" TargetMode="External"/><Relationship Id="rId49" Type="http://schemas.openxmlformats.org/officeDocument/2006/relationships/hyperlink" Target="http://www.australiansatwar.gov.au/" TargetMode="External"/><Relationship Id="rId10" Type="http://schemas.openxmlformats.org/officeDocument/2006/relationships/hyperlink" Target="http://www.australiancurriculum.edu.au/Curriculum/ContentDescription/ACDSEH095" TargetMode="External"/><Relationship Id="rId19" Type="http://schemas.openxmlformats.org/officeDocument/2006/relationships/hyperlink" Target="http://www.australiancurriculum.edu.au/Curriculum/ContentDescription/ACHHS172" TargetMode="External"/><Relationship Id="rId31" Type="http://schemas.openxmlformats.org/officeDocument/2006/relationships/image" Target="media/image9.png"/><Relationship Id="rId44" Type="http://schemas.openxmlformats.org/officeDocument/2006/relationships/hyperlink" Target="http://www.australiancurriculum.edu.au/Curriculum/ContentDescription/ACHHS192"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DSEH021" TargetMode="External"/><Relationship Id="rId14" Type="http://schemas.openxmlformats.org/officeDocument/2006/relationships/hyperlink" Target="http://www.australiancurriculum.edu.au/Curriculum/ContentDescription/ACHHS165" TargetMode="External"/><Relationship Id="rId22" Type="http://schemas.openxmlformats.org/officeDocument/2006/relationships/image" Target="media/image2.png"/><Relationship Id="rId27" Type="http://schemas.openxmlformats.org/officeDocument/2006/relationships/hyperlink" Target="http://www.australiancurriculum.edu.au/Curriculum/ContentDescription/ACHHS174" TargetMode="External"/><Relationship Id="rId30" Type="http://schemas.openxmlformats.org/officeDocument/2006/relationships/image" Target="media/image8.png"/><Relationship Id="rId35" Type="http://schemas.openxmlformats.org/officeDocument/2006/relationships/hyperlink" Target="http://www.australiancurriculum.edu.au/Curriculum/ContentDescription/ACHHS183" TargetMode="External"/><Relationship Id="rId43" Type="http://schemas.openxmlformats.org/officeDocument/2006/relationships/hyperlink" Target="http://www.australiancurriculum.edu.au/Curriculum/ContentDescription/ACHHS191" TargetMode="External"/><Relationship Id="rId48" Type="http://schemas.openxmlformats.org/officeDocument/2006/relationships/hyperlink" Target="http://www.awm.gov.au"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57DF-FCB4-4DCD-9BB6-2810C9CF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Year 9 unit overview — Australian Curriculum: History</vt:lpstr>
    </vt:vector>
  </TitlesOfParts>
  <Company>Queensland Studies Authority</Company>
  <LinksUpToDate>false</LinksUpToDate>
  <CharactersWithSpaces>23891</CharactersWithSpaces>
  <SharedDoc>false</SharedDoc>
  <HLinks>
    <vt:vector size="180" baseType="variant">
      <vt:variant>
        <vt:i4>3801123</vt:i4>
      </vt:variant>
      <vt:variant>
        <vt:i4>90</vt:i4>
      </vt:variant>
      <vt:variant>
        <vt:i4>0</vt:i4>
      </vt:variant>
      <vt:variant>
        <vt:i4>5</vt:i4>
      </vt:variant>
      <vt:variant>
        <vt:lpwstr>http://www.australiansatwar.gov.au/</vt:lpwstr>
      </vt:variant>
      <vt:variant>
        <vt:lpwstr/>
      </vt:variant>
      <vt:variant>
        <vt:i4>7864381</vt:i4>
      </vt:variant>
      <vt:variant>
        <vt:i4>87</vt:i4>
      </vt:variant>
      <vt:variant>
        <vt:i4>0</vt:i4>
      </vt:variant>
      <vt:variant>
        <vt:i4>5</vt:i4>
      </vt:variant>
      <vt:variant>
        <vt:lpwstr>http://www.awm.gov.au/</vt:lpwstr>
      </vt:variant>
      <vt:variant>
        <vt:lpwstr/>
      </vt:variant>
      <vt:variant>
        <vt:i4>7340144</vt:i4>
      </vt:variant>
      <vt:variant>
        <vt:i4>84</vt:i4>
      </vt:variant>
      <vt:variant>
        <vt:i4>0</vt:i4>
      </vt:variant>
      <vt:variant>
        <vt:i4>5</vt:i4>
      </vt:variant>
      <vt:variant>
        <vt:lpwstr>http://www.qsa.qld.edu.au/</vt:lpwstr>
      </vt:variant>
      <vt:variant>
        <vt:lpwstr/>
      </vt:variant>
      <vt:variant>
        <vt:i4>7340144</vt:i4>
      </vt:variant>
      <vt:variant>
        <vt:i4>81</vt:i4>
      </vt:variant>
      <vt:variant>
        <vt:i4>0</vt:i4>
      </vt:variant>
      <vt:variant>
        <vt:i4>5</vt:i4>
      </vt:variant>
      <vt:variant>
        <vt:lpwstr>http://www.qsa.qld.edu.au/</vt:lpwstr>
      </vt:variant>
      <vt:variant>
        <vt:lpwstr/>
      </vt:variant>
      <vt:variant>
        <vt:i4>6029332</vt:i4>
      </vt:variant>
      <vt:variant>
        <vt:i4>78</vt:i4>
      </vt:variant>
      <vt:variant>
        <vt:i4>0</vt:i4>
      </vt:variant>
      <vt:variant>
        <vt:i4>5</vt:i4>
      </vt:variant>
      <vt:variant>
        <vt:lpwstr>http://www.australiancurriculum.edu.au/Curriculum/ContentDescription/ACHHS193</vt:lpwstr>
      </vt:variant>
      <vt:variant>
        <vt:lpwstr/>
      </vt:variant>
      <vt:variant>
        <vt:i4>6029332</vt:i4>
      </vt:variant>
      <vt:variant>
        <vt:i4>75</vt:i4>
      </vt:variant>
      <vt:variant>
        <vt:i4>0</vt:i4>
      </vt:variant>
      <vt:variant>
        <vt:i4>5</vt:i4>
      </vt:variant>
      <vt:variant>
        <vt:lpwstr>http://www.australiancurriculum.edu.au/Curriculum/ContentDescription/ACHHS192</vt:lpwstr>
      </vt:variant>
      <vt:variant>
        <vt:lpwstr/>
      </vt:variant>
      <vt:variant>
        <vt:i4>6029332</vt:i4>
      </vt:variant>
      <vt:variant>
        <vt:i4>72</vt:i4>
      </vt:variant>
      <vt:variant>
        <vt:i4>0</vt:i4>
      </vt:variant>
      <vt:variant>
        <vt:i4>5</vt:i4>
      </vt:variant>
      <vt:variant>
        <vt:lpwstr>http://www.australiancurriculum.edu.au/Curriculum/ContentDescription/ACHHS191</vt:lpwstr>
      </vt:variant>
      <vt:variant>
        <vt:lpwstr/>
      </vt:variant>
      <vt:variant>
        <vt:i4>6029332</vt:i4>
      </vt:variant>
      <vt:variant>
        <vt:i4>69</vt:i4>
      </vt:variant>
      <vt:variant>
        <vt:i4>0</vt:i4>
      </vt:variant>
      <vt:variant>
        <vt:i4>5</vt:i4>
      </vt:variant>
      <vt:variant>
        <vt:lpwstr>http://www.australiancurriculum.edu.au/Curriculum/ContentDescription/ACHHS190</vt:lpwstr>
      </vt:variant>
      <vt:variant>
        <vt:lpwstr/>
      </vt:variant>
      <vt:variant>
        <vt:i4>6094868</vt:i4>
      </vt:variant>
      <vt:variant>
        <vt:i4>66</vt:i4>
      </vt:variant>
      <vt:variant>
        <vt:i4>0</vt:i4>
      </vt:variant>
      <vt:variant>
        <vt:i4>5</vt:i4>
      </vt:variant>
      <vt:variant>
        <vt:lpwstr>http://www.australiancurriculum.edu.au/Curriculum/ContentDescription/ACHHS189</vt:lpwstr>
      </vt:variant>
      <vt:variant>
        <vt:lpwstr/>
      </vt:variant>
      <vt:variant>
        <vt:i4>6094868</vt:i4>
      </vt:variant>
      <vt:variant>
        <vt:i4>63</vt:i4>
      </vt:variant>
      <vt:variant>
        <vt:i4>0</vt:i4>
      </vt:variant>
      <vt:variant>
        <vt:i4>5</vt:i4>
      </vt:variant>
      <vt:variant>
        <vt:lpwstr>http://www.australiancurriculum.edu.au/Curriculum/ContentDescription/ACHHS188</vt:lpwstr>
      </vt:variant>
      <vt:variant>
        <vt:lpwstr/>
      </vt:variant>
      <vt:variant>
        <vt:i4>6094868</vt:i4>
      </vt:variant>
      <vt:variant>
        <vt:i4>60</vt:i4>
      </vt:variant>
      <vt:variant>
        <vt:i4>0</vt:i4>
      </vt:variant>
      <vt:variant>
        <vt:i4>5</vt:i4>
      </vt:variant>
      <vt:variant>
        <vt:lpwstr>http://www.australiancurriculum.edu.au/Curriculum/ContentDescription/ACHHS187</vt:lpwstr>
      </vt:variant>
      <vt:variant>
        <vt:lpwstr/>
      </vt:variant>
      <vt:variant>
        <vt:i4>6094868</vt:i4>
      </vt:variant>
      <vt:variant>
        <vt:i4>57</vt:i4>
      </vt:variant>
      <vt:variant>
        <vt:i4>0</vt:i4>
      </vt:variant>
      <vt:variant>
        <vt:i4>5</vt:i4>
      </vt:variant>
      <vt:variant>
        <vt:lpwstr>http://www.australiancurriculum.edu.au/Curriculum/ContentDescription/ACHHS186</vt:lpwstr>
      </vt:variant>
      <vt:variant>
        <vt:lpwstr/>
      </vt:variant>
      <vt:variant>
        <vt:i4>6094868</vt:i4>
      </vt:variant>
      <vt:variant>
        <vt:i4>54</vt:i4>
      </vt:variant>
      <vt:variant>
        <vt:i4>0</vt:i4>
      </vt:variant>
      <vt:variant>
        <vt:i4>5</vt:i4>
      </vt:variant>
      <vt:variant>
        <vt:lpwstr>http://www.australiancurriculum.edu.au/Curriculum/ContentDescription/ACHHS185</vt:lpwstr>
      </vt:variant>
      <vt:variant>
        <vt:lpwstr/>
      </vt:variant>
      <vt:variant>
        <vt:i4>6094868</vt:i4>
      </vt:variant>
      <vt:variant>
        <vt:i4>51</vt:i4>
      </vt:variant>
      <vt:variant>
        <vt:i4>0</vt:i4>
      </vt:variant>
      <vt:variant>
        <vt:i4>5</vt:i4>
      </vt:variant>
      <vt:variant>
        <vt:lpwstr>http://www.australiancurriculum.edu.au/Curriculum/ContentDescription/ACHHS184</vt:lpwstr>
      </vt:variant>
      <vt:variant>
        <vt:lpwstr/>
      </vt:variant>
      <vt:variant>
        <vt:i4>6094868</vt:i4>
      </vt:variant>
      <vt:variant>
        <vt:i4>48</vt:i4>
      </vt:variant>
      <vt:variant>
        <vt:i4>0</vt:i4>
      </vt:variant>
      <vt:variant>
        <vt:i4>5</vt:i4>
      </vt:variant>
      <vt:variant>
        <vt:lpwstr>http://www.australiancurriculum.edu.au/Curriculum/ContentDescription/ACHHS183</vt:lpwstr>
      </vt:variant>
      <vt:variant>
        <vt:lpwstr/>
      </vt:variant>
      <vt:variant>
        <vt:i4>6094868</vt:i4>
      </vt:variant>
      <vt:variant>
        <vt:i4>45</vt:i4>
      </vt:variant>
      <vt:variant>
        <vt:i4>0</vt:i4>
      </vt:variant>
      <vt:variant>
        <vt:i4>5</vt:i4>
      </vt:variant>
      <vt:variant>
        <vt:lpwstr>http://www.australiancurriculum.edu.au/Curriculum/ContentDescription/ACHHS182</vt:lpwstr>
      </vt:variant>
      <vt:variant>
        <vt:lpwstr/>
      </vt:variant>
      <vt:variant>
        <vt:i4>5373972</vt:i4>
      </vt:variant>
      <vt:variant>
        <vt:i4>39</vt:i4>
      </vt:variant>
      <vt:variant>
        <vt:i4>0</vt:i4>
      </vt:variant>
      <vt:variant>
        <vt:i4>5</vt:i4>
      </vt:variant>
      <vt:variant>
        <vt:lpwstr>http://www.australiancurriculum.edu.au/Curriculum/ContentDescription/ACHHS175</vt:lpwstr>
      </vt:variant>
      <vt:variant>
        <vt:lpwstr/>
      </vt:variant>
      <vt:variant>
        <vt:i4>5373972</vt:i4>
      </vt:variant>
      <vt:variant>
        <vt:i4>36</vt:i4>
      </vt:variant>
      <vt:variant>
        <vt:i4>0</vt:i4>
      </vt:variant>
      <vt:variant>
        <vt:i4>5</vt:i4>
      </vt:variant>
      <vt:variant>
        <vt:lpwstr>http://www.australiancurriculum.edu.au/Curriculum/ContentDescription/ACHHS174</vt:lpwstr>
      </vt:variant>
      <vt:variant>
        <vt:lpwstr/>
      </vt:variant>
      <vt:variant>
        <vt:i4>5373972</vt:i4>
      </vt:variant>
      <vt:variant>
        <vt:i4>33</vt:i4>
      </vt:variant>
      <vt:variant>
        <vt:i4>0</vt:i4>
      </vt:variant>
      <vt:variant>
        <vt:i4>5</vt:i4>
      </vt:variant>
      <vt:variant>
        <vt:lpwstr>http://www.australiancurriculum.edu.au/Curriculum/ContentDescription/ACHHS173</vt:lpwstr>
      </vt:variant>
      <vt:variant>
        <vt:lpwstr/>
      </vt:variant>
      <vt:variant>
        <vt:i4>5373972</vt:i4>
      </vt:variant>
      <vt:variant>
        <vt:i4>30</vt:i4>
      </vt:variant>
      <vt:variant>
        <vt:i4>0</vt:i4>
      </vt:variant>
      <vt:variant>
        <vt:i4>5</vt:i4>
      </vt:variant>
      <vt:variant>
        <vt:lpwstr>http://www.australiancurriculum.edu.au/Curriculum/ContentDescription/ACHHS172</vt:lpwstr>
      </vt:variant>
      <vt:variant>
        <vt:lpwstr/>
      </vt:variant>
      <vt:variant>
        <vt:i4>5373972</vt:i4>
      </vt:variant>
      <vt:variant>
        <vt:i4>27</vt:i4>
      </vt:variant>
      <vt:variant>
        <vt:i4>0</vt:i4>
      </vt:variant>
      <vt:variant>
        <vt:i4>5</vt:i4>
      </vt:variant>
      <vt:variant>
        <vt:lpwstr>http://www.australiancurriculum.edu.au/Curriculum/ContentDescription/ACHHS170</vt:lpwstr>
      </vt:variant>
      <vt:variant>
        <vt:lpwstr/>
      </vt:variant>
      <vt:variant>
        <vt:i4>5439508</vt:i4>
      </vt:variant>
      <vt:variant>
        <vt:i4>24</vt:i4>
      </vt:variant>
      <vt:variant>
        <vt:i4>0</vt:i4>
      </vt:variant>
      <vt:variant>
        <vt:i4>5</vt:i4>
      </vt:variant>
      <vt:variant>
        <vt:lpwstr>http://www.australiancurriculum.edu.au/Curriculum/ContentDescription/ACHHS168</vt:lpwstr>
      </vt:variant>
      <vt:variant>
        <vt:lpwstr/>
      </vt:variant>
      <vt:variant>
        <vt:i4>5439508</vt:i4>
      </vt:variant>
      <vt:variant>
        <vt:i4>21</vt:i4>
      </vt:variant>
      <vt:variant>
        <vt:i4>0</vt:i4>
      </vt:variant>
      <vt:variant>
        <vt:i4>5</vt:i4>
      </vt:variant>
      <vt:variant>
        <vt:lpwstr>http://www.australiancurriculum.edu.au/Curriculum/ContentDescription/ACHHS167</vt:lpwstr>
      </vt:variant>
      <vt:variant>
        <vt:lpwstr/>
      </vt:variant>
      <vt:variant>
        <vt:i4>5439508</vt:i4>
      </vt:variant>
      <vt:variant>
        <vt:i4>18</vt:i4>
      </vt:variant>
      <vt:variant>
        <vt:i4>0</vt:i4>
      </vt:variant>
      <vt:variant>
        <vt:i4>5</vt:i4>
      </vt:variant>
      <vt:variant>
        <vt:lpwstr>http://www.australiancurriculum.edu.au/Curriculum/ContentDescription/ACHHS166</vt:lpwstr>
      </vt:variant>
      <vt:variant>
        <vt:lpwstr/>
      </vt:variant>
      <vt:variant>
        <vt:i4>5439508</vt:i4>
      </vt:variant>
      <vt:variant>
        <vt:i4>15</vt:i4>
      </vt:variant>
      <vt:variant>
        <vt:i4>0</vt:i4>
      </vt:variant>
      <vt:variant>
        <vt:i4>5</vt:i4>
      </vt:variant>
      <vt:variant>
        <vt:lpwstr>http://www.australiancurriculum.edu.au/Curriculum/ContentDescription/ACHHS165</vt:lpwstr>
      </vt:variant>
      <vt:variant>
        <vt:lpwstr/>
      </vt:variant>
      <vt:variant>
        <vt:i4>5439508</vt:i4>
      </vt:variant>
      <vt:variant>
        <vt:i4>12</vt:i4>
      </vt:variant>
      <vt:variant>
        <vt:i4>0</vt:i4>
      </vt:variant>
      <vt:variant>
        <vt:i4>5</vt:i4>
      </vt:variant>
      <vt:variant>
        <vt:lpwstr>http://www.australiancurriculum.edu.au/Curriculum/ContentDescription/ACHHS164</vt:lpwstr>
      </vt:variant>
      <vt:variant>
        <vt:lpwstr/>
      </vt:variant>
      <vt:variant>
        <vt:i4>7864431</vt:i4>
      </vt:variant>
      <vt:variant>
        <vt:i4>9</vt:i4>
      </vt:variant>
      <vt:variant>
        <vt:i4>0</vt:i4>
      </vt:variant>
      <vt:variant>
        <vt:i4>5</vt:i4>
      </vt:variant>
      <vt:variant>
        <vt:lpwstr>http://www.australiancurriculum.edu.au/Curriculum/ContentDescription/ACDSEH097</vt:lpwstr>
      </vt:variant>
      <vt:variant>
        <vt:lpwstr/>
      </vt:variant>
      <vt:variant>
        <vt:i4>7929967</vt:i4>
      </vt:variant>
      <vt:variant>
        <vt:i4>6</vt:i4>
      </vt:variant>
      <vt:variant>
        <vt:i4>0</vt:i4>
      </vt:variant>
      <vt:variant>
        <vt:i4>5</vt:i4>
      </vt:variant>
      <vt:variant>
        <vt:lpwstr>http://www.australiancurriculum.edu.au/Curriculum/ContentDescription/ACDSEH096</vt:lpwstr>
      </vt:variant>
      <vt:variant>
        <vt:lpwstr/>
      </vt:variant>
      <vt:variant>
        <vt:i4>7995503</vt:i4>
      </vt:variant>
      <vt:variant>
        <vt:i4>3</vt:i4>
      </vt:variant>
      <vt:variant>
        <vt:i4>0</vt:i4>
      </vt:variant>
      <vt:variant>
        <vt:i4>5</vt:i4>
      </vt:variant>
      <vt:variant>
        <vt:lpwstr>http://www.australiancurriculum.edu.au/Curriculum/ContentDescription/ACDSEH095</vt:lpwstr>
      </vt:variant>
      <vt:variant>
        <vt:lpwstr/>
      </vt:variant>
      <vt:variant>
        <vt:i4>8257636</vt:i4>
      </vt:variant>
      <vt:variant>
        <vt:i4>0</vt:i4>
      </vt:variant>
      <vt:variant>
        <vt:i4>0</vt:i4>
      </vt:variant>
      <vt:variant>
        <vt:i4>5</vt:i4>
      </vt:variant>
      <vt:variant>
        <vt:lpwstr>http://www.australiancurriculum.edu.au/Curriculum/ContentDescription/ACDSEH021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unit overview — Australian Curriculum: History</dc:title>
  <dc:subject>Australian Curriculum</dc:subject>
  <dc:creator>Queensland Studies Authority</dc:creator>
  <cp:keywords/>
  <cp:lastModifiedBy>QSA</cp:lastModifiedBy>
  <cp:revision>2</cp:revision>
  <cp:lastPrinted>2012-06-15T04:51:00Z</cp:lastPrinted>
  <dcterms:created xsi:type="dcterms:W3CDTF">2014-06-18T05:59:00Z</dcterms:created>
  <dcterms:modified xsi:type="dcterms:W3CDTF">2014-06-18T05:59:00Z</dcterms:modified>
  <cp:category>Years 7–10</cp:category>
</cp:coreProperties>
</file>