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7108E8" w:rsidP="005213F2">
      <w:pPr>
        <w:pStyle w:val="Heading1TOP"/>
        <w:tabs>
          <w:tab w:val="right" w:pos="14520"/>
        </w:tabs>
      </w:pPr>
      <w:bookmarkStart w:id="0" w:name="_GoBack"/>
      <w:bookmarkEnd w:id="0"/>
      <w:r>
        <w:t xml:space="preserve">Year </w:t>
      </w:r>
      <w:r w:rsidR="00F821E6">
        <w:t>10</w:t>
      </w:r>
      <w:r w:rsidR="00A776EE">
        <w:t xml:space="preserve"> </w:t>
      </w:r>
      <w:r w:rsidR="00F502AA">
        <w:t>u</w:t>
      </w:r>
      <w:r w:rsidR="008300AE">
        <w:t>nit overview</w:t>
      </w:r>
      <w:r w:rsidR="00CF0F03">
        <w:t xml:space="preserve"> — Australian Curriculum</w:t>
      </w:r>
      <w:r w:rsidR="00CF0F03" w:rsidRPr="00414AA6">
        <w:t>:</w:t>
      </w:r>
      <w:r w:rsidR="008300AE">
        <w:t xml:space="preserve"> </w:t>
      </w:r>
      <w:r w:rsidR="00C70F72">
        <w:t>History</w:t>
      </w:r>
      <w:r w:rsidR="004C0E00">
        <w:tab/>
      </w:r>
    </w:p>
    <w:p w:rsidR="00FA0810" w:rsidRPr="00FA0810" w:rsidRDefault="00FA0810" w:rsidP="009F6910">
      <w:pPr>
        <w:pStyle w:val="ACversionline"/>
      </w:pPr>
      <w:r w:rsidRPr="007A7FF0">
        <w:t xml:space="preserve">Source: Australian Curriculum, Assessment and </w:t>
      </w:r>
      <w:r w:rsidRPr="009F6910">
        <w:t>Reporting</w:t>
      </w:r>
      <w:r w:rsidRPr="007A7FF0">
        <w:t xml:space="preserve"> Authority (ACARA), </w:t>
      </w:r>
      <w:r w:rsidR="00545B63">
        <w:rPr>
          <w:i/>
        </w:rPr>
        <w:t xml:space="preserve">Australian Curriculum </w:t>
      </w:r>
      <w:r w:rsidR="00545B63" w:rsidRPr="00545B63">
        <w:rPr>
          <w:i/>
        </w:rPr>
        <w:t>v</w:t>
      </w:r>
      <w:r w:rsidR="00346D3E">
        <w:rPr>
          <w:i/>
        </w:rPr>
        <w:t>3</w:t>
      </w:r>
      <w:r w:rsidRPr="00545B63">
        <w:rPr>
          <w:i/>
        </w:rPr>
        <w:t>.0</w:t>
      </w:r>
      <w:r w:rsidRPr="007A7FF0">
        <w:rPr>
          <w:i/>
        </w:rPr>
        <w:t xml:space="preserve">: </w:t>
      </w:r>
      <w:r w:rsidR="00C70F72">
        <w:rPr>
          <w:i/>
        </w:rPr>
        <w:t>History</w:t>
      </w:r>
      <w:r w:rsidRPr="007A7FF0">
        <w:rPr>
          <w:i/>
        </w:rPr>
        <w:t xml:space="preserve"> for Foundation–10</w:t>
      </w:r>
      <w:r w:rsidRPr="007A7FF0">
        <w:t>,</w:t>
      </w:r>
      <w:r w:rsidR="00346D3E">
        <w:t xml:space="preserve"> </w:t>
      </w:r>
      <w:r w:rsidRPr="007A7FF0">
        <w:t>&lt;www.australiancurriculum.edu.au/</w:t>
      </w:r>
      <w:r w:rsidR="00C70F72">
        <w:t>History</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A0810">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8D28C8" w:rsidRPr="00BC1996" w:rsidTr="005213F2">
        <w:trPr>
          <w:jc w:val="center"/>
        </w:trPr>
        <w:tc>
          <w:tcPr>
            <w:tcW w:w="1208" w:type="pct"/>
            <w:shd w:val="clear" w:color="auto" w:fill="auto"/>
          </w:tcPr>
          <w:p w:rsidR="008D28C8" w:rsidRPr="00B549BE" w:rsidRDefault="00DB0675" w:rsidP="007A3312">
            <w:pPr>
              <w:pStyle w:val="Tabletext"/>
            </w:pPr>
            <w:r>
              <w:t xml:space="preserve">Our </w:t>
            </w:r>
            <w:r w:rsidR="007A3312">
              <w:t>School</w:t>
            </w:r>
          </w:p>
        </w:tc>
        <w:tc>
          <w:tcPr>
            <w:tcW w:w="2572" w:type="pct"/>
            <w:shd w:val="clear" w:color="auto" w:fill="auto"/>
          </w:tcPr>
          <w:p w:rsidR="008D28C8" w:rsidRPr="00B549BE" w:rsidRDefault="008460B0" w:rsidP="008300AE">
            <w:pPr>
              <w:pStyle w:val="Tabletext"/>
            </w:pPr>
            <w:r>
              <w:t xml:space="preserve">Depth study: </w:t>
            </w:r>
            <w:r w:rsidR="00DB0675" w:rsidRPr="00204E20">
              <w:rPr>
                <w:i/>
              </w:rPr>
              <w:t>Rights and freedoms</w:t>
            </w:r>
          </w:p>
        </w:tc>
        <w:tc>
          <w:tcPr>
            <w:tcW w:w="1220" w:type="pct"/>
            <w:shd w:val="clear" w:color="auto" w:fill="auto"/>
          </w:tcPr>
          <w:p w:rsidR="008D28C8" w:rsidRPr="00B549BE" w:rsidRDefault="00DB0675" w:rsidP="008300AE">
            <w:pPr>
              <w:pStyle w:val="Tabletext"/>
            </w:pPr>
            <w:r>
              <w:t>13 weeks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A0810">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204E20">
        <w:trPr>
          <w:trHeight w:val="2738"/>
          <w:jc w:val="center"/>
        </w:trPr>
        <w:tc>
          <w:tcPr>
            <w:tcW w:w="5000" w:type="pct"/>
            <w:shd w:val="clear" w:color="auto" w:fill="auto"/>
          </w:tcPr>
          <w:p w:rsidR="00704F62" w:rsidRPr="00236553" w:rsidRDefault="004C0E00" w:rsidP="00236553">
            <w:pPr>
              <w:pStyle w:val="Tabletext"/>
            </w:pPr>
            <w:r w:rsidRPr="00236553">
              <w:t>The Year 10 curriculum provides a study of the history of the modern world and Australia from 1918 to the present, with an emphasis on Australia in its global context. The twentieth century became a critical period in Australia’s social, cultural, economic and political development. The transformation of the modern world during a time of political turmoil, global conflict and international cooperation provides a necessary context for understanding Australia’s development, its place within the Asia</w:t>
            </w:r>
            <w:r w:rsidR="001956F4">
              <w:t>–</w:t>
            </w:r>
            <w:r w:rsidRPr="00236553">
              <w:t>Pacific region, and its global standing.</w:t>
            </w:r>
          </w:p>
          <w:p w:rsidR="00236553" w:rsidRPr="00236553" w:rsidRDefault="00236553" w:rsidP="00236553">
            <w:pPr>
              <w:pStyle w:val="Tabletext"/>
            </w:pPr>
          </w:p>
          <w:p w:rsidR="004C0E00" w:rsidRPr="00236553" w:rsidRDefault="004C0E00" w:rsidP="00236553">
            <w:pPr>
              <w:pStyle w:val="Tabletext"/>
            </w:pPr>
            <w:r w:rsidRPr="00236553">
              <w:t xml:space="preserve">In this depth study, students focus on the struggles for human rights. They investigate how rights and freedoms have been ignored, demanded or achieved in Australia and in the broader world context. </w:t>
            </w:r>
          </w:p>
          <w:p w:rsidR="00236553" w:rsidRPr="00236553" w:rsidRDefault="00236553" w:rsidP="00236553">
            <w:pPr>
              <w:pStyle w:val="Tabletext"/>
            </w:pPr>
          </w:p>
          <w:p w:rsidR="004C0E00" w:rsidRPr="00236553" w:rsidRDefault="00603700" w:rsidP="00236553">
            <w:pPr>
              <w:pStyle w:val="Tabletext"/>
            </w:pPr>
            <w:r>
              <w:t>The key inquiry question for this unit is</w:t>
            </w:r>
            <w:r w:rsidR="004C0E00" w:rsidRPr="00236553">
              <w:t>:</w:t>
            </w:r>
          </w:p>
          <w:p w:rsidR="004C0E00" w:rsidRPr="00DB0675" w:rsidRDefault="004C0E00" w:rsidP="004C0E00">
            <w:pPr>
              <w:pStyle w:val="Tabletext"/>
              <w:numPr>
                <w:ilvl w:val="0"/>
                <w:numId w:val="43"/>
              </w:numPr>
              <w:ind w:left="311" w:hanging="284"/>
            </w:pPr>
            <w:r w:rsidRPr="00D567A8">
              <w:t>How was Australian society affected by other significant global events and changes in this period?</w:t>
            </w:r>
          </w:p>
        </w:tc>
      </w:tr>
    </w:tbl>
    <w:p w:rsidR="008D28C8" w:rsidRDefault="008D28C8" w:rsidP="008300AE"/>
    <w:p w:rsidR="00364E09" w:rsidRPr="008300AE" w:rsidRDefault="004A69B7" w:rsidP="00364E09">
      <w:pPr>
        <w:pStyle w:val="smallspace"/>
      </w:pPr>
      <w:r>
        <w:br w:type="page"/>
      </w:r>
    </w:p>
    <w:tbl>
      <w:tblPr>
        <w:tblW w:w="14558"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591"/>
        <w:gridCol w:w="4845"/>
        <w:gridCol w:w="5122"/>
      </w:tblGrid>
      <w:tr w:rsidR="005D333E" w:rsidRPr="00561E58" w:rsidTr="00C05D8C">
        <w:trPr>
          <w:tblHeader/>
          <w:jc w:val="center"/>
        </w:trPr>
        <w:tc>
          <w:tcPr>
            <w:tcW w:w="5000" w:type="pct"/>
            <w:gridSpan w:val="3"/>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C05D8C">
        <w:trPr>
          <w:jc w:val="center"/>
        </w:trPr>
        <w:tc>
          <w:tcPr>
            <w:tcW w:w="3241" w:type="pct"/>
            <w:gridSpan w:val="2"/>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759"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8338F8" w:rsidRPr="00561E58" w:rsidTr="00C05D8C">
        <w:trPr>
          <w:jc w:val="center"/>
        </w:trPr>
        <w:tc>
          <w:tcPr>
            <w:tcW w:w="1577" w:type="pct"/>
            <w:shd w:val="clear" w:color="auto" w:fill="CFE7E6"/>
          </w:tcPr>
          <w:p w:rsidR="008338F8" w:rsidRPr="001B3B82" w:rsidRDefault="008338F8" w:rsidP="008338F8">
            <w:pPr>
              <w:pStyle w:val="Tablesubhead"/>
            </w:pPr>
            <w:r>
              <w:t>Historical Knowledge and Understanding</w:t>
            </w:r>
          </w:p>
        </w:tc>
        <w:tc>
          <w:tcPr>
            <w:tcW w:w="1664" w:type="pct"/>
            <w:shd w:val="clear" w:color="auto" w:fill="CFE7E6"/>
          </w:tcPr>
          <w:p w:rsidR="008338F8" w:rsidRDefault="008338F8" w:rsidP="00632199">
            <w:pPr>
              <w:pStyle w:val="Tablesubhead"/>
            </w:pPr>
            <w:r>
              <w:t>Historical Skills</w:t>
            </w:r>
          </w:p>
        </w:tc>
        <w:tc>
          <w:tcPr>
            <w:tcW w:w="1759" w:type="pct"/>
            <w:vMerge/>
            <w:shd w:val="clear" w:color="auto" w:fill="CFE7E6"/>
          </w:tcPr>
          <w:p w:rsidR="008338F8" w:rsidRPr="00364E09" w:rsidRDefault="008338F8" w:rsidP="00433BEC">
            <w:pPr>
              <w:pStyle w:val="Tablesubhead"/>
            </w:pPr>
          </w:p>
        </w:tc>
      </w:tr>
      <w:tr w:rsidR="008338F8" w:rsidRPr="00561E58" w:rsidTr="00C05D8C">
        <w:trPr>
          <w:jc w:val="center"/>
        </w:trPr>
        <w:tc>
          <w:tcPr>
            <w:tcW w:w="1577" w:type="pct"/>
            <w:shd w:val="clear" w:color="auto" w:fill="auto"/>
          </w:tcPr>
          <w:p w:rsidR="008338F8" w:rsidRDefault="00CD5E9E" w:rsidP="00CD5E9E">
            <w:pPr>
              <w:pStyle w:val="Tablesubhead"/>
            </w:pPr>
            <w:r>
              <w:t>Overview content</w:t>
            </w:r>
            <w:r w:rsidR="008460B0">
              <w:t xml:space="preserve"> includes:</w:t>
            </w:r>
          </w:p>
          <w:p w:rsidR="00CD5E9E" w:rsidRDefault="00CD5E9E" w:rsidP="00CD5E9E">
            <w:pPr>
              <w:pStyle w:val="Tabletext"/>
              <w:numPr>
                <w:ilvl w:val="0"/>
                <w:numId w:val="43"/>
              </w:numPr>
              <w:ind w:left="311" w:hanging="284"/>
            </w:pPr>
            <w:r w:rsidRPr="00156ED7">
              <w:t>the major movements for rights and freedom in the world and the achievement of independence by former colonies</w:t>
            </w:r>
          </w:p>
          <w:p w:rsidR="00CD5E9E" w:rsidRDefault="00CD5E9E" w:rsidP="00CD5E9E">
            <w:pPr>
              <w:pStyle w:val="Tabletext"/>
              <w:numPr>
                <w:ilvl w:val="0"/>
                <w:numId w:val="43"/>
              </w:numPr>
              <w:ind w:left="311" w:hanging="284"/>
            </w:pPr>
            <w:r w:rsidRPr="00156ED7">
              <w:t>the nature of the Cold War and Australia’s involvement in Cold War and post-Cold War conflicts (Korea, Vietnam, The Gulf Wars, Afghanistan), including the rising influence of Asian nations since the end of the Cold War</w:t>
            </w:r>
          </w:p>
          <w:p w:rsidR="00CD5E9E" w:rsidRDefault="00CD5E9E" w:rsidP="00CD5E9E">
            <w:pPr>
              <w:pStyle w:val="Tablesubhead"/>
            </w:pPr>
            <w:r>
              <w:t>Rights and freedoms</w:t>
            </w:r>
          </w:p>
          <w:p w:rsidR="00CD5E9E" w:rsidRDefault="00CD5E9E" w:rsidP="00CD5E9E">
            <w:pPr>
              <w:pStyle w:val="Tabletext"/>
              <w:numPr>
                <w:ilvl w:val="0"/>
                <w:numId w:val="43"/>
              </w:numPr>
              <w:ind w:left="311" w:hanging="284"/>
              <w:rPr>
                <w:rStyle w:val="Hyperlink"/>
                <w:rFonts w:cs="Arial"/>
                <w:lang w:val="en"/>
              </w:rPr>
            </w:pPr>
            <w:r w:rsidRPr="00EA4217">
              <w:rPr>
                <w:rFonts w:cs="Arial"/>
                <w:lang w:val="en"/>
              </w:rPr>
              <w:t>The origins and significance of the Universal Declaration of Human Rights, including Australia’s involvement in the development of the declaration</w:t>
            </w:r>
            <w:r w:rsidRPr="007A77A7">
              <w:rPr>
                <w:rFonts w:cs="Arial"/>
                <w:b/>
                <w:lang w:val="en"/>
              </w:rPr>
              <w:t xml:space="preserve"> </w:t>
            </w:r>
            <w:hyperlink r:id="rId9" w:tooltip="View additional details of ACDSEH023" w:history="1">
              <w:r w:rsidRPr="00EA4217">
                <w:rPr>
                  <w:rStyle w:val="Hyperlink"/>
                  <w:rFonts w:cs="Arial"/>
                  <w:lang w:val="en"/>
                </w:rPr>
                <w:t>(ACDSEH023)</w:t>
              </w:r>
            </w:hyperlink>
          </w:p>
          <w:p w:rsidR="00CD5E9E" w:rsidRDefault="00CD5E9E" w:rsidP="00CD5E9E">
            <w:pPr>
              <w:pStyle w:val="Tabletext"/>
              <w:numPr>
                <w:ilvl w:val="0"/>
                <w:numId w:val="43"/>
              </w:numPr>
              <w:ind w:left="311" w:hanging="284"/>
              <w:rPr>
                <w:rStyle w:val="Hyperlink"/>
                <w:rFonts w:cs="Arial"/>
                <w:lang w:val="en"/>
              </w:rPr>
            </w:pPr>
            <w:r w:rsidRPr="007A77A7">
              <w:rPr>
                <w:rFonts w:cs="Arial"/>
                <w:lang w:val="en"/>
              </w:rPr>
              <w:t xml:space="preserve">Background to the struggle of Aboriginal and Torres Strait Islander peoples for rights and freedoms before 1965, including the 1938 Day of Mourning and the Stolen Generations </w:t>
            </w:r>
            <w:hyperlink r:id="rId10" w:tooltip="View additional details of ACDSEH104" w:history="1">
              <w:r w:rsidRPr="007A77A7">
                <w:rPr>
                  <w:rStyle w:val="Hyperlink"/>
                  <w:rFonts w:cs="Arial"/>
                  <w:lang w:val="en"/>
                </w:rPr>
                <w:t>(ACDSEH104)</w:t>
              </w:r>
            </w:hyperlink>
          </w:p>
          <w:p w:rsidR="00CD5E9E" w:rsidRDefault="00CD5E9E" w:rsidP="00CD5E9E">
            <w:pPr>
              <w:pStyle w:val="Tabletext"/>
              <w:numPr>
                <w:ilvl w:val="0"/>
                <w:numId w:val="43"/>
              </w:numPr>
              <w:ind w:left="311" w:hanging="284"/>
              <w:rPr>
                <w:rStyle w:val="Hyperlink"/>
                <w:rFonts w:cs="Arial"/>
                <w:lang w:val="en"/>
              </w:rPr>
            </w:pPr>
            <w:r w:rsidRPr="007A77A7">
              <w:rPr>
                <w:rFonts w:cs="Arial"/>
                <w:lang w:val="en"/>
              </w:rPr>
              <w:t xml:space="preserve">The US civil rights movement and its influence on Australia </w:t>
            </w:r>
            <w:hyperlink r:id="rId11" w:tooltip="View additional details of ACDSEH105" w:history="1">
              <w:r w:rsidRPr="007A77A7">
                <w:rPr>
                  <w:rStyle w:val="Hyperlink"/>
                  <w:rFonts w:cs="Arial"/>
                  <w:lang w:val="en"/>
                </w:rPr>
                <w:t>(ACDSEH105)</w:t>
              </w:r>
            </w:hyperlink>
          </w:p>
          <w:p w:rsidR="00CD5E9E" w:rsidRDefault="00CD5E9E" w:rsidP="00CD5E9E">
            <w:pPr>
              <w:pStyle w:val="Tabletext"/>
              <w:numPr>
                <w:ilvl w:val="0"/>
                <w:numId w:val="43"/>
              </w:numPr>
              <w:ind w:left="311" w:hanging="284"/>
              <w:rPr>
                <w:rStyle w:val="Hyperlink"/>
                <w:rFonts w:cs="Arial"/>
                <w:lang w:val="en"/>
              </w:rPr>
            </w:pPr>
            <w:r w:rsidRPr="007A77A7">
              <w:rPr>
                <w:rFonts w:cs="Arial"/>
                <w:lang w:val="en"/>
              </w:rPr>
              <w:t xml:space="preserve">The significance of the following for the civil rights of Aboriginal and Torres Strait Islander peoples: 1962 right to vote federally; 1967 Referendum; Reconciliation; Mabo decision; Bringing Them Home Report (the Stolen Generations), the Apology </w:t>
            </w:r>
            <w:hyperlink r:id="rId12" w:tooltip="View additional details of ACDSEH106" w:history="1">
              <w:r w:rsidRPr="007A77A7">
                <w:rPr>
                  <w:rStyle w:val="Hyperlink"/>
                  <w:rFonts w:cs="Arial"/>
                  <w:lang w:val="en"/>
                </w:rPr>
                <w:t>(ACDSEH106)</w:t>
              </w:r>
            </w:hyperlink>
          </w:p>
          <w:p w:rsidR="00CD5E9E" w:rsidRDefault="00CD5E9E" w:rsidP="00CD5E9E">
            <w:pPr>
              <w:pStyle w:val="Tabletext"/>
              <w:numPr>
                <w:ilvl w:val="0"/>
                <w:numId w:val="43"/>
              </w:numPr>
              <w:ind w:left="311" w:hanging="284"/>
              <w:rPr>
                <w:rStyle w:val="Hyperlink"/>
                <w:rFonts w:cs="Arial"/>
                <w:lang w:val="en"/>
              </w:rPr>
            </w:pPr>
            <w:r w:rsidRPr="007A77A7">
              <w:rPr>
                <w:rFonts w:cs="Arial"/>
                <w:lang w:val="en"/>
              </w:rPr>
              <w:t xml:space="preserve">Methods used by civil rights activists to achieve change for Aboriginal and Torres Strait Islander peoples, and the role of ONE individual or group in the struggle </w:t>
            </w:r>
            <w:hyperlink r:id="rId13" w:tooltip="View additional details of ACDSEH134" w:history="1">
              <w:r w:rsidRPr="007A77A7">
                <w:rPr>
                  <w:rStyle w:val="Hyperlink"/>
                  <w:rFonts w:cs="Arial"/>
                  <w:lang w:val="en"/>
                </w:rPr>
                <w:t>(ACDSEH134)</w:t>
              </w:r>
            </w:hyperlink>
          </w:p>
          <w:p w:rsidR="00CD5E9E" w:rsidRPr="00CD5E9E" w:rsidRDefault="00CD5E9E" w:rsidP="00DB0675">
            <w:pPr>
              <w:pStyle w:val="Tabletext"/>
              <w:numPr>
                <w:ilvl w:val="0"/>
                <w:numId w:val="43"/>
              </w:numPr>
              <w:ind w:left="311" w:hanging="284"/>
            </w:pPr>
            <w:r w:rsidRPr="007A77A7">
              <w:rPr>
                <w:rFonts w:cs="Arial"/>
                <w:lang w:val="en"/>
              </w:rPr>
              <w:lastRenderedPageBreak/>
              <w:t xml:space="preserve">The continuing nature of efforts to secure civil rights and freedoms in Australia and throughout the world, such as the Declaration on the Rights of Indigenous Peoples (2007) </w:t>
            </w:r>
            <w:hyperlink r:id="rId14" w:tooltip="View additional details of ACDSEH143" w:history="1">
              <w:r w:rsidRPr="007A77A7">
                <w:rPr>
                  <w:rStyle w:val="Hyperlink"/>
                  <w:rFonts w:cs="Arial"/>
                  <w:lang w:val="en"/>
                </w:rPr>
                <w:t>(ACDSEH143)</w:t>
              </w:r>
            </w:hyperlink>
          </w:p>
        </w:tc>
        <w:tc>
          <w:tcPr>
            <w:tcW w:w="1664" w:type="pct"/>
            <w:shd w:val="clear" w:color="auto" w:fill="auto"/>
          </w:tcPr>
          <w:p w:rsidR="008338F8" w:rsidRDefault="00CD5E9E" w:rsidP="00CD5E9E">
            <w:pPr>
              <w:pStyle w:val="Tablesubhead"/>
            </w:pPr>
            <w:r>
              <w:lastRenderedPageBreak/>
              <w:t>Chronology, terms and concepts</w:t>
            </w:r>
          </w:p>
          <w:p w:rsidR="00CD5E9E" w:rsidRDefault="00CD5E9E" w:rsidP="00CD5E9E">
            <w:pPr>
              <w:pStyle w:val="Tabletext"/>
              <w:numPr>
                <w:ilvl w:val="0"/>
                <w:numId w:val="43"/>
              </w:numPr>
              <w:ind w:left="311" w:hanging="284"/>
              <w:rPr>
                <w:rStyle w:val="Hyperlink"/>
                <w:rFonts w:eastAsia="SimSun" w:cs="Arial"/>
                <w:lang w:val="en"/>
              </w:rPr>
            </w:pPr>
            <w:r w:rsidRPr="007A77A7">
              <w:rPr>
                <w:rFonts w:cs="Arial"/>
                <w:lang w:val="en"/>
              </w:rPr>
              <w:t xml:space="preserve">Use chronological sequencing to demonstrate the relationship between events and developments in different periods and places </w:t>
            </w:r>
            <w:hyperlink r:id="rId15" w:tooltip="View additional details of ACHHS182" w:history="1">
              <w:r w:rsidRPr="007A77A7">
                <w:rPr>
                  <w:rStyle w:val="Hyperlink"/>
                  <w:rFonts w:eastAsia="SimSun" w:cs="Arial"/>
                  <w:lang w:val="en"/>
                </w:rPr>
                <w:t>(ACHHS182)</w:t>
              </w:r>
            </w:hyperlink>
          </w:p>
          <w:p w:rsidR="00CD5E9E" w:rsidRPr="00CD5E9E" w:rsidRDefault="00CD5E9E" w:rsidP="00CD5E9E">
            <w:pPr>
              <w:pStyle w:val="Tabletext"/>
              <w:numPr>
                <w:ilvl w:val="0"/>
                <w:numId w:val="43"/>
              </w:numPr>
              <w:ind w:left="311" w:hanging="284"/>
              <w:rPr>
                <w:rStyle w:val="Hyperlink"/>
                <w:color w:val="auto"/>
              </w:rPr>
            </w:pPr>
            <w:r w:rsidRPr="007A77A7">
              <w:rPr>
                <w:rFonts w:cs="Arial"/>
                <w:lang w:val="en"/>
              </w:rPr>
              <w:t xml:space="preserve">Use historical terms and concepts </w:t>
            </w:r>
            <w:hyperlink r:id="rId16" w:tooltip="View additional details of ACHHS183" w:history="1">
              <w:r w:rsidRPr="007A77A7">
                <w:rPr>
                  <w:rStyle w:val="Hyperlink"/>
                  <w:rFonts w:eastAsia="SimSun" w:cs="Arial"/>
                  <w:lang w:val="en"/>
                </w:rPr>
                <w:t>(ACHHS183)</w:t>
              </w:r>
            </w:hyperlink>
          </w:p>
          <w:p w:rsidR="00CD5E9E" w:rsidRDefault="00CD5E9E" w:rsidP="00CD5E9E">
            <w:pPr>
              <w:pStyle w:val="Tablesubhead"/>
            </w:pPr>
            <w:r>
              <w:t>Historical questions and research</w:t>
            </w:r>
          </w:p>
          <w:p w:rsidR="00CD5E9E" w:rsidRDefault="00CD5E9E" w:rsidP="00CD5E9E">
            <w:pPr>
              <w:pStyle w:val="Tabletext"/>
              <w:numPr>
                <w:ilvl w:val="0"/>
                <w:numId w:val="43"/>
              </w:numPr>
              <w:ind w:left="311" w:hanging="284"/>
              <w:rPr>
                <w:rStyle w:val="Hyperlink"/>
                <w:rFonts w:cs="Arial"/>
                <w:lang w:val="en"/>
              </w:rPr>
            </w:pPr>
            <w:r w:rsidRPr="007A77A7">
              <w:rPr>
                <w:rFonts w:cs="Arial"/>
                <w:lang w:val="en"/>
              </w:rPr>
              <w:t xml:space="preserve">Identify and select different kinds of questions about the past to inform historical inquiry </w:t>
            </w:r>
            <w:hyperlink r:id="rId17" w:tooltip="View additional details of ACHHS184" w:history="1">
              <w:r w:rsidRPr="007A77A7">
                <w:rPr>
                  <w:rStyle w:val="Hyperlink"/>
                  <w:rFonts w:cs="Arial"/>
                  <w:lang w:val="en"/>
                </w:rPr>
                <w:t>(ACHHS184)</w:t>
              </w:r>
            </w:hyperlink>
          </w:p>
          <w:p w:rsidR="00CD5E9E" w:rsidRDefault="00CD5E9E" w:rsidP="00CD5E9E">
            <w:pPr>
              <w:pStyle w:val="Tabletext"/>
              <w:numPr>
                <w:ilvl w:val="0"/>
                <w:numId w:val="43"/>
              </w:numPr>
              <w:ind w:left="311" w:hanging="284"/>
              <w:rPr>
                <w:rStyle w:val="Hyperlink"/>
                <w:rFonts w:cs="Arial"/>
                <w:lang w:val="en"/>
              </w:rPr>
            </w:pPr>
            <w:r w:rsidRPr="007A77A7">
              <w:rPr>
                <w:rFonts w:cs="Arial"/>
                <w:lang w:val="en"/>
              </w:rPr>
              <w:t xml:space="preserve">Evaluate and enhance these questions </w:t>
            </w:r>
            <w:hyperlink r:id="rId18" w:tooltip="View additional details of ACHHS185" w:history="1">
              <w:r w:rsidRPr="007A77A7">
                <w:rPr>
                  <w:rStyle w:val="Hyperlink"/>
                  <w:rFonts w:cs="Arial"/>
                  <w:lang w:val="en"/>
                </w:rPr>
                <w:t>(ACHHS185)</w:t>
              </w:r>
            </w:hyperlink>
          </w:p>
          <w:p w:rsidR="00CD5E9E" w:rsidRPr="00CD5E9E" w:rsidRDefault="00CD5E9E" w:rsidP="00CD5E9E">
            <w:pPr>
              <w:pStyle w:val="Tabletext"/>
              <w:numPr>
                <w:ilvl w:val="0"/>
                <w:numId w:val="43"/>
              </w:numPr>
              <w:ind w:left="311" w:hanging="284"/>
              <w:rPr>
                <w:rStyle w:val="Hyperlink"/>
                <w:color w:val="auto"/>
              </w:rPr>
            </w:pPr>
            <w:r w:rsidRPr="007A77A7">
              <w:rPr>
                <w:rFonts w:cs="Arial"/>
                <w:lang w:val="en"/>
              </w:rPr>
              <w:t xml:space="preserve">Identify and locate relevant sources, using ICT and other methods </w:t>
            </w:r>
            <w:hyperlink r:id="rId19" w:tooltip="View additional details of ACHHS186" w:history="1">
              <w:r w:rsidRPr="007A77A7">
                <w:rPr>
                  <w:rStyle w:val="Hyperlink"/>
                  <w:rFonts w:cs="Arial"/>
                  <w:lang w:val="en"/>
                </w:rPr>
                <w:t>(ACHHS186)</w:t>
              </w:r>
            </w:hyperlink>
          </w:p>
          <w:p w:rsidR="00CD5E9E" w:rsidRDefault="00CD5E9E" w:rsidP="00CD5E9E">
            <w:pPr>
              <w:pStyle w:val="Tablesubhead"/>
            </w:pPr>
            <w:r>
              <w:t>Analysis and use of sources</w:t>
            </w:r>
          </w:p>
          <w:p w:rsidR="00CD5E9E" w:rsidRDefault="00CD5E9E" w:rsidP="00CD5E9E">
            <w:pPr>
              <w:pStyle w:val="Tabletext"/>
              <w:numPr>
                <w:ilvl w:val="0"/>
                <w:numId w:val="43"/>
              </w:numPr>
              <w:ind w:left="311" w:hanging="284"/>
              <w:rPr>
                <w:rStyle w:val="Hyperlink"/>
                <w:rFonts w:cs="Arial"/>
                <w:lang w:val="en"/>
              </w:rPr>
            </w:pPr>
            <w:r w:rsidRPr="007A77A7">
              <w:rPr>
                <w:rFonts w:cs="Arial"/>
                <w:lang w:val="en"/>
              </w:rPr>
              <w:t xml:space="preserve">Identify the origin, purpose and context of primary and secondary sources </w:t>
            </w:r>
            <w:hyperlink r:id="rId20" w:tooltip="View additional details of ACHHS187" w:history="1">
              <w:r w:rsidRPr="007A77A7">
                <w:rPr>
                  <w:rStyle w:val="Hyperlink"/>
                  <w:rFonts w:cs="Arial"/>
                  <w:lang w:val="en"/>
                </w:rPr>
                <w:t>(ACHHS187)</w:t>
              </w:r>
            </w:hyperlink>
          </w:p>
          <w:p w:rsidR="00CD5E9E" w:rsidRPr="00CD5E9E" w:rsidRDefault="00CD5E9E" w:rsidP="00CD5E9E">
            <w:pPr>
              <w:pStyle w:val="Tabletext"/>
              <w:numPr>
                <w:ilvl w:val="0"/>
                <w:numId w:val="43"/>
              </w:numPr>
              <w:ind w:left="311" w:hanging="284"/>
              <w:rPr>
                <w:rStyle w:val="Hyperlink"/>
                <w:color w:val="auto"/>
              </w:rPr>
            </w:pPr>
            <w:r w:rsidRPr="007A77A7">
              <w:rPr>
                <w:rFonts w:cs="Arial"/>
                <w:lang w:val="en"/>
              </w:rPr>
              <w:t xml:space="preserve">Evaluate the reliability and usefulness of primary and secondary sources </w:t>
            </w:r>
            <w:hyperlink r:id="rId21" w:tooltip="View additional details of ACHHS189" w:history="1">
              <w:r w:rsidRPr="007A77A7">
                <w:rPr>
                  <w:rStyle w:val="Hyperlink"/>
                  <w:rFonts w:cs="Arial"/>
                  <w:lang w:val="en"/>
                </w:rPr>
                <w:t>(ACHHS189)</w:t>
              </w:r>
            </w:hyperlink>
          </w:p>
          <w:p w:rsidR="00CD5E9E" w:rsidRDefault="00CD5E9E" w:rsidP="00CD5E9E">
            <w:pPr>
              <w:pStyle w:val="Tablesubhead"/>
            </w:pPr>
            <w:r>
              <w:t>Perspectives and interpretations</w:t>
            </w:r>
          </w:p>
          <w:p w:rsidR="00CD5E9E" w:rsidRDefault="00CD5E9E" w:rsidP="00CD5E9E">
            <w:pPr>
              <w:pStyle w:val="Tabletext"/>
              <w:numPr>
                <w:ilvl w:val="0"/>
                <w:numId w:val="43"/>
              </w:numPr>
              <w:ind w:left="311" w:hanging="284"/>
              <w:rPr>
                <w:rStyle w:val="Hyperlink"/>
                <w:rFonts w:cs="Arial"/>
                <w:lang w:val="en"/>
              </w:rPr>
            </w:pPr>
            <w:r w:rsidRPr="007A77A7">
              <w:rPr>
                <w:rFonts w:cs="Arial"/>
                <w:lang w:val="en"/>
              </w:rPr>
              <w:t xml:space="preserve">Identify and </w:t>
            </w:r>
            <w:r w:rsidRPr="006E478B">
              <w:rPr>
                <w:rFonts w:cs="Arial"/>
              </w:rPr>
              <w:t>analyse</w:t>
            </w:r>
            <w:r w:rsidRPr="007A77A7">
              <w:rPr>
                <w:rFonts w:cs="Arial"/>
                <w:lang w:val="en"/>
              </w:rPr>
              <w:t xml:space="preserve"> the perspectives of people from the past </w:t>
            </w:r>
            <w:hyperlink r:id="rId22" w:tooltip="View additional details of ACHHS190" w:history="1">
              <w:r w:rsidRPr="007A77A7">
                <w:rPr>
                  <w:rStyle w:val="Hyperlink"/>
                  <w:rFonts w:cs="Arial"/>
                  <w:lang w:val="en"/>
                </w:rPr>
                <w:t>(ACHHS190)</w:t>
              </w:r>
            </w:hyperlink>
          </w:p>
          <w:p w:rsidR="00CD5E9E" w:rsidRPr="00CD5E9E" w:rsidRDefault="00CD5E9E" w:rsidP="00CD5E9E">
            <w:pPr>
              <w:pStyle w:val="Tabletext"/>
              <w:numPr>
                <w:ilvl w:val="0"/>
                <w:numId w:val="43"/>
              </w:numPr>
              <w:ind w:left="311" w:hanging="284"/>
              <w:rPr>
                <w:rStyle w:val="Hyperlink"/>
                <w:color w:val="auto"/>
              </w:rPr>
            </w:pPr>
            <w:r w:rsidRPr="007A77A7">
              <w:rPr>
                <w:rFonts w:cs="Arial"/>
                <w:lang w:val="en"/>
              </w:rPr>
              <w:t xml:space="preserve">Identify and </w:t>
            </w:r>
            <w:r w:rsidRPr="006E478B">
              <w:rPr>
                <w:rFonts w:cs="Arial"/>
              </w:rPr>
              <w:t>analyse</w:t>
            </w:r>
            <w:r w:rsidRPr="007A77A7">
              <w:rPr>
                <w:rFonts w:cs="Arial"/>
                <w:lang w:val="en"/>
              </w:rPr>
              <w:t xml:space="preserve"> different historical interpretations (including their own) </w:t>
            </w:r>
            <w:hyperlink r:id="rId23" w:tooltip="View additional details of ACHHS191" w:history="1">
              <w:r w:rsidRPr="007A77A7">
                <w:rPr>
                  <w:rStyle w:val="Hyperlink"/>
                  <w:rFonts w:cs="Arial"/>
                  <w:lang w:val="en"/>
                </w:rPr>
                <w:t>(ACHHS191)</w:t>
              </w:r>
            </w:hyperlink>
          </w:p>
          <w:p w:rsidR="00CD5E9E" w:rsidRDefault="00CD5E9E" w:rsidP="00CD5E9E">
            <w:pPr>
              <w:pStyle w:val="Tablesubhead"/>
            </w:pPr>
            <w:r>
              <w:t>Explanation and communication</w:t>
            </w:r>
          </w:p>
          <w:p w:rsidR="00CD5E9E" w:rsidRDefault="00CD5E9E" w:rsidP="00CD5E9E">
            <w:pPr>
              <w:pStyle w:val="Tabletext"/>
              <w:numPr>
                <w:ilvl w:val="0"/>
                <w:numId w:val="43"/>
              </w:numPr>
              <w:ind w:left="311" w:hanging="284"/>
              <w:rPr>
                <w:rStyle w:val="Hyperlink"/>
                <w:rFonts w:cs="Arial"/>
                <w:lang w:val="en"/>
              </w:rPr>
            </w:pPr>
            <w:r w:rsidRPr="007A77A7">
              <w:rPr>
                <w:rFonts w:cs="Arial"/>
                <w:lang w:val="en"/>
              </w:rPr>
              <w:t>Develop texts, particularly descriptions and discussions that use evidence from a range of sources that are referenced</w:t>
            </w:r>
            <w:r w:rsidR="004A77F3">
              <w:rPr>
                <w:rFonts w:cs="Arial"/>
                <w:lang w:val="en"/>
              </w:rPr>
              <w:br/>
            </w:r>
            <w:hyperlink r:id="rId24" w:tooltip="View additional details of ACHHS192" w:history="1">
              <w:r w:rsidRPr="007A77A7">
                <w:rPr>
                  <w:rStyle w:val="Hyperlink"/>
                  <w:rFonts w:cs="Arial"/>
                  <w:lang w:val="en"/>
                </w:rPr>
                <w:t>(ACHHS192)</w:t>
              </w:r>
            </w:hyperlink>
          </w:p>
          <w:p w:rsidR="00CD5E9E" w:rsidRDefault="00CD5E9E" w:rsidP="00CD5E9E">
            <w:pPr>
              <w:pStyle w:val="Tabletext"/>
              <w:numPr>
                <w:ilvl w:val="0"/>
                <w:numId w:val="43"/>
              </w:numPr>
              <w:ind w:left="311" w:hanging="284"/>
            </w:pPr>
            <w:r w:rsidRPr="007A77A7">
              <w:rPr>
                <w:rFonts w:cs="Arial"/>
                <w:lang w:val="en"/>
              </w:rPr>
              <w:lastRenderedPageBreak/>
              <w:t xml:space="preserve">Select and use a range of communication forms (oral, graphic, written) and digital technologies </w:t>
            </w:r>
            <w:hyperlink r:id="rId25" w:tooltip="View additional details of ACHHS193" w:history="1">
              <w:r w:rsidRPr="007A77A7">
                <w:rPr>
                  <w:rStyle w:val="Hyperlink"/>
                  <w:rFonts w:cs="Arial"/>
                  <w:lang w:val="en"/>
                </w:rPr>
                <w:t>(ACHHS193)</w:t>
              </w:r>
            </w:hyperlink>
          </w:p>
          <w:p w:rsidR="00CD5E9E" w:rsidRPr="00CD5E9E" w:rsidRDefault="00CD5E9E" w:rsidP="00CD5E9E">
            <w:pPr>
              <w:pStyle w:val="Tablesubhead"/>
            </w:pPr>
          </w:p>
        </w:tc>
        <w:tc>
          <w:tcPr>
            <w:tcW w:w="1759" w:type="pct"/>
            <w:shd w:val="clear" w:color="auto" w:fill="auto"/>
          </w:tcPr>
          <w:p w:rsidR="008338F8" w:rsidRDefault="00EC1CA2" w:rsidP="00204E20">
            <w:pPr>
              <w:pStyle w:val="Tablesubhead"/>
              <w:tabs>
                <w:tab w:val="left" w:pos="686"/>
              </w:tabs>
              <w:ind w:left="510" w:hanging="510"/>
            </w:pPr>
            <w:r>
              <w:rPr>
                <w:noProof/>
                <w:sz w:val="17"/>
                <w:szCs w:val="17"/>
                <w:lang w:eastAsia="en-AU"/>
              </w:rPr>
              <w:lastRenderedPageBreak/>
              <w:drawing>
                <wp:inline distT="0" distB="0" distL="0" distR="0">
                  <wp:extent cx="190500" cy="190500"/>
                  <wp:effectExtent l="0" t="0" r="0" b="0"/>
                  <wp:docPr id="8"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38F8">
              <w:rPr>
                <w:sz w:val="17"/>
                <w:szCs w:val="17"/>
              </w:rPr>
              <w:tab/>
            </w:r>
            <w:r w:rsidR="008338F8" w:rsidRPr="00790B29">
              <w:t>Literacy</w:t>
            </w:r>
          </w:p>
          <w:p w:rsidR="008338F8" w:rsidRDefault="00BE3D8A" w:rsidP="00204E20">
            <w:pPr>
              <w:pStyle w:val="GCCbullets"/>
              <w:ind w:left="510" w:hanging="357"/>
              <w:rPr>
                <w:sz w:val="21"/>
              </w:rPr>
            </w:pPr>
            <w:r>
              <w:t>Define and use terms and concepts relevant to the unit</w:t>
            </w:r>
            <w:r w:rsidR="001A5610">
              <w:t xml:space="preserve">. Create a vocabulary list of these terms </w:t>
            </w:r>
          </w:p>
          <w:p w:rsidR="008338F8" w:rsidRDefault="00EC1CA2" w:rsidP="00204E20">
            <w:pPr>
              <w:pStyle w:val="Tablesubhead"/>
              <w:tabs>
                <w:tab w:val="left" w:pos="686"/>
              </w:tabs>
              <w:ind w:left="510" w:hanging="510"/>
              <w:rPr>
                <w:sz w:val="21"/>
              </w:rPr>
            </w:pPr>
            <w:r>
              <w:rPr>
                <w:noProof/>
                <w:sz w:val="17"/>
                <w:szCs w:val="17"/>
                <w:lang w:eastAsia="en-AU"/>
              </w:rPr>
              <w:drawing>
                <wp:inline distT="0" distB="0" distL="0" distR="0">
                  <wp:extent cx="190500" cy="190500"/>
                  <wp:effectExtent l="0" t="0" r="0" b="0"/>
                  <wp:docPr id="3"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38F8">
              <w:rPr>
                <w:sz w:val="17"/>
                <w:szCs w:val="17"/>
              </w:rPr>
              <w:tab/>
            </w:r>
            <w:r w:rsidR="008338F8">
              <w:t>Numeracy</w:t>
            </w:r>
          </w:p>
          <w:p w:rsidR="008338F8" w:rsidRPr="00790B29" w:rsidRDefault="00BE3D8A" w:rsidP="00204E20">
            <w:pPr>
              <w:pStyle w:val="GCCbullets"/>
              <w:ind w:left="510" w:hanging="357"/>
              <w:rPr>
                <w:sz w:val="21"/>
              </w:rPr>
            </w:pPr>
            <w:r>
              <w:t>Use timelines to explore the effects on an event in different geographical locations</w:t>
            </w:r>
          </w:p>
          <w:p w:rsidR="008338F8" w:rsidRPr="00790B29" w:rsidRDefault="00EC1CA2" w:rsidP="00204E20">
            <w:pPr>
              <w:pStyle w:val="Tablesubhead"/>
              <w:tabs>
                <w:tab w:val="left" w:pos="686"/>
              </w:tabs>
              <w:ind w:left="510" w:hanging="510"/>
              <w:rPr>
                <w:sz w:val="21"/>
              </w:rPr>
            </w:pPr>
            <w:r>
              <w:rPr>
                <w:noProof/>
                <w:sz w:val="17"/>
                <w:szCs w:val="17"/>
                <w:lang w:eastAsia="en-AU"/>
              </w:rPr>
              <w:drawing>
                <wp:inline distT="0" distB="0" distL="0" distR="0">
                  <wp:extent cx="190500" cy="190500"/>
                  <wp:effectExtent l="0" t="0" r="0" b="0"/>
                  <wp:docPr id="4"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38F8">
              <w:rPr>
                <w:sz w:val="17"/>
                <w:szCs w:val="17"/>
              </w:rPr>
              <w:tab/>
            </w:r>
            <w:r w:rsidR="008338F8" w:rsidRPr="00D9526A">
              <w:t>ICT</w:t>
            </w:r>
            <w:r w:rsidR="008338F8" w:rsidRPr="00790B29">
              <w:rPr>
                <w:b w:val="0"/>
              </w:rPr>
              <w:t xml:space="preserve"> </w:t>
            </w:r>
            <w:r w:rsidR="008338F8" w:rsidRPr="00D9526A">
              <w:t>capability</w:t>
            </w:r>
          </w:p>
          <w:p w:rsidR="008338F8" w:rsidRPr="00F16628" w:rsidRDefault="00BE3D8A" w:rsidP="00204E20">
            <w:pPr>
              <w:pStyle w:val="GCCbullets"/>
              <w:ind w:left="510" w:hanging="357"/>
              <w:rPr>
                <w:sz w:val="21"/>
              </w:rPr>
            </w:pPr>
            <w:r>
              <w:t>Use a range of digital technologies</w:t>
            </w:r>
            <w:r w:rsidR="00FE28FC">
              <w:t xml:space="preserve"> (such as online search tools and databases)</w:t>
            </w:r>
            <w:r>
              <w:t xml:space="preserve"> to assist with investigating concepts</w:t>
            </w:r>
          </w:p>
          <w:p w:rsidR="008338F8" w:rsidRPr="00790B29" w:rsidRDefault="00EC1CA2" w:rsidP="00204E20">
            <w:pPr>
              <w:pStyle w:val="Tablesubhead"/>
              <w:tabs>
                <w:tab w:val="left" w:pos="686"/>
              </w:tabs>
              <w:ind w:left="510" w:hanging="510"/>
              <w:rPr>
                <w:sz w:val="21"/>
              </w:rPr>
            </w:pPr>
            <w:r>
              <w:rPr>
                <w:noProof/>
                <w:sz w:val="17"/>
                <w:szCs w:val="17"/>
                <w:lang w:eastAsia="en-AU"/>
              </w:rPr>
              <w:drawing>
                <wp:inline distT="0" distB="0" distL="0" distR="0">
                  <wp:extent cx="190500" cy="190500"/>
                  <wp:effectExtent l="0" t="0" r="0" b="0"/>
                  <wp:docPr id="5"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38F8">
              <w:rPr>
                <w:sz w:val="17"/>
                <w:szCs w:val="17"/>
              </w:rPr>
              <w:tab/>
            </w:r>
            <w:r w:rsidR="008338F8" w:rsidRPr="00790B29">
              <w:t>Critical and creative thinking</w:t>
            </w:r>
          </w:p>
          <w:p w:rsidR="008338F8" w:rsidRPr="00F16628" w:rsidRDefault="00BE3D8A" w:rsidP="00204E20">
            <w:pPr>
              <w:pStyle w:val="GCCbullets"/>
              <w:ind w:left="510" w:hanging="357"/>
              <w:rPr>
                <w:sz w:val="21"/>
              </w:rPr>
            </w:pPr>
            <w:r>
              <w:t>Modify a key question in an inquiry depending on the suitability of the sources available</w:t>
            </w:r>
          </w:p>
          <w:p w:rsidR="008338F8" w:rsidRDefault="00EC1CA2" w:rsidP="00204E20">
            <w:pPr>
              <w:pStyle w:val="Tablesubhead"/>
              <w:tabs>
                <w:tab w:val="left" w:pos="686"/>
              </w:tabs>
              <w:ind w:left="510" w:hanging="510"/>
              <w:rPr>
                <w:sz w:val="21"/>
              </w:rPr>
            </w:pPr>
            <w:r>
              <w:rPr>
                <w:noProof/>
                <w:sz w:val="17"/>
                <w:szCs w:val="17"/>
                <w:lang w:eastAsia="en-AU"/>
              </w:rPr>
              <w:drawing>
                <wp:inline distT="0" distB="0" distL="0" distR="0">
                  <wp:extent cx="190500" cy="190500"/>
                  <wp:effectExtent l="0" t="0" r="0" b="0"/>
                  <wp:docPr id="6" name="Picture 7"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ethic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38F8">
              <w:rPr>
                <w:sz w:val="17"/>
                <w:szCs w:val="17"/>
              </w:rPr>
              <w:tab/>
            </w:r>
            <w:r w:rsidR="008338F8">
              <w:t>Ethical behaviour</w:t>
            </w:r>
          </w:p>
          <w:p w:rsidR="008338F8" w:rsidRDefault="00B843F2" w:rsidP="00204E20">
            <w:pPr>
              <w:pStyle w:val="GCCbullets"/>
              <w:ind w:left="510" w:hanging="357"/>
              <w:rPr>
                <w:sz w:val="21"/>
              </w:rPr>
            </w:pPr>
            <w:r>
              <w:t xml:space="preserve">Investigate methods used by civil rights activists </w:t>
            </w:r>
          </w:p>
          <w:p w:rsidR="008338F8" w:rsidRPr="00790B29" w:rsidRDefault="00EC1CA2" w:rsidP="00204E20">
            <w:pPr>
              <w:pStyle w:val="Tablesubhead"/>
              <w:tabs>
                <w:tab w:val="left" w:pos="686"/>
              </w:tabs>
              <w:ind w:left="510" w:hanging="510"/>
              <w:rPr>
                <w:sz w:val="21"/>
              </w:rPr>
            </w:pPr>
            <w:r>
              <w:rPr>
                <w:noProof/>
                <w:sz w:val="17"/>
                <w:szCs w:val="17"/>
                <w:lang w:eastAsia="en-AU"/>
              </w:rPr>
              <w:drawing>
                <wp:inline distT="0" distB="0" distL="0" distR="0">
                  <wp:extent cx="190500" cy="190500"/>
                  <wp:effectExtent l="0" t="0" r="0" b="0"/>
                  <wp:docPr id="7"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38F8">
              <w:rPr>
                <w:sz w:val="17"/>
                <w:szCs w:val="17"/>
              </w:rPr>
              <w:tab/>
            </w:r>
            <w:r w:rsidR="008338F8">
              <w:t>Intercultural understanding</w:t>
            </w:r>
          </w:p>
          <w:p w:rsidR="008338F8" w:rsidRDefault="00B843F2" w:rsidP="00204E20">
            <w:pPr>
              <w:pStyle w:val="GCCbullets"/>
              <w:ind w:left="510" w:hanging="357"/>
              <w:rPr>
                <w:sz w:val="21"/>
              </w:rPr>
            </w:pPr>
            <w:r>
              <w:t>Explore the continuing nature of efforts to secure civil rights and freedoms in Australia and throughout the world</w:t>
            </w:r>
          </w:p>
          <w:p w:rsidR="008338F8" w:rsidRDefault="00EC1CA2" w:rsidP="00204E20">
            <w:pPr>
              <w:pStyle w:val="Tablesubhead"/>
              <w:tabs>
                <w:tab w:val="left" w:pos="686"/>
              </w:tabs>
              <w:ind w:left="510" w:hanging="510"/>
              <w:rPr>
                <w:sz w:val="21"/>
              </w:rPr>
            </w:pPr>
            <w:r>
              <w:rPr>
                <w:noProof/>
                <w:lang w:eastAsia="en-AU"/>
              </w:rPr>
              <mc:AlternateContent>
                <mc:Choice Requires="wpg">
                  <w:drawing>
                    <wp:inline distT="0" distB="0" distL="0" distR="0">
                      <wp:extent cx="457200" cy="144780"/>
                      <wp:effectExtent l="0" t="0" r="0" b="7620"/>
                      <wp:docPr id="9"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1" name="Picture 10" descr="flag_aborigina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1" descr="flag_torres_strait_islande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uOavAAAAA2wAAAA8AAABkcnMvZG93bnJldi54bWxET81qwkAQvhf6DssUeik6iaWlRNdQAoIg&#10;PRh9gCE7JsHsbMhuY/L2XaHgbT6+39nkk+3UyINvnWhIlwkolsqZVmoN59Nu8QXKBxJDnRPWMLOH&#10;fPv8tKHMuJsceSxDrWKI+Iw0NCH0GaKvGrbkl65nidzFDZZChEONZqBbDLcdrpLkEy21Ehsa6rlo&#10;uLqWv1bDrk4c/ryPReHn8jC/OaTqA7V+fZm+16ACT+Eh/nfvTZyfwv2XeAB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u45q8AAAADbAAAADwAAAAAAAAAAAAAAAACfAgAA&#10;ZHJzL2Rvd25yZXYueG1sUEsFBgAAAAAEAAQA9wAAAIwDAAAAAA==&#10;">
                        <v:imagedata r:id="rId34"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3zjvBAAAA2wAAAA8AAABkcnMvZG93bnJldi54bWxET01rwkAQvRf8D8sI3urGIKGkrlIUabw1&#10;abXXITvJhmZnQ3ar8d93C4Xe5vE+Z7ObbC+uNPrOsYLVMgFBXDvdcavg4/34+ATCB2SNvWNScCcP&#10;u+3sYYO5djcu6VqFVsQQ9jkqMCEMuZS+NmTRL91AHLnGjRZDhGMr9Yi3GG57mSZJJi12HBsMDrQ3&#10;VH9V31ZBVZEpGvN2/rTr0ys1l7LODkapxXx6eQYRaAr/4j93oeP8FH5/iQfI7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03zjvBAAAA2wAAAA8AAAAAAAAAAAAAAAAAnwIA&#10;AGRycy9kb3ducmV2LnhtbFBLBQYAAAAABAAEAPcAAACNAwAAAAA=&#10;">
                        <v:imagedata r:id="rId35" o:title="flag_torres_strait_islander"/>
                      </v:shape>
                      <w10:anchorlock/>
                    </v:group>
                  </w:pict>
                </mc:Fallback>
              </mc:AlternateContent>
            </w:r>
            <w:r w:rsidR="008338F8">
              <w:t xml:space="preserve"> </w:t>
            </w:r>
            <w:r w:rsidR="008338F8" w:rsidRPr="003E4E3E">
              <w:t>Aboriginal and Torres Strait Islander histories and cultures</w:t>
            </w:r>
          </w:p>
          <w:p w:rsidR="008338F8" w:rsidRDefault="00B843F2" w:rsidP="00204E20">
            <w:pPr>
              <w:pStyle w:val="GCCbullets"/>
              <w:ind w:left="510" w:hanging="357"/>
              <w:rPr>
                <w:sz w:val="21"/>
              </w:rPr>
            </w:pPr>
            <w:r>
              <w:t xml:space="preserve">Explore </w:t>
            </w:r>
            <w:r w:rsidRPr="002B2977">
              <w:t>the</w:t>
            </w:r>
            <w:r>
              <w:t xml:space="preserve"> background to the struggle of Aboriginal and Torres Strait Islander peoples for rights and freedoms</w:t>
            </w:r>
          </w:p>
          <w:p w:rsidR="008338F8" w:rsidRPr="00030551" w:rsidRDefault="008338F8" w:rsidP="00B843F2">
            <w:pPr>
              <w:pStyle w:val="Tablesubhead"/>
              <w:tabs>
                <w:tab w:val="left" w:pos="510"/>
              </w:tabs>
              <w:ind w:left="510" w:hanging="510"/>
            </w:pPr>
          </w:p>
        </w:tc>
      </w:tr>
    </w:tbl>
    <w:p w:rsidR="002B2977" w:rsidRDefault="002B2977" w:rsidP="00035485">
      <w:pPr>
        <w:pStyle w:val="smallspace"/>
      </w:pPr>
      <w:r>
        <w:lastRenderedPageBreak/>
        <w:br w:type="page"/>
      </w:r>
    </w:p>
    <w:tbl>
      <w:tblPr>
        <w:tblW w:w="14558"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078"/>
        <w:gridCol w:w="2079"/>
        <w:gridCol w:w="2079"/>
        <w:gridCol w:w="2079"/>
        <w:gridCol w:w="2079"/>
        <w:gridCol w:w="2079"/>
        <w:gridCol w:w="2085"/>
      </w:tblGrid>
      <w:tr w:rsidR="003C2CDD" w:rsidRPr="00561E58" w:rsidTr="00C05D8C">
        <w:trPr>
          <w:jc w:val="center"/>
        </w:trPr>
        <w:tc>
          <w:tcPr>
            <w:tcW w:w="5000" w:type="pct"/>
            <w:gridSpan w:val="7"/>
            <w:shd w:val="clear" w:color="auto" w:fill="CFE7E6"/>
          </w:tcPr>
          <w:p w:rsidR="003C2CDD" w:rsidRDefault="003C2CDD" w:rsidP="00C6459D">
            <w:pPr>
              <w:pStyle w:val="Tablesubhead"/>
            </w:pPr>
            <w:r>
              <w:t>Historical Understanding</w:t>
            </w:r>
          </w:p>
        </w:tc>
      </w:tr>
      <w:tr w:rsidR="00611052" w:rsidRPr="00561E58" w:rsidTr="00B72C73">
        <w:trPr>
          <w:trHeight w:val="199"/>
          <w:jc w:val="center"/>
        </w:trPr>
        <w:tc>
          <w:tcPr>
            <w:tcW w:w="5000" w:type="pct"/>
            <w:gridSpan w:val="7"/>
            <w:tcBorders>
              <w:bottom w:val="nil"/>
            </w:tcBorders>
            <w:shd w:val="clear" w:color="auto" w:fill="auto"/>
          </w:tcPr>
          <w:p w:rsidR="00611052" w:rsidRPr="0020323C" w:rsidRDefault="00611052" w:rsidP="00DB0675">
            <w:pPr>
              <w:pStyle w:val="Tabletext"/>
            </w:pPr>
            <w:r>
              <w:t>This depth study provides opportunities for students to develop historical understandings particularly focused on the key concepts of:</w:t>
            </w:r>
          </w:p>
        </w:tc>
      </w:tr>
      <w:tr w:rsidR="00611052" w:rsidRPr="00561E58" w:rsidTr="00204E20">
        <w:trPr>
          <w:trHeight w:val="255"/>
          <w:jc w:val="center"/>
        </w:trPr>
        <w:tc>
          <w:tcPr>
            <w:tcW w:w="714" w:type="pct"/>
            <w:tcBorders>
              <w:top w:val="nil"/>
              <w:bottom w:val="single" w:sz="4" w:space="0" w:color="00928F"/>
              <w:right w:val="nil"/>
            </w:tcBorders>
            <w:shd w:val="clear" w:color="auto" w:fill="auto"/>
          </w:tcPr>
          <w:p w:rsidR="00611052" w:rsidRDefault="00611052" w:rsidP="00204E20">
            <w:pPr>
              <w:pStyle w:val="Tablesubhead"/>
              <w:ind w:left="340" w:hanging="329"/>
              <w:rPr>
                <w:sz w:val="21"/>
              </w:rPr>
            </w:pPr>
            <w:r>
              <w:rPr>
                <w:rFonts w:ascii="MS Gothic" w:eastAsia="MS Gothic" w:hAnsi="MS Gothic" w:hint="eastAsia"/>
              </w:rPr>
              <w:t>☒</w:t>
            </w:r>
            <w:r>
              <w:t xml:space="preserve">  Evidence</w:t>
            </w:r>
          </w:p>
          <w:p w:rsidR="00611052" w:rsidRPr="006F6C27" w:rsidDel="00C05D8C" w:rsidRDefault="00611052" w:rsidP="00666793">
            <w:pPr>
              <w:pStyle w:val="Tablesubhead"/>
              <w:rPr>
                <w:b w:val="0"/>
                <w:highlight w:val="yellow"/>
              </w:rPr>
            </w:pPr>
            <w:r w:rsidRPr="006F6C27">
              <w:rPr>
                <w:b w:val="0"/>
              </w:rPr>
              <w:t>Information obtained from historical sources used to construct an explanation or narrative, to support a hypothesis, or prove or disprove a conclusion.</w:t>
            </w:r>
          </w:p>
        </w:tc>
        <w:tc>
          <w:tcPr>
            <w:tcW w:w="714" w:type="pct"/>
            <w:tcBorders>
              <w:top w:val="nil"/>
              <w:left w:val="nil"/>
              <w:bottom w:val="single" w:sz="4" w:space="0" w:color="00928F"/>
              <w:right w:val="nil"/>
            </w:tcBorders>
            <w:shd w:val="clear" w:color="auto" w:fill="auto"/>
          </w:tcPr>
          <w:p w:rsidR="00611052" w:rsidRDefault="00611052" w:rsidP="00204E20">
            <w:pPr>
              <w:pStyle w:val="Tablesubhead"/>
              <w:ind w:left="351" w:hanging="340"/>
              <w:rPr>
                <w:sz w:val="21"/>
              </w:rPr>
            </w:pPr>
            <w:r>
              <w:rPr>
                <w:rFonts w:ascii="MS Gothic" w:eastAsia="MS Gothic" w:hAnsi="MS Gothic" w:hint="eastAsia"/>
              </w:rPr>
              <w:t>☒</w:t>
            </w:r>
            <w:r>
              <w:t xml:space="preserve">  Continuity and change</w:t>
            </w:r>
          </w:p>
          <w:p w:rsidR="00611052" w:rsidRPr="006F6C27" w:rsidDel="00C05D8C" w:rsidRDefault="00611052" w:rsidP="00C05D8C">
            <w:pPr>
              <w:pStyle w:val="Tablesubhead"/>
              <w:ind w:left="12"/>
              <w:rPr>
                <w:b w:val="0"/>
                <w:highlight w:val="yellow"/>
              </w:rPr>
            </w:pPr>
            <w:r w:rsidRPr="006F6C27">
              <w:rPr>
                <w:b w:val="0"/>
              </w:rPr>
              <w:t>Continuities are aspects of the past that have remained the same over certain periods of time. Changes are events or developments from the past that represent modifications, alterations and transformations.</w:t>
            </w:r>
          </w:p>
        </w:tc>
        <w:tc>
          <w:tcPr>
            <w:tcW w:w="714" w:type="pct"/>
            <w:tcBorders>
              <w:top w:val="nil"/>
              <w:left w:val="nil"/>
              <w:bottom w:val="single" w:sz="4" w:space="0" w:color="00928F"/>
              <w:right w:val="nil"/>
            </w:tcBorders>
            <w:shd w:val="clear" w:color="auto" w:fill="auto"/>
          </w:tcPr>
          <w:p w:rsidR="00611052" w:rsidRDefault="00611052" w:rsidP="00204E20">
            <w:pPr>
              <w:pStyle w:val="Tablesubhead"/>
              <w:ind w:left="351" w:hanging="340"/>
              <w:rPr>
                <w:sz w:val="21"/>
              </w:rPr>
            </w:pPr>
            <w:r>
              <w:rPr>
                <w:rFonts w:ascii="MS Gothic" w:eastAsia="MS Gothic" w:hAnsi="MS Gothic" w:hint="eastAsia"/>
              </w:rPr>
              <w:t>☒</w:t>
            </w:r>
            <w:r>
              <w:t xml:space="preserve">  Cause and effect</w:t>
            </w:r>
          </w:p>
          <w:p w:rsidR="00611052" w:rsidRPr="006F6C27" w:rsidDel="00C05D8C" w:rsidRDefault="00611052" w:rsidP="00C05D8C">
            <w:pPr>
              <w:pStyle w:val="Tablesubhead"/>
              <w:rPr>
                <w:b w:val="0"/>
                <w:highlight w:val="yellow"/>
              </w:rPr>
            </w:pPr>
            <w:r w:rsidRPr="006F6C27">
              <w:rPr>
                <w:b w:val="0"/>
              </w:rPr>
              <w:t>The relationship between a factor or set of factors (cause/s) and consequence/s (effect/s). These form sequences of events and developments over time.</w:t>
            </w:r>
          </w:p>
        </w:tc>
        <w:tc>
          <w:tcPr>
            <w:tcW w:w="714" w:type="pct"/>
            <w:tcBorders>
              <w:top w:val="nil"/>
              <w:left w:val="nil"/>
              <w:bottom w:val="single" w:sz="4" w:space="0" w:color="00928F"/>
              <w:right w:val="nil"/>
            </w:tcBorders>
            <w:shd w:val="clear" w:color="auto" w:fill="auto"/>
          </w:tcPr>
          <w:p w:rsidR="00611052" w:rsidRDefault="00611052" w:rsidP="00204E20">
            <w:pPr>
              <w:pStyle w:val="Tablesubhead"/>
              <w:ind w:left="340" w:hanging="329"/>
              <w:rPr>
                <w:sz w:val="21"/>
              </w:rPr>
            </w:pPr>
            <w:r>
              <w:rPr>
                <w:rFonts w:ascii="MS Gothic" w:eastAsia="MS Gothic" w:hAnsi="MS Gothic" w:hint="eastAsia"/>
              </w:rPr>
              <w:t>☒</w:t>
            </w:r>
            <w:r>
              <w:t xml:space="preserve">  Perspectives </w:t>
            </w:r>
          </w:p>
          <w:p w:rsidR="00611052" w:rsidRPr="006F6C27" w:rsidDel="00C05D8C" w:rsidRDefault="00611052" w:rsidP="00C05D8C">
            <w:pPr>
              <w:pStyle w:val="Tablesubhead"/>
              <w:rPr>
                <w:b w:val="0"/>
                <w:highlight w:val="yellow"/>
              </w:rPr>
            </w:pPr>
            <w:r w:rsidRPr="006F6C27">
              <w:rPr>
                <w:b w:val="0"/>
              </w:rPr>
              <w:t>A point of view or position from which events are seen and understood, and influenced by age, gender, culture, social position and beliefs and values.</w:t>
            </w:r>
          </w:p>
        </w:tc>
        <w:tc>
          <w:tcPr>
            <w:tcW w:w="714" w:type="pct"/>
            <w:tcBorders>
              <w:top w:val="nil"/>
              <w:left w:val="nil"/>
              <w:bottom w:val="single" w:sz="4" w:space="0" w:color="00928F"/>
              <w:right w:val="nil"/>
            </w:tcBorders>
            <w:shd w:val="clear" w:color="auto" w:fill="auto"/>
          </w:tcPr>
          <w:p w:rsidR="00611052" w:rsidRDefault="00611052" w:rsidP="00204E20">
            <w:pPr>
              <w:pStyle w:val="Tablesubhead"/>
              <w:ind w:left="340" w:hanging="329"/>
              <w:rPr>
                <w:sz w:val="21"/>
              </w:rPr>
            </w:pPr>
            <w:r>
              <w:rPr>
                <w:rFonts w:ascii="MS Gothic" w:eastAsia="MS Gothic" w:hAnsi="MS Gothic" w:hint="eastAsia"/>
              </w:rPr>
              <w:t>☒</w:t>
            </w:r>
            <w:r>
              <w:t xml:space="preserve">  Empathy</w:t>
            </w:r>
          </w:p>
          <w:p w:rsidR="00611052" w:rsidRPr="006F6C27" w:rsidDel="00C05D8C" w:rsidRDefault="00611052" w:rsidP="00C05D8C">
            <w:pPr>
              <w:pStyle w:val="Tablesubhead"/>
              <w:rPr>
                <w:b w:val="0"/>
                <w:highlight w:val="yellow"/>
              </w:rPr>
            </w:pPr>
            <w:r w:rsidRPr="006F6C27">
              <w:rPr>
                <w:b w:val="0"/>
              </w:rPr>
              <w:t>An understanding of the past from the point of view of the participant/s, including an appreciation of the circumstances faced, and the motivations, values and attitudes behind actions.</w:t>
            </w:r>
          </w:p>
        </w:tc>
        <w:tc>
          <w:tcPr>
            <w:tcW w:w="714" w:type="pct"/>
            <w:tcBorders>
              <w:top w:val="nil"/>
              <w:left w:val="nil"/>
              <w:bottom w:val="single" w:sz="4" w:space="0" w:color="00928F"/>
              <w:right w:val="nil"/>
            </w:tcBorders>
            <w:shd w:val="clear" w:color="auto" w:fill="auto"/>
          </w:tcPr>
          <w:p w:rsidR="00611052" w:rsidRDefault="00611052" w:rsidP="00204E20">
            <w:pPr>
              <w:pStyle w:val="Tablesubhead"/>
              <w:ind w:left="340" w:hanging="329"/>
              <w:rPr>
                <w:sz w:val="21"/>
              </w:rPr>
            </w:pPr>
            <w:r>
              <w:rPr>
                <w:rFonts w:ascii="MS Gothic" w:eastAsia="MS Gothic" w:hAnsi="MS Gothic" w:hint="eastAsia"/>
              </w:rPr>
              <w:t>☒</w:t>
            </w:r>
            <w:r>
              <w:t xml:space="preserve">  Significance</w:t>
            </w:r>
          </w:p>
          <w:p w:rsidR="00611052" w:rsidRPr="006F6C27" w:rsidDel="00C05D8C" w:rsidRDefault="00611052" w:rsidP="00C05D8C">
            <w:pPr>
              <w:pStyle w:val="Tablesubhead"/>
              <w:rPr>
                <w:b w:val="0"/>
                <w:highlight w:val="yellow"/>
              </w:rPr>
            </w:pPr>
            <w:r w:rsidRPr="006F6C27">
              <w:rPr>
                <w:b w:val="0"/>
              </w:rPr>
              <w:t>The importance that is assigned to particular aspects of the past, such as events, developments, movements and historical sites, and includes an examination of the principles behind the selection of what should be investigated and remembered.</w:t>
            </w:r>
          </w:p>
        </w:tc>
        <w:tc>
          <w:tcPr>
            <w:tcW w:w="716" w:type="pct"/>
            <w:tcBorders>
              <w:top w:val="nil"/>
              <w:left w:val="nil"/>
              <w:bottom w:val="single" w:sz="4" w:space="0" w:color="00928F"/>
            </w:tcBorders>
            <w:shd w:val="clear" w:color="auto" w:fill="auto"/>
          </w:tcPr>
          <w:p w:rsidR="00611052" w:rsidRDefault="00611052" w:rsidP="00204E20">
            <w:pPr>
              <w:pStyle w:val="Tablesubhead"/>
              <w:ind w:left="340" w:hanging="329"/>
              <w:rPr>
                <w:sz w:val="21"/>
              </w:rPr>
            </w:pPr>
            <w:r>
              <w:rPr>
                <w:rFonts w:ascii="MS Gothic" w:eastAsia="MS Gothic" w:hAnsi="MS Gothic" w:hint="eastAsia"/>
              </w:rPr>
              <w:t>☒</w:t>
            </w:r>
            <w:r>
              <w:t xml:space="preserve">  Contestability</w:t>
            </w:r>
          </w:p>
          <w:p w:rsidR="00611052" w:rsidRPr="006F6C27" w:rsidDel="00C05D8C" w:rsidRDefault="00611052" w:rsidP="00C05D8C">
            <w:pPr>
              <w:pStyle w:val="Tablesubhead"/>
              <w:rPr>
                <w:b w:val="0"/>
                <w:highlight w:val="yellow"/>
              </w:rPr>
            </w:pPr>
            <w:r w:rsidRPr="006F6C27">
              <w:rPr>
                <w:b w:val="0"/>
              </w:rPr>
              <w:t>Debate about particular interpretations of the past as a result of the nature of available evidence and/or different perspectives.</w:t>
            </w:r>
          </w:p>
        </w:tc>
      </w:tr>
      <w:tr w:rsidR="00611052" w:rsidRPr="00561E58" w:rsidTr="00B72C73">
        <w:trPr>
          <w:jc w:val="center"/>
        </w:trPr>
        <w:tc>
          <w:tcPr>
            <w:tcW w:w="5000" w:type="pct"/>
            <w:gridSpan w:val="7"/>
            <w:tcBorders>
              <w:top w:val="single" w:sz="4" w:space="0" w:color="00928F"/>
            </w:tcBorders>
            <w:shd w:val="clear" w:color="auto" w:fill="CFE7E6"/>
          </w:tcPr>
          <w:p w:rsidR="00611052" w:rsidRPr="00C6459D" w:rsidRDefault="00611052" w:rsidP="00C05D8C">
            <w:pPr>
              <w:pStyle w:val="Tablesubhead"/>
            </w:pPr>
            <w:r>
              <w:t>Achievement standard</w:t>
            </w:r>
          </w:p>
        </w:tc>
      </w:tr>
      <w:tr w:rsidR="00611052" w:rsidRPr="00561E58" w:rsidTr="00C05D8C">
        <w:trPr>
          <w:jc w:val="center"/>
        </w:trPr>
        <w:tc>
          <w:tcPr>
            <w:tcW w:w="5000" w:type="pct"/>
            <w:gridSpan w:val="7"/>
            <w:shd w:val="clear" w:color="auto" w:fill="auto"/>
          </w:tcPr>
          <w:p w:rsidR="00611052" w:rsidRDefault="00611052" w:rsidP="00DB0675">
            <w:pPr>
              <w:pStyle w:val="Tabletext"/>
            </w:pPr>
            <w:r w:rsidRPr="00923030">
              <w:t>By the end of Year 10, students refer to key events, the actions of individuals and groups, and beliefs and values to explain patterns of change and continuity over time. They analyse the causes and effects of events and developments and explain their relative importance. They explain the context for people’s actions in the past. Students explain the significance of events and developments from a range of perspectives. They explain different interpretations of the past and recognise the evidence used to support these interpretations.</w:t>
            </w:r>
          </w:p>
          <w:p w:rsidR="004A77F3" w:rsidRDefault="004A77F3" w:rsidP="00DB0675">
            <w:pPr>
              <w:pStyle w:val="Tabletext"/>
            </w:pPr>
          </w:p>
          <w:p w:rsidR="00611052" w:rsidRPr="00DB0675" w:rsidRDefault="00611052" w:rsidP="00DB0675">
            <w:pPr>
              <w:pStyle w:val="Tabletext"/>
            </w:pPr>
            <w:r w:rsidRPr="00DD7194">
              <w:t>Students sequence events and developments within a chronological framework, and identify relationships between events across different places and periods of time. When researching, students develop, evaluate and modify questions to frame an historical inquiry. They process, analyse and synthesise information from a range of primary and secondary sources and use it as evidence to answer inquiry questions. Students analyse sources to identify motivations, values and attitudes. When evaluating these sources, they analyse and draw conclusions about their usefulness, taking into account their origin, purpose, and context. They develop and justify their own interpretations about the past. Students develop texts, particularly explanations and discussions, incorporating historical argument. In developing these texts and organising and presenting their arguments, they use historical terms and concepts, evidence identified in sources, an</w:t>
            </w:r>
            <w:r>
              <w:t>d they reference these sources.</w:t>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C50AE1" w:rsidTr="00EC3B20">
        <w:trPr>
          <w:tblHeader/>
          <w:jc w:val="center"/>
        </w:trPr>
        <w:tc>
          <w:tcPr>
            <w:tcW w:w="2519" w:type="pct"/>
            <w:tcBorders>
              <w:bottom w:val="single" w:sz="4" w:space="0" w:color="00928F"/>
            </w:tcBorders>
            <w:shd w:val="clear" w:color="auto" w:fill="CFE7E6"/>
          </w:tcPr>
          <w:p w:rsidR="001F6C01" w:rsidRPr="004E0C69" w:rsidRDefault="001F6C01" w:rsidP="00A343ED">
            <w:pPr>
              <w:pStyle w:val="Tablesubhead"/>
            </w:pPr>
            <w:r w:rsidRPr="004E0C69">
              <w:t>Relevant prior curriculum</w:t>
            </w:r>
          </w:p>
        </w:tc>
        <w:tc>
          <w:tcPr>
            <w:tcW w:w="2481" w:type="pct"/>
            <w:tcBorders>
              <w:bottom w:val="single" w:sz="4" w:space="0" w:color="00928F"/>
            </w:tcBorders>
            <w:shd w:val="clear" w:color="auto" w:fill="CFE7E6"/>
          </w:tcPr>
          <w:p w:rsidR="001F6C01" w:rsidRPr="004E0C69" w:rsidRDefault="001F6C01" w:rsidP="00A343ED">
            <w:pPr>
              <w:pStyle w:val="Tablesubhead"/>
            </w:pPr>
            <w:r w:rsidRPr="004E0C69">
              <w:t>Curriculum working towards</w:t>
            </w:r>
          </w:p>
        </w:tc>
      </w:tr>
      <w:tr w:rsidR="001F6C01" w:rsidRPr="009927F7" w:rsidTr="00EC3B20">
        <w:trPr>
          <w:trHeight w:val="7836"/>
          <w:tblHeader/>
          <w:jc w:val="center"/>
        </w:trPr>
        <w:tc>
          <w:tcPr>
            <w:tcW w:w="2519" w:type="pct"/>
            <w:tcBorders>
              <w:bottom w:val="single" w:sz="4" w:space="0" w:color="00928F"/>
            </w:tcBorders>
            <w:shd w:val="clear" w:color="auto" w:fill="auto"/>
          </w:tcPr>
          <w:p w:rsidR="004C0E00" w:rsidRDefault="004C0E00" w:rsidP="004C0E00">
            <w:pPr>
              <w:pStyle w:val="Tablesubhead"/>
            </w:pPr>
            <w:r w:rsidRPr="00F16628">
              <w:t xml:space="preserve">The </w:t>
            </w:r>
            <w:r>
              <w:t>Queensland</w:t>
            </w:r>
            <w:r w:rsidRPr="00F16628">
              <w:t xml:space="preserve"> </w:t>
            </w:r>
            <w:r w:rsidR="004A77F3">
              <w:t xml:space="preserve">SOSE </w:t>
            </w:r>
            <w:r w:rsidRPr="00F16628">
              <w:t>Essential Learnings</w:t>
            </w:r>
            <w:r>
              <w:t xml:space="preserve"> by the end of Year 9</w:t>
            </w:r>
          </w:p>
          <w:p w:rsidR="004C0E00" w:rsidRDefault="00BE3D8A" w:rsidP="004C0E00">
            <w:pPr>
              <w:pStyle w:val="Tablesubhead"/>
            </w:pPr>
            <w:r>
              <w:t>Knowledge and understanding</w:t>
            </w:r>
          </w:p>
          <w:p w:rsidR="00BE3D8A" w:rsidRDefault="00BE3D8A" w:rsidP="004C0E00">
            <w:pPr>
              <w:pStyle w:val="Tablesubhead"/>
            </w:pPr>
            <w:r>
              <w:t>Time, continuity and change</w:t>
            </w:r>
          </w:p>
          <w:p w:rsidR="004E5F2C" w:rsidRPr="004E5F2C" w:rsidRDefault="004E5F2C" w:rsidP="006F6C27">
            <w:pPr>
              <w:pStyle w:val="Tabletext"/>
              <w:numPr>
                <w:ilvl w:val="0"/>
                <w:numId w:val="43"/>
              </w:numPr>
              <w:ind w:left="311" w:hanging="284"/>
              <w:rPr>
                <w:rFonts w:cs="Arial"/>
                <w:lang w:val="en"/>
              </w:rPr>
            </w:pPr>
            <w:r w:rsidRPr="006F6C27">
              <w:rPr>
                <w:rFonts w:cs="Arial"/>
                <w:lang w:val="en"/>
              </w:rPr>
              <w:t>Australian narratives and identities have been shaped by 20th century events including major</w:t>
            </w:r>
            <w:r>
              <w:rPr>
                <w:rFonts w:cs="Arial"/>
                <w:lang w:val="en"/>
              </w:rPr>
              <w:t xml:space="preserve"> </w:t>
            </w:r>
            <w:r w:rsidRPr="006F6C27">
              <w:rPr>
                <w:rFonts w:cs="Arial"/>
                <w:lang w:val="en"/>
              </w:rPr>
              <w:t>conflicts, waves of immigration, social divisions and changes, and government relations with other nations</w:t>
            </w:r>
          </w:p>
          <w:p w:rsidR="00BE3D8A" w:rsidRPr="00BE3D8A" w:rsidRDefault="00BE3D8A" w:rsidP="00BE3D8A">
            <w:pPr>
              <w:pStyle w:val="Tabletext"/>
              <w:numPr>
                <w:ilvl w:val="0"/>
                <w:numId w:val="43"/>
              </w:numPr>
              <w:ind w:left="311" w:hanging="284"/>
              <w:rPr>
                <w:rFonts w:cs="Arial"/>
                <w:lang w:val="en"/>
              </w:rPr>
            </w:pPr>
            <w:r w:rsidRPr="00BE3D8A">
              <w:rPr>
                <w:rFonts w:cs="Arial"/>
                <w:lang w:val="en"/>
              </w:rPr>
              <w:t>Important ideas of democracy, government and law, citizenship rights and public decision making, and the concepts of power, dissent and civic duty, developed from ancient to modern times and from Eastern and Western cultures</w:t>
            </w:r>
          </w:p>
          <w:p w:rsidR="00BE3D8A" w:rsidRDefault="00BE3D8A" w:rsidP="004C0E00">
            <w:pPr>
              <w:pStyle w:val="Tablesubhead"/>
              <w:rPr>
                <w:lang w:val="en-GB"/>
              </w:rPr>
            </w:pPr>
            <w:r>
              <w:rPr>
                <w:lang w:val="en-GB"/>
              </w:rPr>
              <w:t>Culture and identity</w:t>
            </w:r>
          </w:p>
          <w:p w:rsidR="00BE3D8A" w:rsidRDefault="00BE3D8A" w:rsidP="00BE3D8A">
            <w:pPr>
              <w:pStyle w:val="Tabletext"/>
              <w:numPr>
                <w:ilvl w:val="0"/>
                <w:numId w:val="43"/>
              </w:numPr>
              <w:ind w:left="311" w:hanging="284"/>
              <w:rPr>
                <w:rFonts w:cs="Arial"/>
                <w:lang w:val="en"/>
              </w:rPr>
            </w:pPr>
            <w:r w:rsidRPr="00BE3D8A">
              <w:rPr>
                <w:rFonts w:cs="Arial"/>
                <w:lang w:val="en"/>
              </w:rPr>
              <w:t xml:space="preserve">Cultural diversity in </w:t>
            </w:r>
            <w:smartTag w:uri="urn:schemas-microsoft-com:office:smarttags" w:element="country-region">
              <w:smartTag w:uri="urn:schemas-microsoft-com:office:smarttags" w:element="place">
                <w:r w:rsidRPr="00BE3D8A">
                  <w:rPr>
                    <w:rFonts w:cs="Arial"/>
                    <w:lang w:val="en"/>
                  </w:rPr>
                  <w:t>Australia</w:t>
                </w:r>
              </w:smartTag>
            </w:smartTag>
            <w:r w:rsidRPr="00BE3D8A">
              <w:rPr>
                <w:rFonts w:cs="Arial"/>
                <w:lang w:val="en"/>
              </w:rPr>
              <w:t xml:space="preserve"> is influenced by public opinion, media portrayals, government policies and the impacts of </w:t>
            </w:r>
            <w:r w:rsidRPr="00653C72">
              <w:rPr>
                <w:rFonts w:cs="Arial"/>
              </w:rPr>
              <w:t>globalisation</w:t>
            </w:r>
          </w:p>
          <w:p w:rsidR="00BE3D8A" w:rsidRPr="00BE3D8A" w:rsidRDefault="00BE3D8A" w:rsidP="00BE3D8A">
            <w:pPr>
              <w:pStyle w:val="Tabletext"/>
              <w:numPr>
                <w:ilvl w:val="0"/>
                <w:numId w:val="43"/>
              </w:numPr>
              <w:ind w:left="311" w:hanging="284"/>
              <w:rPr>
                <w:rFonts w:cs="Arial"/>
                <w:lang w:val="en"/>
              </w:rPr>
            </w:pPr>
            <w:r w:rsidRPr="00A729D2">
              <w:rPr>
                <w:lang w:val="en-GB"/>
              </w:rPr>
              <w:t>Community perceptions of Aboriginal cultures and Torres Strait Islander cultures have resulted in positive and negative responses to Indigenous people</w:t>
            </w:r>
          </w:p>
          <w:p w:rsidR="004E5F2C" w:rsidRPr="004E5F2C" w:rsidRDefault="00BE3D8A" w:rsidP="004E5F2C">
            <w:pPr>
              <w:pStyle w:val="Tabletext"/>
              <w:numPr>
                <w:ilvl w:val="0"/>
                <w:numId w:val="43"/>
              </w:numPr>
              <w:ind w:left="311" w:hanging="284"/>
              <w:rPr>
                <w:rFonts w:cs="Arial"/>
                <w:lang w:val="en"/>
              </w:rPr>
            </w:pPr>
            <w:r w:rsidRPr="00A729D2">
              <w:rPr>
                <w:lang w:val="en-GB"/>
              </w:rPr>
              <w:t>Contact between cultures has produced movements to improve democratic participation and citizenship rights for specific groups</w:t>
            </w:r>
          </w:p>
          <w:p w:rsidR="004E5F2C" w:rsidRDefault="004E5F2C" w:rsidP="004C0E00">
            <w:pPr>
              <w:pStyle w:val="Tablesubhead"/>
            </w:pPr>
            <w:r>
              <w:t xml:space="preserve">Political and </w:t>
            </w:r>
            <w:r w:rsidR="006E284A">
              <w:t>e</w:t>
            </w:r>
            <w:r>
              <w:t xml:space="preserve">conomic </w:t>
            </w:r>
            <w:r w:rsidR="006E284A">
              <w:t>systems</w:t>
            </w:r>
          </w:p>
          <w:p w:rsidR="004E5F2C" w:rsidRPr="006F6C27" w:rsidRDefault="004E5F2C" w:rsidP="006F6C27">
            <w:pPr>
              <w:pStyle w:val="Tabletext"/>
              <w:numPr>
                <w:ilvl w:val="0"/>
                <w:numId w:val="43"/>
              </w:numPr>
              <w:ind w:left="311" w:hanging="284"/>
              <w:rPr>
                <w:lang w:val="en-GB"/>
              </w:rPr>
            </w:pPr>
            <w:r w:rsidRPr="006F6C27">
              <w:rPr>
                <w:lang w:val="en-GB"/>
              </w:rPr>
              <w:t>Australia’s legal and justice systems are based on principles, including an independent judiciary,</w:t>
            </w:r>
            <w:r w:rsidR="00FC595E" w:rsidRPr="006F6C27">
              <w:rPr>
                <w:lang w:val="en-GB"/>
              </w:rPr>
              <w:t xml:space="preserve"> </w:t>
            </w:r>
            <w:r w:rsidRPr="006F6C27">
              <w:rPr>
                <w:lang w:val="en-GB"/>
              </w:rPr>
              <w:t>perform functions, including the protection of rights, and use different types of law and courts.</w:t>
            </w:r>
          </w:p>
          <w:p w:rsidR="004C0E00" w:rsidRDefault="004C0E00" w:rsidP="004C0E00">
            <w:pPr>
              <w:pStyle w:val="Tablesubhead"/>
            </w:pPr>
            <w:r>
              <w:t>Ways of working</w:t>
            </w:r>
          </w:p>
          <w:p w:rsidR="004C0E00" w:rsidRPr="004C0E00" w:rsidRDefault="004C0E00" w:rsidP="004C0E00">
            <w:pPr>
              <w:pStyle w:val="Tabletext"/>
              <w:numPr>
                <w:ilvl w:val="0"/>
                <w:numId w:val="43"/>
              </w:numPr>
              <w:ind w:left="311" w:hanging="284"/>
              <w:rPr>
                <w:rFonts w:cs="Arial"/>
                <w:lang w:val="en"/>
              </w:rPr>
            </w:pPr>
            <w:r w:rsidRPr="004C0E00">
              <w:rPr>
                <w:rFonts w:cs="Arial"/>
                <w:lang w:val="en"/>
              </w:rPr>
              <w:t>identify a research focus from broad topics and design focus questions and sub-questions</w:t>
            </w:r>
          </w:p>
          <w:p w:rsidR="004C0E00" w:rsidRPr="004C0E00" w:rsidRDefault="004C0E00" w:rsidP="004C0E00">
            <w:pPr>
              <w:pStyle w:val="Tabletext"/>
              <w:numPr>
                <w:ilvl w:val="0"/>
                <w:numId w:val="43"/>
              </w:numPr>
              <w:ind w:left="311" w:hanging="284"/>
              <w:rPr>
                <w:rFonts w:cs="Arial"/>
                <w:lang w:val="en"/>
              </w:rPr>
            </w:pPr>
            <w:r w:rsidRPr="004C0E00">
              <w:rPr>
                <w:rFonts w:cs="Arial"/>
                <w:lang w:val="en"/>
              </w:rPr>
              <w:t>plan investigations, using discipline-specific inquiry models and processes</w:t>
            </w:r>
          </w:p>
          <w:p w:rsidR="004C0E00" w:rsidRPr="004C0E00" w:rsidRDefault="004C0E00" w:rsidP="004C0E00">
            <w:pPr>
              <w:pStyle w:val="Tabletext"/>
              <w:numPr>
                <w:ilvl w:val="0"/>
                <w:numId w:val="43"/>
              </w:numPr>
              <w:ind w:left="311" w:hanging="284"/>
              <w:rPr>
                <w:rFonts w:cs="Arial"/>
                <w:lang w:val="en"/>
              </w:rPr>
            </w:pPr>
            <w:r w:rsidRPr="004C0E00">
              <w:rPr>
                <w:rFonts w:cs="Arial"/>
                <w:lang w:val="en"/>
              </w:rPr>
              <w:t xml:space="preserve">research and </w:t>
            </w:r>
            <w:r w:rsidRPr="00540868">
              <w:rPr>
                <w:rFonts w:cs="Arial"/>
              </w:rPr>
              <w:t>analyse</w:t>
            </w:r>
            <w:r w:rsidRPr="004C0E00">
              <w:rPr>
                <w:rFonts w:cs="Arial"/>
                <w:lang w:val="en"/>
              </w:rPr>
              <w:t xml:space="preserve"> data, information and evidence from primary and secondary sources</w:t>
            </w:r>
          </w:p>
          <w:p w:rsidR="001F6C01" w:rsidRPr="00EC3B20" w:rsidRDefault="004C0E00" w:rsidP="00EC3B20">
            <w:pPr>
              <w:pStyle w:val="Tabletext"/>
              <w:numPr>
                <w:ilvl w:val="0"/>
                <w:numId w:val="43"/>
              </w:numPr>
              <w:ind w:left="311" w:hanging="284"/>
              <w:rPr>
                <w:rFonts w:cs="Arial"/>
                <w:lang w:val="en"/>
              </w:rPr>
            </w:pPr>
            <w:r w:rsidRPr="004C0E00">
              <w:rPr>
                <w:rFonts w:cs="Arial"/>
                <w:lang w:val="en"/>
              </w:rPr>
              <w:t>evaluate sources of data, information and evidence for relevance, reliability, authenticity, purpose, bias and perspective</w:t>
            </w:r>
          </w:p>
        </w:tc>
        <w:tc>
          <w:tcPr>
            <w:tcW w:w="2481" w:type="pct"/>
            <w:tcBorders>
              <w:bottom w:val="single" w:sz="4" w:space="0" w:color="00928F"/>
            </w:tcBorders>
            <w:shd w:val="clear" w:color="auto" w:fill="auto"/>
          </w:tcPr>
          <w:p w:rsidR="001F6C01" w:rsidRDefault="005707E5" w:rsidP="005707E5">
            <w:pPr>
              <w:pStyle w:val="Tablesubhead"/>
            </w:pPr>
            <w:r>
              <w:t>Modern History Senior Syllabus 2004</w:t>
            </w:r>
          </w:p>
          <w:p w:rsidR="005707E5" w:rsidRDefault="005707E5" w:rsidP="005707E5">
            <w:pPr>
              <w:pStyle w:val="Tablesubhead"/>
            </w:pPr>
            <w:r>
              <w:t>General Objectives</w:t>
            </w:r>
          </w:p>
          <w:p w:rsidR="005707E5" w:rsidRPr="005707E5" w:rsidRDefault="005707E5" w:rsidP="005707E5">
            <w:pPr>
              <w:pStyle w:val="Tabletext"/>
              <w:numPr>
                <w:ilvl w:val="0"/>
                <w:numId w:val="43"/>
              </w:numPr>
              <w:ind w:left="311" w:hanging="284"/>
              <w:rPr>
                <w:rFonts w:cs="Arial"/>
                <w:lang w:val="en"/>
              </w:rPr>
            </w:pPr>
            <w:r w:rsidRPr="005707E5">
              <w:rPr>
                <w:rFonts w:cs="Arial"/>
                <w:lang w:val="en"/>
              </w:rPr>
              <w:t xml:space="preserve">Planning and using an historical research process </w:t>
            </w:r>
          </w:p>
          <w:p w:rsidR="005707E5" w:rsidRPr="005707E5" w:rsidRDefault="005707E5" w:rsidP="005707E5">
            <w:pPr>
              <w:pStyle w:val="Tabletext"/>
              <w:numPr>
                <w:ilvl w:val="0"/>
                <w:numId w:val="43"/>
              </w:numPr>
              <w:ind w:left="311" w:hanging="284"/>
              <w:rPr>
                <w:rFonts w:cs="Arial"/>
                <w:lang w:val="en"/>
              </w:rPr>
            </w:pPr>
            <w:r w:rsidRPr="005707E5">
              <w:rPr>
                <w:rFonts w:cs="Arial"/>
                <w:lang w:val="en"/>
              </w:rPr>
              <w:t>Forming historical knowledge through critical inquiry</w:t>
            </w:r>
          </w:p>
          <w:p w:rsidR="005707E5" w:rsidRPr="005707E5" w:rsidRDefault="005707E5" w:rsidP="005707E5">
            <w:pPr>
              <w:pStyle w:val="Tabletext"/>
              <w:numPr>
                <w:ilvl w:val="0"/>
                <w:numId w:val="43"/>
              </w:numPr>
              <w:ind w:left="311" w:hanging="284"/>
              <w:rPr>
                <w:rFonts w:cs="Arial"/>
                <w:lang w:val="en"/>
              </w:rPr>
            </w:pPr>
            <w:r w:rsidRPr="005707E5">
              <w:rPr>
                <w:rFonts w:cs="Arial"/>
                <w:lang w:val="en"/>
              </w:rPr>
              <w:t>Communicating historical knowledge</w:t>
            </w:r>
          </w:p>
          <w:p w:rsidR="005707E5" w:rsidRPr="005707E5" w:rsidRDefault="005707E5" w:rsidP="005707E5">
            <w:pPr>
              <w:rPr>
                <w:sz w:val="20"/>
              </w:rPr>
            </w:pPr>
            <w:r w:rsidRPr="005707E5">
              <w:rPr>
                <w:sz w:val="20"/>
              </w:rPr>
              <w:t>In Modern History, the themes are as follows:</w:t>
            </w:r>
          </w:p>
          <w:tbl>
            <w:tblPr>
              <w:tblW w:w="0" w:type="auto"/>
              <w:tblLook w:val="0000" w:firstRow="0" w:lastRow="0" w:firstColumn="0" w:lastColumn="0" w:noHBand="0" w:noVBand="0"/>
            </w:tblPr>
            <w:tblGrid>
              <w:gridCol w:w="3522"/>
              <w:gridCol w:w="3493"/>
            </w:tblGrid>
            <w:tr w:rsidR="005707E5" w:rsidRPr="005707E5" w:rsidTr="00DE4BE8">
              <w:trPr>
                <w:cantSplit/>
                <w:trHeight w:val="2458"/>
              </w:trPr>
              <w:tc>
                <w:tcPr>
                  <w:tcW w:w="3522" w:type="dxa"/>
                  <w:tcBorders>
                    <w:bottom w:val="nil"/>
                  </w:tcBorders>
                </w:tcPr>
                <w:p w:rsidR="005707E5" w:rsidRPr="005707E5" w:rsidRDefault="005707E5" w:rsidP="007A3312">
                  <w:pPr>
                    <w:spacing w:before="40"/>
                    <w:ind w:left="426" w:hanging="426"/>
                    <w:rPr>
                      <w:sz w:val="20"/>
                    </w:rPr>
                  </w:pPr>
                  <w:r w:rsidRPr="005707E5">
                    <w:rPr>
                      <w:sz w:val="20"/>
                    </w:rPr>
                    <w:t>1.</w:t>
                  </w:r>
                  <w:r w:rsidRPr="005707E5">
                    <w:rPr>
                      <w:sz w:val="20"/>
                    </w:rPr>
                    <w:tab/>
                    <w:t>Studies of conflict</w:t>
                  </w:r>
                </w:p>
                <w:p w:rsidR="005707E5" w:rsidRPr="005707E5" w:rsidRDefault="005707E5" w:rsidP="007A3312">
                  <w:pPr>
                    <w:spacing w:before="40"/>
                    <w:ind w:left="426" w:hanging="426"/>
                    <w:rPr>
                      <w:sz w:val="20"/>
                    </w:rPr>
                  </w:pPr>
                  <w:r w:rsidRPr="005707E5">
                    <w:rPr>
                      <w:sz w:val="20"/>
                    </w:rPr>
                    <w:t>2.</w:t>
                  </w:r>
                  <w:r w:rsidRPr="005707E5">
                    <w:rPr>
                      <w:sz w:val="20"/>
                    </w:rPr>
                    <w:tab/>
                    <w:t>Studies of hope</w:t>
                  </w:r>
                </w:p>
                <w:p w:rsidR="005707E5" w:rsidRPr="005707E5" w:rsidRDefault="005707E5" w:rsidP="007A3312">
                  <w:pPr>
                    <w:spacing w:before="40"/>
                    <w:ind w:left="426" w:hanging="426"/>
                    <w:rPr>
                      <w:sz w:val="20"/>
                    </w:rPr>
                  </w:pPr>
                  <w:r w:rsidRPr="005707E5">
                    <w:rPr>
                      <w:sz w:val="20"/>
                    </w:rPr>
                    <w:t>3.</w:t>
                  </w:r>
                  <w:r w:rsidRPr="005707E5">
                    <w:rPr>
                      <w:sz w:val="20"/>
                    </w:rPr>
                    <w:tab/>
                    <w:t>The history of ideas and beliefs</w:t>
                  </w:r>
                </w:p>
                <w:p w:rsidR="005707E5" w:rsidRPr="005707E5" w:rsidRDefault="005707E5" w:rsidP="007A3312">
                  <w:pPr>
                    <w:spacing w:before="40"/>
                    <w:ind w:left="426" w:hanging="426"/>
                    <w:rPr>
                      <w:sz w:val="20"/>
                    </w:rPr>
                  </w:pPr>
                  <w:r w:rsidRPr="005707E5">
                    <w:rPr>
                      <w:sz w:val="20"/>
                    </w:rPr>
                    <w:t>4.</w:t>
                  </w:r>
                  <w:r w:rsidRPr="005707E5">
                    <w:rPr>
                      <w:sz w:val="20"/>
                    </w:rPr>
                    <w:tab/>
                    <w:t>Studies of cooperation</w:t>
                  </w:r>
                </w:p>
                <w:p w:rsidR="005707E5" w:rsidRPr="005707E5" w:rsidRDefault="005707E5" w:rsidP="007A3312">
                  <w:pPr>
                    <w:spacing w:before="40"/>
                    <w:ind w:left="426" w:hanging="426"/>
                    <w:rPr>
                      <w:sz w:val="20"/>
                    </w:rPr>
                  </w:pPr>
                  <w:r w:rsidRPr="005707E5">
                    <w:rPr>
                      <w:sz w:val="20"/>
                    </w:rPr>
                    <w:t>5.</w:t>
                  </w:r>
                  <w:r w:rsidRPr="005707E5">
                    <w:rPr>
                      <w:sz w:val="20"/>
                    </w:rPr>
                    <w:tab/>
                    <w:t>The history of everyday lives</w:t>
                  </w:r>
                </w:p>
                <w:p w:rsidR="005707E5" w:rsidRPr="005707E5" w:rsidRDefault="005707E5" w:rsidP="007A3312">
                  <w:pPr>
                    <w:spacing w:before="40"/>
                    <w:ind w:left="426" w:hanging="426"/>
                    <w:rPr>
                      <w:sz w:val="20"/>
                    </w:rPr>
                  </w:pPr>
                  <w:r w:rsidRPr="005707E5">
                    <w:rPr>
                      <w:sz w:val="20"/>
                    </w:rPr>
                    <w:t>6.</w:t>
                  </w:r>
                  <w:r w:rsidRPr="005707E5">
                    <w:rPr>
                      <w:sz w:val="20"/>
                    </w:rPr>
                    <w:tab/>
                    <w:t>Studies of power</w:t>
                  </w:r>
                </w:p>
                <w:p w:rsidR="005707E5" w:rsidRPr="005707E5" w:rsidRDefault="005707E5" w:rsidP="007A3312">
                  <w:pPr>
                    <w:spacing w:before="40"/>
                    <w:ind w:left="426" w:hanging="426"/>
                    <w:rPr>
                      <w:sz w:val="20"/>
                    </w:rPr>
                  </w:pPr>
                  <w:r w:rsidRPr="005707E5">
                    <w:rPr>
                      <w:sz w:val="20"/>
                    </w:rPr>
                    <w:t>7.</w:t>
                  </w:r>
                  <w:r w:rsidRPr="005707E5">
                    <w:rPr>
                      <w:sz w:val="20"/>
                    </w:rPr>
                    <w:tab/>
                    <w:t>Studies of diversity</w:t>
                  </w:r>
                </w:p>
                <w:p w:rsidR="005707E5" w:rsidRPr="005707E5" w:rsidRDefault="005707E5" w:rsidP="007A3312">
                  <w:pPr>
                    <w:spacing w:before="40"/>
                    <w:ind w:left="426" w:hanging="426"/>
                    <w:rPr>
                      <w:sz w:val="20"/>
                    </w:rPr>
                  </w:pPr>
                  <w:r w:rsidRPr="005707E5">
                    <w:rPr>
                      <w:sz w:val="20"/>
                    </w:rPr>
                    <w:t>8.</w:t>
                  </w:r>
                  <w:r w:rsidRPr="005707E5">
                    <w:rPr>
                      <w:sz w:val="20"/>
                    </w:rPr>
                    <w:tab/>
                    <w:t>People and environments in history</w:t>
                  </w:r>
                </w:p>
                <w:p w:rsidR="005707E5" w:rsidRPr="005707E5" w:rsidRDefault="005707E5" w:rsidP="007A3312">
                  <w:pPr>
                    <w:spacing w:before="40"/>
                    <w:ind w:left="426" w:hanging="426"/>
                    <w:rPr>
                      <w:sz w:val="20"/>
                    </w:rPr>
                  </w:pPr>
                  <w:r w:rsidRPr="005707E5">
                    <w:rPr>
                      <w:sz w:val="20"/>
                    </w:rPr>
                    <w:t>9.</w:t>
                  </w:r>
                  <w:r w:rsidRPr="005707E5">
                    <w:rPr>
                      <w:sz w:val="20"/>
                    </w:rPr>
                    <w:tab/>
                    <w:t>History and the global perspective</w:t>
                  </w:r>
                </w:p>
              </w:tc>
              <w:tc>
                <w:tcPr>
                  <w:tcW w:w="3493" w:type="dxa"/>
                  <w:tcBorders>
                    <w:bottom w:val="nil"/>
                  </w:tcBorders>
                </w:tcPr>
                <w:p w:rsidR="005707E5" w:rsidRPr="005707E5" w:rsidRDefault="005707E5" w:rsidP="007A3312">
                  <w:pPr>
                    <w:spacing w:before="40"/>
                    <w:ind w:left="426" w:hanging="426"/>
                    <w:rPr>
                      <w:sz w:val="20"/>
                    </w:rPr>
                  </w:pPr>
                  <w:r w:rsidRPr="005707E5">
                    <w:rPr>
                      <w:sz w:val="20"/>
                    </w:rPr>
                    <w:t>10.</w:t>
                  </w:r>
                  <w:r w:rsidRPr="005707E5">
                    <w:rPr>
                      <w:sz w:val="20"/>
                    </w:rPr>
                    <w:tab/>
                    <w:t>Local history</w:t>
                  </w:r>
                </w:p>
                <w:p w:rsidR="005707E5" w:rsidRPr="005707E5" w:rsidRDefault="005707E5" w:rsidP="007A3312">
                  <w:pPr>
                    <w:spacing w:before="40"/>
                    <w:ind w:left="426" w:hanging="426"/>
                    <w:rPr>
                      <w:sz w:val="20"/>
                    </w:rPr>
                  </w:pPr>
                  <w:r w:rsidRPr="005707E5">
                    <w:rPr>
                      <w:sz w:val="20"/>
                    </w:rPr>
                    <w:t>11.</w:t>
                  </w:r>
                  <w:r w:rsidRPr="005707E5">
                    <w:rPr>
                      <w:sz w:val="20"/>
                    </w:rPr>
                    <w:tab/>
                    <w:t>The individual in history</w:t>
                  </w:r>
                </w:p>
                <w:p w:rsidR="005707E5" w:rsidRPr="005707E5" w:rsidRDefault="005707E5" w:rsidP="007A3312">
                  <w:pPr>
                    <w:spacing w:before="40"/>
                    <w:ind w:left="426" w:hanging="426"/>
                    <w:rPr>
                      <w:sz w:val="20"/>
                    </w:rPr>
                  </w:pPr>
                  <w:r w:rsidRPr="005707E5">
                    <w:rPr>
                      <w:sz w:val="20"/>
                    </w:rPr>
                    <w:t>12.</w:t>
                  </w:r>
                  <w:r w:rsidRPr="005707E5">
                    <w:rPr>
                      <w:sz w:val="20"/>
                    </w:rPr>
                    <w:tab/>
                    <w:t>National history</w:t>
                  </w:r>
                </w:p>
                <w:p w:rsidR="005707E5" w:rsidRPr="005707E5" w:rsidRDefault="005707E5" w:rsidP="007A3312">
                  <w:pPr>
                    <w:spacing w:before="40"/>
                    <w:ind w:left="426" w:hanging="426"/>
                    <w:rPr>
                      <w:sz w:val="20"/>
                    </w:rPr>
                  </w:pPr>
                  <w:r w:rsidRPr="005707E5">
                    <w:rPr>
                      <w:sz w:val="20"/>
                    </w:rPr>
                    <w:t>13.</w:t>
                  </w:r>
                  <w:r w:rsidRPr="005707E5">
                    <w:rPr>
                      <w:sz w:val="20"/>
                    </w:rPr>
                    <w:tab/>
                    <w:t>Studies of change</w:t>
                  </w:r>
                </w:p>
                <w:p w:rsidR="005707E5" w:rsidRPr="005707E5" w:rsidRDefault="005707E5" w:rsidP="007A3312">
                  <w:pPr>
                    <w:spacing w:before="40"/>
                    <w:ind w:left="426" w:hanging="426"/>
                    <w:rPr>
                      <w:sz w:val="20"/>
                    </w:rPr>
                  </w:pPr>
                  <w:r w:rsidRPr="005707E5">
                    <w:rPr>
                      <w:sz w:val="20"/>
                    </w:rPr>
                    <w:t>14.</w:t>
                  </w:r>
                  <w:r w:rsidRPr="005707E5">
                    <w:rPr>
                      <w:sz w:val="20"/>
                    </w:rPr>
                    <w:tab/>
                    <w:t>History and futures</w:t>
                  </w:r>
                </w:p>
                <w:p w:rsidR="005707E5" w:rsidRPr="005707E5" w:rsidRDefault="005707E5" w:rsidP="007A3312">
                  <w:pPr>
                    <w:spacing w:before="40"/>
                    <w:ind w:left="426" w:hanging="426"/>
                    <w:rPr>
                      <w:sz w:val="20"/>
                    </w:rPr>
                  </w:pPr>
                  <w:r w:rsidRPr="005707E5">
                    <w:rPr>
                      <w:sz w:val="20"/>
                    </w:rPr>
                    <w:t>15.</w:t>
                  </w:r>
                  <w:r w:rsidRPr="005707E5">
                    <w:rPr>
                      <w:sz w:val="20"/>
                    </w:rPr>
                    <w:tab/>
                    <w:t>History and historians: theories and standpoints</w:t>
                  </w:r>
                </w:p>
                <w:p w:rsidR="005707E5" w:rsidRPr="005707E5" w:rsidRDefault="005707E5" w:rsidP="007A3312">
                  <w:pPr>
                    <w:spacing w:before="40"/>
                    <w:ind w:left="426" w:hanging="426"/>
                    <w:rPr>
                      <w:sz w:val="20"/>
                    </w:rPr>
                  </w:pPr>
                  <w:r w:rsidRPr="005707E5">
                    <w:rPr>
                      <w:sz w:val="20"/>
                    </w:rPr>
                    <w:t>16.</w:t>
                  </w:r>
                  <w:r w:rsidRPr="005707E5">
                    <w:rPr>
                      <w:sz w:val="20"/>
                    </w:rPr>
                    <w:tab/>
                    <w:t>School-based theme</w:t>
                  </w:r>
                </w:p>
              </w:tc>
            </w:tr>
          </w:tbl>
          <w:p w:rsidR="005707E5" w:rsidRPr="005707E5" w:rsidRDefault="005707E5" w:rsidP="005707E5">
            <w:pPr>
              <w:pStyle w:val="Tabletext"/>
              <w:rPr>
                <w:rFonts w:cs="Arial"/>
                <w:b/>
              </w:rPr>
            </w:pPr>
            <w:r w:rsidRPr="005707E5">
              <w:rPr>
                <w:rFonts w:cs="Arial"/>
                <w:b/>
              </w:rPr>
              <w:t>Structuring student inquiry</w:t>
            </w:r>
          </w:p>
          <w:p w:rsidR="005707E5" w:rsidRPr="005707E5" w:rsidRDefault="005707E5" w:rsidP="005707E5">
            <w:pPr>
              <w:pStyle w:val="Tabletext"/>
              <w:rPr>
                <w:rFonts w:cs="Arial"/>
              </w:rPr>
            </w:pPr>
            <w:r w:rsidRPr="005707E5">
              <w:rPr>
                <w:rFonts w:cs="Arial"/>
              </w:rPr>
              <w:t>The three major elements have been expressed as the general objectives and the criteria of the syllabus. Each of the elements involves significant processes of inquiry. Through the inquiry processes students investigate five major aspects of any inquiry topic:</w:t>
            </w:r>
          </w:p>
          <w:p w:rsidR="005707E5" w:rsidRPr="005707E5" w:rsidRDefault="008B0C25" w:rsidP="005707E5">
            <w:pPr>
              <w:pStyle w:val="Tabletext"/>
              <w:numPr>
                <w:ilvl w:val="0"/>
                <w:numId w:val="43"/>
              </w:numPr>
              <w:ind w:left="311" w:hanging="284"/>
              <w:rPr>
                <w:rFonts w:cs="Arial"/>
                <w:lang w:val="en"/>
              </w:rPr>
            </w:pPr>
            <w:r w:rsidRPr="005707E5">
              <w:rPr>
                <w:rFonts w:cs="Arial"/>
                <w:lang w:val="en"/>
              </w:rPr>
              <w:t>definitions</w:t>
            </w:r>
          </w:p>
          <w:p w:rsidR="005707E5" w:rsidRPr="005707E5" w:rsidRDefault="005707E5" w:rsidP="005707E5">
            <w:pPr>
              <w:pStyle w:val="Tabletext"/>
              <w:numPr>
                <w:ilvl w:val="0"/>
                <w:numId w:val="43"/>
              </w:numPr>
              <w:ind w:left="311" w:hanging="284"/>
              <w:rPr>
                <w:rFonts w:cs="Arial"/>
                <w:lang w:val="en"/>
              </w:rPr>
            </w:pPr>
            <w:r w:rsidRPr="005707E5">
              <w:rPr>
                <w:rFonts w:cs="Arial"/>
                <w:lang w:val="en"/>
              </w:rPr>
              <w:t>sources</w:t>
            </w:r>
          </w:p>
          <w:p w:rsidR="005707E5" w:rsidRPr="005707E5" w:rsidRDefault="005707E5" w:rsidP="005707E5">
            <w:pPr>
              <w:pStyle w:val="Tabletext"/>
              <w:numPr>
                <w:ilvl w:val="0"/>
                <w:numId w:val="43"/>
              </w:numPr>
              <w:ind w:left="311" w:hanging="284"/>
              <w:rPr>
                <w:rFonts w:cs="Arial"/>
                <w:lang w:val="en"/>
              </w:rPr>
            </w:pPr>
            <w:r w:rsidRPr="005707E5">
              <w:rPr>
                <w:rFonts w:cs="Arial"/>
                <w:lang w:val="en"/>
              </w:rPr>
              <w:t>backgrounds, changes and continuities: motives and causes</w:t>
            </w:r>
          </w:p>
          <w:p w:rsidR="005707E5" w:rsidRPr="005707E5" w:rsidRDefault="005707E5" w:rsidP="005707E5">
            <w:pPr>
              <w:pStyle w:val="Tabletext"/>
              <w:numPr>
                <w:ilvl w:val="0"/>
                <w:numId w:val="43"/>
              </w:numPr>
              <w:ind w:left="311" w:hanging="284"/>
              <w:rPr>
                <w:rFonts w:cs="Arial"/>
                <w:lang w:val="en"/>
              </w:rPr>
            </w:pPr>
            <w:r w:rsidRPr="005707E5">
              <w:rPr>
                <w:rFonts w:cs="Arial"/>
                <w:lang w:val="en"/>
              </w:rPr>
              <w:t>effects, interests and arguments</w:t>
            </w:r>
          </w:p>
          <w:p w:rsidR="005707E5" w:rsidRPr="00EC3B20" w:rsidRDefault="005707E5" w:rsidP="005707E5">
            <w:pPr>
              <w:pStyle w:val="Tabletext"/>
              <w:numPr>
                <w:ilvl w:val="0"/>
                <w:numId w:val="43"/>
              </w:numPr>
              <w:ind w:left="311" w:hanging="284"/>
              <w:rPr>
                <w:rFonts w:cs="Arial"/>
                <w:lang w:val="en"/>
              </w:rPr>
            </w:pPr>
            <w:r w:rsidRPr="005707E5">
              <w:rPr>
                <w:rFonts w:cs="Arial"/>
                <w:lang w:val="en"/>
              </w:rPr>
              <w:t>reflections and responses.</w:t>
            </w:r>
          </w:p>
        </w:tc>
      </w:tr>
      <w:tr w:rsidR="002B2977" w:rsidRPr="009927F7" w:rsidTr="00E96E44">
        <w:trPr>
          <w:trHeight w:val="5916"/>
          <w:tblHeader/>
          <w:jc w:val="center"/>
        </w:trPr>
        <w:tc>
          <w:tcPr>
            <w:tcW w:w="2519" w:type="pct"/>
            <w:tcBorders>
              <w:top w:val="single" w:sz="4" w:space="0" w:color="00928F"/>
            </w:tcBorders>
            <w:shd w:val="clear" w:color="auto" w:fill="auto"/>
          </w:tcPr>
          <w:p w:rsidR="002B2977" w:rsidRPr="004C0E00" w:rsidRDefault="002B2977" w:rsidP="004C0E00">
            <w:pPr>
              <w:pStyle w:val="Tabletext"/>
              <w:numPr>
                <w:ilvl w:val="0"/>
                <w:numId w:val="43"/>
              </w:numPr>
              <w:ind w:left="311" w:hanging="284"/>
              <w:rPr>
                <w:rFonts w:cs="Arial"/>
                <w:lang w:val="en"/>
              </w:rPr>
            </w:pPr>
            <w:r w:rsidRPr="004C0E00">
              <w:rPr>
                <w:rFonts w:cs="Arial"/>
                <w:lang w:val="en"/>
              </w:rPr>
              <w:t>draw conclusions and make decisions supported by interpretations of data, information and evidence</w:t>
            </w:r>
          </w:p>
          <w:p w:rsidR="002B2977" w:rsidRPr="004C0E00" w:rsidRDefault="002B2977" w:rsidP="004C0E00">
            <w:pPr>
              <w:pStyle w:val="Tabletext"/>
              <w:numPr>
                <w:ilvl w:val="0"/>
                <w:numId w:val="43"/>
              </w:numPr>
              <w:ind w:left="311" w:hanging="284"/>
              <w:rPr>
                <w:rFonts w:cs="Arial"/>
                <w:lang w:val="en"/>
              </w:rPr>
            </w:pPr>
            <w:r w:rsidRPr="004C0E00">
              <w:rPr>
                <w:rFonts w:cs="Arial"/>
                <w:lang w:val="en"/>
              </w:rPr>
              <w:t>communicate descriptions, decisions and conclusions, using text types specific to the context and purpose and the conventions of research-based texts</w:t>
            </w:r>
          </w:p>
          <w:p w:rsidR="002B2977" w:rsidRPr="00204E20" w:rsidRDefault="002B2977" w:rsidP="004C0E00">
            <w:pPr>
              <w:pStyle w:val="Tabletext"/>
              <w:numPr>
                <w:ilvl w:val="0"/>
                <w:numId w:val="43"/>
              </w:numPr>
              <w:ind w:left="311" w:hanging="284"/>
              <w:rPr>
                <w:rFonts w:cs="Arial"/>
              </w:rPr>
            </w:pPr>
            <w:r w:rsidRPr="00204E20">
              <w:rPr>
                <w:rFonts w:cs="Arial"/>
              </w:rPr>
              <w:t>respond to local and global issues by taking action in planned and enterprising ways</w:t>
            </w:r>
          </w:p>
          <w:p w:rsidR="002B2977" w:rsidRPr="004C0E00" w:rsidRDefault="002B2977" w:rsidP="004C0E00">
            <w:pPr>
              <w:pStyle w:val="Tabletext"/>
              <w:numPr>
                <w:ilvl w:val="0"/>
                <w:numId w:val="43"/>
              </w:numPr>
              <w:ind w:left="311" w:hanging="284"/>
              <w:rPr>
                <w:rFonts w:cs="Arial"/>
                <w:lang w:val="en"/>
              </w:rPr>
            </w:pPr>
            <w:r w:rsidRPr="004C0E00">
              <w:rPr>
                <w:rFonts w:cs="Arial"/>
                <w:lang w:val="en"/>
              </w:rPr>
              <w:t>apply strategies for making group decisions and for taking informed social and environmental action</w:t>
            </w:r>
            <w:r>
              <w:rPr>
                <w:rFonts w:cs="Arial"/>
                <w:lang w:val="en"/>
              </w:rPr>
              <w:t xml:space="preserve"> </w:t>
            </w:r>
          </w:p>
          <w:p w:rsidR="002B2977" w:rsidRPr="004C0E00" w:rsidRDefault="002B2977" w:rsidP="004C0E00">
            <w:pPr>
              <w:pStyle w:val="Tabletext"/>
              <w:numPr>
                <w:ilvl w:val="0"/>
                <w:numId w:val="43"/>
              </w:numPr>
              <w:ind w:left="311" w:hanging="284"/>
              <w:rPr>
                <w:rFonts w:cs="Arial"/>
                <w:lang w:val="en"/>
              </w:rPr>
            </w:pPr>
            <w:r w:rsidRPr="004C0E00">
              <w:rPr>
                <w:rFonts w:cs="Arial"/>
                <w:lang w:val="en"/>
              </w:rPr>
              <w:t xml:space="preserve">reflect on different perspectives, and </w:t>
            </w:r>
            <w:r w:rsidRPr="00204E20">
              <w:rPr>
                <w:rFonts w:cs="Arial"/>
              </w:rPr>
              <w:t>recognise</w:t>
            </w:r>
            <w:r w:rsidRPr="004C0E00">
              <w:rPr>
                <w:rFonts w:cs="Arial"/>
                <w:lang w:val="en"/>
              </w:rPr>
              <w:t xml:space="preserve"> and evaluate the influence of values and beliefs in relation to social justice, the democratic process, sustainability and peace</w:t>
            </w:r>
          </w:p>
          <w:p w:rsidR="002B2977" w:rsidRPr="00F16628" w:rsidRDefault="002B2977" w:rsidP="00BE3D8A">
            <w:pPr>
              <w:pStyle w:val="Tabletext"/>
              <w:numPr>
                <w:ilvl w:val="0"/>
                <w:numId w:val="43"/>
              </w:numPr>
              <w:ind w:left="311" w:hanging="284"/>
            </w:pPr>
            <w:r w:rsidRPr="00BE3D8A">
              <w:rPr>
                <w:rFonts w:cs="Arial"/>
                <w:lang w:val="en"/>
              </w:rPr>
              <w:t>reflect on learning, apply new understandings and justify future applications.</w:t>
            </w:r>
          </w:p>
        </w:tc>
        <w:tc>
          <w:tcPr>
            <w:tcW w:w="2481" w:type="pct"/>
            <w:tcBorders>
              <w:top w:val="single" w:sz="4" w:space="0" w:color="00928F"/>
            </w:tcBorders>
            <w:shd w:val="clear" w:color="auto" w:fill="auto"/>
          </w:tcPr>
          <w:p w:rsidR="002B2977" w:rsidRPr="00DE4BE8" w:rsidRDefault="002B2977" w:rsidP="00DE4BE8">
            <w:pPr>
              <w:pStyle w:val="Tabletext"/>
              <w:rPr>
                <w:rFonts w:cs="Arial"/>
                <w:b/>
              </w:rPr>
            </w:pPr>
            <w:r w:rsidRPr="00DE4BE8">
              <w:rPr>
                <w:rFonts w:cs="Arial"/>
                <w:b/>
              </w:rPr>
              <w:t>Course requirements</w:t>
            </w:r>
          </w:p>
          <w:p w:rsidR="002B2977" w:rsidRPr="00DE4BE8" w:rsidRDefault="002B2977" w:rsidP="00DE4BE8">
            <w:pPr>
              <w:pStyle w:val="Tabletext"/>
              <w:numPr>
                <w:ilvl w:val="0"/>
                <w:numId w:val="43"/>
              </w:numPr>
              <w:ind w:left="311" w:hanging="284"/>
              <w:rPr>
                <w:rFonts w:cs="Arial"/>
              </w:rPr>
            </w:pPr>
            <w:r w:rsidRPr="00DE4BE8">
              <w:rPr>
                <w:rFonts w:cs="Arial"/>
              </w:rPr>
              <w:t>The three general objectives must be incorporated into learning experiences and assessment.</w:t>
            </w:r>
          </w:p>
          <w:p w:rsidR="002B2977" w:rsidRPr="00DE4BE8" w:rsidRDefault="002B2977" w:rsidP="00DE4BE8">
            <w:pPr>
              <w:pStyle w:val="Tabletext"/>
              <w:numPr>
                <w:ilvl w:val="0"/>
                <w:numId w:val="43"/>
              </w:numPr>
              <w:ind w:left="311" w:hanging="284"/>
              <w:rPr>
                <w:rFonts w:cs="Arial"/>
              </w:rPr>
            </w:pPr>
            <w:r w:rsidRPr="00DE4BE8">
              <w:rPr>
                <w:rFonts w:cs="Arial"/>
              </w:rPr>
              <w:t>A minimum of three themes must be selected.</w:t>
            </w:r>
          </w:p>
          <w:p w:rsidR="002B2977" w:rsidRPr="00DE4BE8" w:rsidRDefault="002B2977" w:rsidP="00DE4BE8">
            <w:pPr>
              <w:pStyle w:val="Tabletext"/>
              <w:numPr>
                <w:ilvl w:val="0"/>
                <w:numId w:val="43"/>
              </w:numPr>
              <w:ind w:left="311" w:hanging="284"/>
              <w:rPr>
                <w:rFonts w:cs="Arial"/>
              </w:rPr>
            </w:pPr>
            <w:r w:rsidRPr="00DE4BE8">
              <w:rPr>
                <w:rFonts w:cs="Arial"/>
              </w:rPr>
              <w:t>A minimum of four inquiry topics must be studied in the two-year course.</w:t>
            </w:r>
          </w:p>
          <w:p w:rsidR="002B2977" w:rsidRPr="00DE4BE8" w:rsidRDefault="002B2977" w:rsidP="00DE4BE8">
            <w:pPr>
              <w:pStyle w:val="Tabletext"/>
              <w:numPr>
                <w:ilvl w:val="0"/>
                <w:numId w:val="43"/>
              </w:numPr>
              <w:ind w:left="311" w:hanging="284"/>
              <w:rPr>
                <w:rFonts w:cs="Arial"/>
              </w:rPr>
            </w:pPr>
            <w:r w:rsidRPr="00DE4BE8">
              <w:rPr>
                <w:rFonts w:cs="Arial"/>
              </w:rPr>
              <w:t>Inquiry topics must be studied for a minimum of 18 hours of timetabled time.</w:t>
            </w:r>
          </w:p>
          <w:p w:rsidR="002B2977" w:rsidRPr="00DE4BE8" w:rsidRDefault="002B2977" w:rsidP="00DE4BE8">
            <w:pPr>
              <w:pStyle w:val="Tabletext"/>
              <w:numPr>
                <w:ilvl w:val="0"/>
                <w:numId w:val="43"/>
              </w:numPr>
              <w:ind w:left="311" w:hanging="284"/>
              <w:rPr>
                <w:rFonts w:cs="Arial"/>
              </w:rPr>
            </w:pPr>
            <w:r w:rsidRPr="00DE4BE8">
              <w:rPr>
                <w:rFonts w:cs="Arial"/>
              </w:rPr>
              <w:t>One inquiry topic must focus on a significant element of Australian history.</w:t>
            </w:r>
          </w:p>
          <w:p w:rsidR="002B2977" w:rsidRPr="00DE4BE8" w:rsidRDefault="002B2977" w:rsidP="00DE4BE8">
            <w:pPr>
              <w:rPr>
                <w:sz w:val="20"/>
              </w:rPr>
            </w:pPr>
            <w:r w:rsidRPr="00DE4BE8">
              <w:rPr>
                <w:b/>
                <w:sz w:val="20"/>
              </w:rPr>
              <w:t>More than the minimum number of inquiry topics and themes may be selected</w:t>
            </w:r>
            <w:r w:rsidRPr="00DE4BE8">
              <w:rPr>
                <w:sz w:val="20"/>
              </w:rPr>
              <w:t xml:space="preserve">. The suite of inquiry topics must be predominantly 20th century in focus, across a range of time periods within the century. </w:t>
            </w:r>
          </w:p>
          <w:p w:rsidR="002B2977" w:rsidRPr="00DE4BE8" w:rsidRDefault="002B2977" w:rsidP="00DE4BE8">
            <w:pPr>
              <w:pStyle w:val="Tabletext"/>
              <w:rPr>
                <w:rFonts w:cs="Arial"/>
                <w:b/>
              </w:rPr>
            </w:pPr>
            <w:r w:rsidRPr="00DE4BE8">
              <w:rPr>
                <w:rFonts w:cs="Arial"/>
                <w:b/>
              </w:rPr>
              <w:t>Recommended elements</w:t>
            </w:r>
          </w:p>
          <w:p w:rsidR="002B2977" w:rsidRPr="00DE4BE8" w:rsidRDefault="002B2977" w:rsidP="00DE4BE8">
            <w:pPr>
              <w:pStyle w:val="Tabletext"/>
              <w:rPr>
                <w:rFonts w:cs="Arial"/>
              </w:rPr>
            </w:pPr>
            <w:r w:rsidRPr="00DE4BE8">
              <w:rPr>
                <w:rFonts w:cs="Arial"/>
              </w:rPr>
              <w:t>Teachers planning a Modern History curriculum are encouraged to include:</w:t>
            </w:r>
          </w:p>
          <w:p w:rsidR="002B2977" w:rsidRPr="00DE4BE8" w:rsidRDefault="002B2977" w:rsidP="00DE4BE8">
            <w:pPr>
              <w:pStyle w:val="Tabletext"/>
              <w:numPr>
                <w:ilvl w:val="0"/>
                <w:numId w:val="43"/>
              </w:numPr>
              <w:ind w:left="311" w:hanging="284"/>
              <w:rPr>
                <w:rFonts w:cs="Arial"/>
              </w:rPr>
            </w:pPr>
            <w:r w:rsidRPr="00DE4BE8">
              <w:rPr>
                <w:rFonts w:cs="Arial"/>
              </w:rPr>
              <w:t>a range of scales — local, national, international and global</w:t>
            </w:r>
          </w:p>
          <w:p w:rsidR="002B2977" w:rsidRPr="00DE4BE8" w:rsidRDefault="002B2977" w:rsidP="00DE4BE8">
            <w:pPr>
              <w:pStyle w:val="Tabletext"/>
              <w:numPr>
                <w:ilvl w:val="0"/>
                <w:numId w:val="43"/>
              </w:numPr>
              <w:ind w:left="311" w:hanging="284"/>
              <w:rPr>
                <w:rFonts w:cs="Arial"/>
              </w:rPr>
            </w:pPr>
            <w:r w:rsidRPr="00DE4BE8">
              <w:rPr>
                <w:rFonts w:cs="Arial"/>
              </w:rPr>
              <w:t>a range of time periods, from pre-modern to contemporary</w:t>
            </w:r>
          </w:p>
          <w:p w:rsidR="002B2977" w:rsidRPr="00DE4BE8" w:rsidRDefault="002B2977" w:rsidP="00DE4BE8">
            <w:pPr>
              <w:pStyle w:val="Tabletext"/>
              <w:numPr>
                <w:ilvl w:val="0"/>
                <w:numId w:val="43"/>
              </w:numPr>
              <w:ind w:left="311" w:hanging="284"/>
              <w:rPr>
                <w:rFonts w:cs="Arial"/>
              </w:rPr>
            </w:pPr>
            <w:r w:rsidRPr="00DE4BE8">
              <w:rPr>
                <w:rFonts w:cs="Arial"/>
              </w:rPr>
              <w:t>a range of geographical contexts — Australian, Asia–Pacific, European, African and American</w:t>
            </w:r>
          </w:p>
          <w:p w:rsidR="002B2977" w:rsidRPr="00DE4BE8" w:rsidRDefault="002B2977" w:rsidP="00DE4BE8">
            <w:pPr>
              <w:pStyle w:val="Tabletext"/>
              <w:numPr>
                <w:ilvl w:val="0"/>
                <w:numId w:val="43"/>
              </w:numPr>
              <w:ind w:left="311" w:hanging="284"/>
              <w:rPr>
                <w:rFonts w:cs="Arial"/>
              </w:rPr>
            </w:pPr>
            <w:r w:rsidRPr="00DE4BE8">
              <w:rPr>
                <w:rFonts w:cs="Arial"/>
              </w:rPr>
              <w:t>some study of relations between Indigenous and non-Indigenous Australians</w:t>
            </w:r>
          </w:p>
          <w:p w:rsidR="002B2977" w:rsidRPr="00E96E44" w:rsidRDefault="002B2977" w:rsidP="005707E5">
            <w:pPr>
              <w:pStyle w:val="Tabletext"/>
              <w:numPr>
                <w:ilvl w:val="0"/>
                <w:numId w:val="43"/>
              </w:numPr>
              <w:ind w:left="311" w:hanging="284"/>
              <w:rPr>
                <w:rFonts w:cs="Arial"/>
              </w:rPr>
            </w:pPr>
            <w:r w:rsidRPr="00DE4BE8">
              <w:rPr>
                <w:rFonts w:cs="Arial"/>
              </w:rPr>
              <w:t>a number of briefer studies (background, comparative or linking) to ensure that students can place the inquiry topics within a broader understanding of the history of at least the past two centuries.</w:t>
            </w:r>
          </w:p>
        </w:tc>
      </w:tr>
      <w:tr w:rsidR="001F6C01" w:rsidRPr="009927F7" w:rsidTr="00EC3B20">
        <w:trPr>
          <w:tblHeader/>
          <w:jc w:val="center"/>
        </w:trPr>
        <w:tc>
          <w:tcPr>
            <w:tcW w:w="5000" w:type="pct"/>
            <w:gridSpan w:val="2"/>
            <w:shd w:val="clear" w:color="auto" w:fill="CFE7E6"/>
          </w:tcPr>
          <w:p w:rsidR="001F6C01" w:rsidRPr="004E0C69" w:rsidRDefault="001F6C01" w:rsidP="00A343ED">
            <w:pPr>
              <w:pStyle w:val="Tablesubhead"/>
            </w:pPr>
            <w:r w:rsidRPr="004E0C69">
              <w:t>Bridging content</w:t>
            </w:r>
          </w:p>
        </w:tc>
      </w:tr>
      <w:tr w:rsidR="001F6C01" w:rsidRPr="00030551" w:rsidTr="00EC3B20">
        <w:trPr>
          <w:tblHeader/>
          <w:jc w:val="center"/>
        </w:trPr>
        <w:tc>
          <w:tcPr>
            <w:tcW w:w="5000" w:type="pct"/>
            <w:gridSpan w:val="2"/>
            <w:shd w:val="clear" w:color="auto" w:fill="auto"/>
          </w:tcPr>
          <w:p w:rsidR="001F6C01" w:rsidRPr="00A44C38" w:rsidRDefault="004E5F2C" w:rsidP="00A44C38">
            <w:pPr>
              <w:pStyle w:val="Tabletext"/>
            </w:pPr>
            <w:r w:rsidRPr="00A44C38">
              <w:t xml:space="preserve">The Year 9 SOSE Essential Learnings relate closely to this unit and therefore students may have prior knowledge of </w:t>
            </w:r>
            <w:r w:rsidR="00FE28FC" w:rsidRPr="00A44C38">
              <w:t>the struggle for rights and freedoms of Aboriginal and Torres Strait Islanders in particular.</w:t>
            </w:r>
            <w:r w:rsidR="002B2977">
              <w:t xml:space="preserve"> </w:t>
            </w:r>
            <w:r w:rsidR="00FE28FC" w:rsidRPr="00A44C38">
              <w:t xml:space="preserve">Teachers should check for prior knowledge and possibly consider more depth in the teaching and learning experiences for the students. </w:t>
            </w:r>
          </w:p>
        </w:tc>
      </w:tr>
      <w:tr w:rsidR="001F6C01" w:rsidRPr="004E0C69" w:rsidTr="00EC3B20">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1F6C01" w:rsidRPr="001F6C01" w:rsidRDefault="001F6C01" w:rsidP="00A343ED">
            <w:pPr>
              <w:pStyle w:val="Tablesubhead"/>
            </w:pPr>
            <w:r w:rsidRPr="001F6C01">
              <w:t>Links to other learning areas</w:t>
            </w:r>
          </w:p>
        </w:tc>
      </w:tr>
      <w:tr w:rsidR="001F6C01" w:rsidRPr="00030551" w:rsidTr="00EC3B20">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1F6C01" w:rsidRPr="00665475" w:rsidRDefault="00665475" w:rsidP="00315DEF">
            <w:pPr>
              <w:pStyle w:val="Tabletext"/>
            </w:pPr>
            <w:r w:rsidRPr="00665475">
              <w:t xml:space="preserve">There is the possibility of linking the concepts and content in this unit to the </w:t>
            </w:r>
            <w:r w:rsidR="00315DEF">
              <w:t>Year 10 Guidelines</w:t>
            </w:r>
            <w:r w:rsidRPr="00665475">
              <w:t xml:space="preserve"> content </w:t>
            </w:r>
            <w:r w:rsidR="00315DEF">
              <w:t xml:space="preserve">that may </w:t>
            </w:r>
            <w:r w:rsidRPr="00665475">
              <w:t xml:space="preserve">be </w:t>
            </w:r>
            <w:r w:rsidRPr="006F6C27">
              <w:t xml:space="preserve">taught </w:t>
            </w:r>
            <w:r w:rsidR="00F62B45" w:rsidRPr="006F6C27">
              <w:t>in other curriculum areas</w:t>
            </w:r>
            <w:r w:rsidR="00F62B45">
              <w:t xml:space="preserve"> </w:t>
            </w:r>
            <w:r w:rsidRPr="00665475">
              <w:t>when implementing the Australian Curriculum: History.</w:t>
            </w:r>
          </w:p>
        </w:tc>
      </w:tr>
    </w:tbl>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365706" w:rsidRPr="008300AE" w:rsidRDefault="00364E09" w:rsidP="00365706">
      <w:pPr>
        <w:pStyle w:val="smallspace"/>
      </w:pPr>
      <w:r w:rsidRPr="00C6459D">
        <w:br w:type="page"/>
      </w:r>
    </w:p>
    <w:tbl>
      <w:tblPr>
        <w:tblW w:w="14558"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8729"/>
        <w:gridCol w:w="5829"/>
      </w:tblGrid>
      <w:tr w:rsidR="00365706" w:rsidRPr="00561E58" w:rsidTr="007D4CBE">
        <w:trPr>
          <w:tblHeader/>
          <w:jc w:val="center"/>
        </w:trPr>
        <w:tc>
          <w:tcPr>
            <w:tcW w:w="2998" w:type="pct"/>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2002" w:type="pct"/>
            <w:shd w:val="clear" w:color="auto" w:fill="8CC8C9"/>
          </w:tcPr>
          <w:p w:rsidR="00365706" w:rsidRPr="004E0C69" w:rsidRDefault="00C466B4" w:rsidP="00EC2B44">
            <w:pPr>
              <w:pStyle w:val="Tablehead"/>
              <w:rPr>
                <w:szCs w:val="21"/>
              </w:rPr>
            </w:pPr>
            <w:r w:rsidRPr="004E0C69">
              <w:rPr>
                <w:szCs w:val="21"/>
              </w:rPr>
              <w:t>Make judgments</w:t>
            </w:r>
          </w:p>
        </w:tc>
      </w:tr>
      <w:tr w:rsidR="007D4CBE" w:rsidRPr="00561E58" w:rsidTr="007D4CBE">
        <w:trPr>
          <w:jc w:val="center"/>
        </w:trPr>
        <w:tc>
          <w:tcPr>
            <w:tcW w:w="2998" w:type="pct"/>
            <w:shd w:val="clear" w:color="auto" w:fill="CFE7E6"/>
          </w:tcPr>
          <w:p w:rsidR="007D4CBE" w:rsidRPr="00365706" w:rsidRDefault="007D4CBE" w:rsidP="00365706">
            <w:pPr>
              <w:pStyle w:val="Tablesubhead"/>
            </w:pPr>
            <w:r w:rsidRPr="00365706">
              <w:t>Describe the assessment</w:t>
            </w:r>
          </w:p>
        </w:tc>
        <w:tc>
          <w:tcPr>
            <w:tcW w:w="2002" w:type="pct"/>
            <w:vMerge w:val="restart"/>
            <w:shd w:val="clear" w:color="auto" w:fill="auto"/>
          </w:tcPr>
          <w:p w:rsidR="007D4CBE" w:rsidRDefault="007D4CBE" w:rsidP="00625E85">
            <w:pPr>
              <w:pStyle w:val="Tabletext"/>
            </w:pPr>
            <w:r>
              <w:t>Teachers gather evidence to make judgments about the following characteristics of student work:</w:t>
            </w:r>
          </w:p>
          <w:p w:rsidR="007D4CBE" w:rsidRDefault="007D4CBE" w:rsidP="00625E85">
            <w:pPr>
              <w:pStyle w:val="Tablesubhead"/>
            </w:pPr>
            <w:r>
              <w:t>Understanding</w:t>
            </w:r>
          </w:p>
          <w:p w:rsidR="007D4CBE" w:rsidRDefault="007D4CBE" w:rsidP="00625E85">
            <w:pPr>
              <w:pStyle w:val="Tablebullets"/>
              <w:numPr>
                <w:ilvl w:val="0"/>
                <w:numId w:val="45"/>
              </w:numPr>
              <w:ind w:left="318" w:hanging="284"/>
            </w:pPr>
            <w:r>
              <w:t xml:space="preserve">explanations of the significance of events and developments </w:t>
            </w:r>
          </w:p>
          <w:p w:rsidR="007D4CBE" w:rsidRDefault="007D4CBE" w:rsidP="00625E85">
            <w:pPr>
              <w:pStyle w:val="Tablebullets"/>
              <w:numPr>
                <w:ilvl w:val="0"/>
                <w:numId w:val="45"/>
              </w:numPr>
              <w:ind w:left="318" w:hanging="284"/>
            </w:pPr>
            <w:r>
              <w:t>descriptions of the causes and effects of historical events and developments with reference to the importance and the motives and actions of people in the past</w:t>
            </w:r>
          </w:p>
          <w:p w:rsidR="007D4CBE" w:rsidRDefault="007D4CBE" w:rsidP="00625E85">
            <w:pPr>
              <w:pStyle w:val="Tablesubhead"/>
            </w:pPr>
            <w:r>
              <w:t>Skills</w:t>
            </w:r>
          </w:p>
          <w:p w:rsidR="007D4CBE" w:rsidRDefault="007D4CBE" w:rsidP="00625E85">
            <w:pPr>
              <w:pStyle w:val="Tablebullets"/>
              <w:numPr>
                <w:ilvl w:val="0"/>
                <w:numId w:val="45"/>
              </w:numPr>
              <w:ind w:left="318" w:hanging="284"/>
            </w:pPr>
            <w:r>
              <w:t>analysis and synthesis of information from a range of primary and secondary sources, including the identification of motivations, values and attitudes</w:t>
            </w:r>
          </w:p>
          <w:p w:rsidR="007D4CBE" w:rsidRDefault="007D4CBE" w:rsidP="00625E85">
            <w:pPr>
              <w:pStyle w:val="Tablebullets"/>
              <w:numPr>
                <w:ilvl w:val="0"/>
                <w:numId w:val="45"/>
              </w:numPr>
              <w:ind w:left="318" w:hanging="284"/>
            </w:pPr>
            <w:r>
              <w:t>communication in texts that incorporate historical argument and use and acknowledge sources of evidence, use historical terms and concepts and develop and justify interpretations of the past</w:t>
            </w:r>
          </w:p>
          <w:p w:rsidR="007D4CBE" w:rsidRDefault="007D4CBE" w:rsidP="00D84A6F">
            <w:pPr>
              <w:pStyle w:val="Tabletext"/>
            </w:pPr>
          </w:p>
          <w:p w:rsidR="007D4CBE" w:rsidRPr="00D84A6F" w:rsidRDefault="007D4CBE" w:rsidP="00D84A6F">
            <w:pPr>
              <w:pStyle w:val="Tabletext"/>
            </w:pPr>
            <w:r w:rsidRPr="001E288D">
              <w:t xml:space="preserve">For further advice and guidelines on constructing guides to making judgments refer to the Learning area standard descriptors: </w:t>
            </w:r>
            <w:hyperlink r:id="rId36" w:history="1">
              <w:r w:rsidRPr="001E288D">
                <w:rPr>
                  <w:rStyle w:val="Hyperlink"/>
                </w:rPr>
                <w:t>www.qsa.qld.edu.au</w:t>
              </w:r>
            </w:hyperlink>
          </w:p>
        </w:tc>
      </w:tr>
      <w:tr w:rsidR="007D4CBE" w:rsidRPr="00030551" w:rsidTr="007D4CBE">
        <w:trPr>
          <w:jc w:val="center"/>
        </w:trPr>
        <w:tc>
          <w:tcPr>
            <w:tcW w:w="2998" w:type="pct"/>
            <w:shd w:val="clear" w:color="auto" w:fill="auto"/>
          </w:tcPr>
          <w:p w:rsidR="007D4CBE" w:rsidRDefault="007D4CBE" w:rsidP="00625E85">
            <w:pPr>
              <w:pStyle w:val="Tabletext"/>
            </w:pPr>
            <w:r>
              <w:t>Students are given opportunities to demonstrate their knowledge, skills and understanding across a range of assessments. The assessment is collated in student folios and allows for ongoing feedback to students on their learning.</w:t>
            </w:r>
          </w:p>
          <w:p w:rsidR="007D4CBE" w:rsidRDefault="007D4CBE" w:rsidP="00625E85">
            <w:pPr>
              <w:pStyle w:val="Tabletext"/>
            </w:pPr>
            <w:r>
              <w:t>Year 10 teachers make decisions about the length of time required to complete the tasks and the conditions under which the assessment is to be conducted.</w:t>
            </w:r>
          </w:p>
          <w:p w:rsidR="007D4CBE" w:rsidRDefault="007D4CBE" w:rsidP="00625E85">
            <w:pPr>
              <w:pStyle w:val="Tabletext"/>
            </w:pPr>
            <w: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p w:rsidR="007D4CBE" w:rsidRDefault="007D4CBE" w:rsidP="004C0E00">
            <w:pPr>
              <w:spacing w:before="40" w:after="40" w:line="220" w:lineRule="atLeast"/>
              <w:rPr>
                <w:b/>
                <w:sz w:val="20"/>
              </w:rPr>
            </w:pPr>
          </w:p>
          <w:p w:rsidR="007D4CBE" w:rsidRPr="00625E85" w:rsidRDefault="007D4CBE" w:rsidP="004C0E00">
            <w:pPr>
              <w:spacing w:before="40" w:after="40" w:line="220" w:lineRule="atLeast"/>
              <w:rPr>
                <w:b/>
                <w:sz w:val="20"/>
              </w:rPr>
            </w:pPr>
            <w:r w:rsidRPr="00625E85">
              <w:rPr>
                <w:b/>
                <w:sz w:val="20"/>
              </w:rPr>
              <w:t>Research: Assignment (Spoken/signed and written)</w:t>
            </w:r>
          </w:p>
          <w:p w:rsidR="007D4CBE" w:rsidRPr="004464CC" w:rsidRDefault="007D4CBE" w:rsidP="004C0E00">
            <w:pPr>
              <w:spacing w:before="40" w:after="40" w:line="220" w:lineRule="atLeast"/>
              <w:rPr>
                <w:sz w:val="20"/>
              </w:rPr>
            </w:pPr>
            <w:r w:rsidRPr="004464CC">
              <w:rPr>
                <w:sz w:val="20"/>
              </w:rPr>
              <w:t>The purpose of this assessment is to make judgments about students’ abilities to research, collect, analyse and draw conclusions about historical sources.</w:t>
            </w:r>
          </w:p>
          <w:p w:rsidR="007D4CBE" w:rsidRPr="004464CC" w:rsidRDefault="007D4CBE" w:rsidP="004C0E00">
            <w:pPr>
              <w:spacing w:before="40" w:after="40" w:line="220" w:lineRule="atLeast"/>
              <w:rPr>
                <w:sz w:val="20"/>
              </w:rPr>
            </w:pPr>
            <w:r w:rsidRPr="004464CC">
              <w:rPr>
                <w:sz w:val="20"/>
              </w:rPr>
              <w:t>Students complete</w:t>
            </w:r>
            <w:r>
              <w:rPr>
                <w:sz w:val="20"/>
              </w:rPr>
              <w:t xml:space="preserve"> </w:t>
            </w:r>
            <w:r w:rsidRPr="004464CC">
              <w:rPr>
                <w:sz w:val="20"/>
              </w:rPr>
              <w:t>a case study on the significance of one of the following for the civil rights of Aboriginal and Torres Strait Islander peoples:</w:t>
            </w:r>
          </w:p>
          <w:p w:rsidR="007D4CBE" w:rsidRPr="004464CC" w:rsidRDefault="007D4CBE" w:rsidP="004C0E00">
            <w:pPr>
              <w:numPr>
                <w:ilvl w:val="0"/>
                <w:numId w:val="35"/>
              </w:numPr>
              <w:spacing w:before="40" w:after="40" w:line="220" w:lineRule="atLeast"/>
              <w:rPr>
                <w:sz w:val="20"/>
              </w:rPr>
            </w:pPr>
            <w:r w:rsidRPr="004464CC">
              <w:rPr>
                <w:sz w:val="20"/>
              </w:rPr>
              <w:t xml:space="preserve">1962 right to vote federally </w:t>
            </w:r>
          </w:p>
          <w:p w:rsidR="007D4CBE" w:rsidRPr="004464CC" w:rsidRDefault="007D4CBE" w:rsidP="004C0E00">
            <w:pPr>
              <w:numPr>
                <w:ilvl w:val="0"/>
                <w:numId w:val="35"/>
              </w:numPr>
              <w:spacing w:before="40" w:after="40" w:line="220" w:lineRule="atLeast"/>
              <w:rPr>
                <w:sz w:val="20"/>
              </w:rPr>
            </w:pPr>
            <w:r w:rsidRPr="004464CC">
              <w:rPr>
                <w:sz w:val="20"/>
              </w:rPr>
              <w:t xml:space="preserve">1967 </w:t>
            </w:r>
            <w:r>
              <w:rPr>
                <w:sz w:val="20"/>
              </w:rPr>
              <w:t>r</w:t>
            </w:r>
            <w:r w:rsidRPr="004464CC">
              <w:rPr>
                <w:sz w:val="20"/>
              </w:rPr>
              <w:t>eferendum</w:t>
            </w:r>
          </w:p>
          <w:p w:rsidR="007D4CBE" w:rsidRPr="004464CC" w:rsidRDefault="007D4CBE" w:rsidP="004C0E00">
            <w:pPr>
              <w:numPr>
                <w:ilvl w:val="0"/>
                <w:numId w:val="35"/>
              </w:numPr>
              <w:spacing w:before="40" w:after="40" w:line="220" w:lineRule="atLeast"/>
              <w:rPr>
                <w:sz w:val="20"/>
              </w:rPr>
            </w:pPr>
            <w:r w:rsidRPr="004464CC">
              <w:rPr>
                <w:sz w:val="20"/>
              </w:rPr>
              <w:t>Land rights movement</w:t>
            </w:r>
          </w:p>
          <w:p w:rsidR="007D4CBE" w:rsidRPr="004464CC" w:rsidRDefault="007D4CBE" w:rsidP="004C0E00">
            <w:pPr>
              <w:numPr>
                <w:ilvl w:val="0"/>
                <w:numId w:val="35"/>
              </w:numPr>
              <w:spacing w:before="40" w:after="40" w:line="220" w:lineRule="atLeast"/>
              <w:rPr>
                <w:sz w:val="20"/>
              </w:rPr>
            </w:pPr>
            <w:r w:rsidRPr="004464CC">
              <w:rPr>
                <w:sz w:val="20"/>
              </w:rPr>
              <w:t>Mabo decision</w:t>
            </w:r>
          </w:p>
          <w:p w:rsidR="007D4CBE" w:rsidRPr="004464CC" w:rsidRDefault="007D4CBE" w:rsidP="004C0E00">
            <w:pPr>
              <w:numPr>
                <w:ilvl w:val="0"/>
                <w:numId w:val="35"/>
              </w:numPr>
              <w:spacing w:before="40" w:after="40" w:line="220" w:lineRule="atLeast"/>
              <w:rPr>
                <w:sz w:val="20"/>
              </w:rPr>
            </w:pPr>
            <w:r w:rsidRPr="00DE205D">
              <w:rPr>
                <w:i/>
                <w:sz w:val="20"/>
              </w:rPr>
              <w:t>Bringing Them Home</w:t>
            </w:r>
            <w:r w:rsidRPr="004464CC">
              <w:rPr>
                <w:sz w:val="20"/>
              </w:rPr>
              <w:t xml:space="preserve"> </w:t>
            </w:r>
            <w:r>
              <w:rPr>
                <w:sz w:val="20"/>
              </w:rPr>
              <w:t>r</w:t>
            </w:r>
            <w:r w:rsidRPr="004464CC">
              <w:rPr>
                <w:sz w:val="20"/>
              </w:rPr>
              <w:t>eport (the Stolen Generations)</w:t>
            </w:r>
          </w:p>
          <w:p w:rsidR="007D4CBE" w:rsidRPr="004464CC" w:rsidRDefault="007D4CBE" w:rsidP="004C0E00">
            <w:pPr>
              <w:numPr>
                <w:ilvl w:val="0"/>
                <w:numId w:val="35"/>
              </w:numPr>
              <w:spacing w:before="40" w:after="40" w:line="220" w:lineRule="atLeast"/>
              <w:rPr>
                <w:sz w:val="20"/>
              </w:rPr>
            </w:pPr>
            <w:r w:rsidRPr="004464CC">
              <w:rPr>
                <w:sz w:val="20"/>
              </w:rPr>
              <w:t>Reconciliation movement</w:t>
            </w:r>
          </w:p>
          <w:p w:rsidR="007D4CBE" w:rsidRPr="004464CC" w:rsidRDefault="007D4CBE" w:rsidP="004C0E00">
            <w:pPr>
              <w:numPr>
                <w:ilvl w:val="0"/>
                <w:numId w:val="35"/>
              </w:numPr>
              <w:spacing w:before="40" w:after="40" w:line="220" w:lineRule="atLeast"/>
              <w:rPr>
                <w:sz w:val="20"/>
              </w:rPr>
            </w:pPr>
            <w:r w:rsidRPr="004464CC">
              <w:rPr>
                <w:sz w:val="20"/>
              </w:rPr>
              <w:t xml:space="preserve">2008 </w:t>
            </w:r>
            <w:r w:rsidRPr="00DE205D">
              <w:rPr>
                <w:i/>
                <w:sz w:val="20"/>
              </w:rPr>
              <w:t>Apology to Australia’s Indigenous Peoples</w:t>
            </w:r>
            <w:r w:rsidRPr="004464CC">
              <w:rPr>
                <w:sz w:val="20"/>
              </w:rPr>
              <w:t>.</w:t>
            </w:r>
          </w:p>
          <w:p w:rsidR="007D4CBE" w:rsidRDefault="007D4CBE" w:rsidP="004C0E00">
            <w:pPr>
              <w:spacing w:before="40" w:after="40" w:line="220" w:lineRule="atLeast"/>
              <w:rPr>
                <w:sz w:val="20"/>
              </w:rPr>
            </w:pPr>
          </w:p>
          <w:p w:rsidR="007D4CBE" w:rsidRDefault="007D4CBE" w:rsidP="004C0E00">
            <w:pPr>
              <w:spacing w:before="40" w:after="40" w:line="220" w:lineRule="atLeast"/>
            </w:pPr>
            <w:r w:rsidRPr="004C0E00">
              <w:rPr>
                <w:sz w:val="20"/>
              </w:rPr>
              <w:t>Students develop a hypothesis or position about the significance of one of these events or movements, develop a script with appropriate references and deliver a spoken/signed presentation</w:t>
            </w:r>
            <w:r w:rsidRPr="004C0E00">
              <w:t>.</w:t>
            </w:r>
          </w:p>
          <w:p w:rsidR="007D4CBE" w:rsidRDefault="007D4CBE" w:rsidP="00204E20">
            <w:pPr>
              <w:spacing w:before="40" w:after="40" w:line="220" w:lineRule="atLeast"/>
            </w:pPr>
            <w:r>
              <w:t>Suggested conditions:</w:t>
            </w:r>
          </w:p>
          <w:p w:rsidR="007D4CBE" w:rsidRDefault="007D4CBE" w:rsidP="00204E20">
            <w:pPr>
              <w:numPr>
                <w:ilvl w:val="0"/>
                <w:numId w:val="35"/>
              </w:numPr>
              <w:spacing w:before="40" w:after="40" w:line="220" w:lineRule="atLeast"/>
            </w:pPr>
            <w:r>
              <w:t>open</w:t>
            </w:r>
          </w:p>
          <w:p w:rsidR="007D4CBE" w:rsidRDefault="007D4CBE" w:rsidP="008D0B84">
            <w:pPr>
              <w:numPr>
                <w:ilvl w:val="0"/>
                <w:numId w:val="35"/>
              </w:numPr>
              <w:spacing w:before="40" w:after="80" w:line="220" w:lineRule="atLeast"/>
            </w:pPr>
            <w:r>
              <w:t>3–5 mins.</w:t>
            </w:r>
          </w:p>
          <w:p w:rsidR="007D4CBE" w:rsidRPr="00E96E44" w:rsidRDefault="007D4CBE" w:rsidP="00204E20">
            <w:pPr>
              <w:spacing w:before="40" w:after="40" w:line="220" w:lineRule="atLeast"/>
              <w:rPr>
                <w:sz w:val="20"/>
              </w:rPr>
            </w:pPr>
            <w:r w:rsidRPr="00E96E44">
              <w:rPr>
                <w:sz w:val="20"/>
              </w:rPr>
              <w:t xml:space="preserve">For further advice and guidelines on conditions for assessment refer to </w:t>
            </w:r>
            <w:r w:rsidRPr="00E96E44">
              <w:rPr>
                <w:i/>
                <w:sz w:val="20"/>
              </w:rPr>
              <w:t>Assessment advice: History</w:t>
            </w:r>
            <w:r w:rsidRPr="00E96E44">
              <w:rPr>
                <w:sz w:val="20"/>
              </w:rPr>
              <w:t xml:space="preserve"> on the QSA website: </w:t>
            </w:r>
            <w:hyperlink r:id="rId37" w:history="1">
              <w:r w:rsidRPr="00E96E44">
                <w:rPr>
                  <w:rStyle w:val="Hyperlink"/>
                </w:rPr>
                <w:t>www.qsa.qld.edu.au</w:t>
              </w:r>
            </w:hyperlink>
          </w:p>
        </w:tc>
        <w:tc>
          <w:tcPr>
            <w:tcW w:w="2002" w:type="pct"/>
            <w:vMerge/>
            <w:shd w:val="clear" w:color="auto" w:fill="auto"/>
          </w:tcPr>
          <w:p w:rsidR="007D4CBE" w:rsidRPr="00030551" w:rsidRDefault="007D4CBE" w:rsidP="00030551">
            <w:pPr>
              <w:pStyle w:val="Tabletext"/>
            </w:pPr>
          </w:p>
        </w:tc>
      </w:tr>
    </w:tbl>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123"/>
        <w:gridCol w:w="3570"/>
        <w:gridCol w:w="3879"/>
      </w:tblGrid>
      <w:tr w:rsidR="00642A18" w:rsidRPr="00BC1996" w:rsidTr="00204E20">
        <w:trPr>
          <w:tblHeader/>
          <w:jc w:val="center"/>
        </w:trPr>
        <w:tc>
          <w:tcPr>
            <w:tcW w:w="2444" w:type="pct"/>
            <w:shd w:val="clear" w:color="auto" w:fill="8CC8C9"/>
          </w:tcPr>
          <w:p w:rsidR="005D333E" w:rsidRPr="004E0C69" w:rsidRDefault="005D333E" w:rsidP="002C0575">
            <w:pPr>
              <w:pStyle w:val="Tablehead"/>
              <w:rPr>
                <w:szCs w:val="21"/>
              </w:rPr>
            </w:pPr>
            <w:r>
              <w:rPr>
                <w:szCs w:val="21"/>
              </w:rPr>
              <w:t>Teaching and learning</w:t>
            </w:r>
          </w:p>
        </w:tc>
        <w:tc>
          <w:tcPr>
            <w:tcW w:w="2556"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642A18" w:rsidRPr="00BC1996" w:rsidTr="00204E20">
        <w:trPr>
          <w:tblHeader/>
          <w:jc w:val="center"/>
        </w:trPr>
        <w:tc>
          <w:tcPr>
            <w:tcW w:w="2444" w:type="pct"/>
            <w:tcBorders>
              <w:bottom w:val="single" w:sz="4" w:space="0" w:color="00928F"/>
            </w:tcBorders>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25" w:type="pct"/>
            <w:tcBorders>
              <w:bottom w:val="single" w:sz="4" w:space="0" w:color="00928F"/>
            </w:tcBorders>
            <w:shd w:val="clear" w:color="auto" w:fill="CFE7E6"/>
          </w:tcPr>
          <w:p w:rsidR="002C0575" w:rsidRPr="002C0575" w:rsidRDefault="002C0575" w:rsidP="002C0575">
            <w:pPr>
              <w:pStyle w:val="Tablesubhead"/>
            </w:pPr>
            <w:r w:rsidRPr="002C0575">
              <w:t>Adjustments for needs of learners</w:t>
            </w:r>
          </w:p>
        </w:tc>
        <w:tc>
          <w:tcPr>
            <w:tcW w:w="1331" w:type="pct"/>
            <w:tcBorders>
              <w:bottom w:val="single" w:sz="4" w:space="0" w:color="00928F"/>
            </w:tcBorders>
            <w:shd w:val="clear" w:color="auto" w:fill="CFE7E6"/>
          </w:tcPr>
          <w:p w:rsidR="002C0575" w:rsidRPr="002C0575" w:rsidRDefault="002C0575" w:rsidP="002C0575">
            <w:pPr>
              <w:pStyle w:val="Tablesubhead"/>
            </w:pPr>
            <w:r w:rsidRPr="002C0575">
              <w:t>Resources</w:t>
            </w:r>
          </w:p>
        </w:tc>
      </w:tr>
      <w:tr w:rsidR="00642A18" w:rsidRPr="00030551" w:rsidTr="00204E20">
        <w:trPr>
          <w:trHeight w:val="6078"/>
          <w:jc w:val="center"/>
        </w:trPr>
        <w:tc>
          <w:tcPr>
            <w:tcW w:w="2444" w:type="pct"/>
            <w:tcBorders>
              <w:bottom w:val="single" w:sz="4" w:space="0" w:color="00928F"/>
            </w:tcBorders>
            <w:shd w:val="clear" w:color="auto" w:fill="auto"/>
          </w:tcPr>
          <w:p w:rsidR="00451A66" w:rsidRDefault="00451A66" w:rsidP="00451A66">
            <w:pPr>
              <w:pStyle w:val="Tabletext"/>
              <w:rPr>
                <w:i/>
              </w:rPr>
            </w:pPr>
            <w:r w:rsidRPr="00655575">
              <w:rPr>
                <w:i/>
              </w:rPr>
              <w:t>Chronology,</w:t>
            </w:r>
            <w:r>
              <w:rPr>
                <w:i/>
              </w:rPr>
              <w:t xml:space="preserve"> </w:t>
            </w:r>
            <w:r w:rsidRPr="00655575">
              <w:rPr>
                <w:i/>
              </w:rPr>
              <w:t>terms and concepts</w:t>
            </w:r>
          </w:p>
          <w:p w:rsidR="00450710" w:rsidRPr="00204E20" w:rsidRDefault="00450710" w:rsidP="00451A66">
            <w:pPr>
              <w:pStyle w:val="Tabletext"/>
            </w:pPr>
            <w:r>
              <w:t>Students:</w:t>
            </w:r>
          </w:p>
          <w:p w:rsidR="00451A66" w:rsidRPr="006F6C27" w:rsidRDefault="00450710" w:rsidP="006F6C27">
            <w:pPr>
              <w:numPr>
                <w:ilvl w:val="0"/>
                <w:numId w:val="35"/>
              </w:numPr>
              <w:spacing w:before="40" w:after="40" w:line="220" w:lineRule="atLeast"/>
              <w:rPr>
                <w:sz w:val="20"/>
              </w:rPr>
            </w:pPr>
            <w:r>
              <w:rPr>
                <w:sz w:val="20"/>
              </w:rPr>
              <w:t>u</w:t>
            </w:r>
            <w:r w:rsidRPr="006F6C27">
              <w:rPr>
                <w:sz w:val="20"/>
              </w:rPr>
              <w:t xml:space="preserve">se </w:t>
            </w:r>
            <w:r w:rsidR="00451A66" w:rsidRPr="006F6C27">
              <w:rPr>
                <w:sz w:val="20"/>
              </w:rPr>
              <w:t xml:space="preserve">and understand terms and concepts </w:t>
            </w:r>
            <w:r w:rsidR="00451A66">
              <w:rPr>
                <w:sz w:val="20"/>
              </w:rPr>
              <w:t xml:space="preserve">related to this unit, </w:t>
            </w:r>
            <w:r w:rsidR="00451A66" w:rsidRPr="006F6C27">
              <w:rPr>
                <w:sz w:val="20"/>
              </w:rPr>
              <w:t xml:space="preserve">such as </w:t>
            </w:r>
            <w:r w:rsidR="00451A66">
              <w:rPr>
                <w:sz w:val="20"/>
              </w:rPr>
              <w:t xml:space="preserve">liberation, human rights, </w:t>
            </w:r>
            <w:r w:rsidR="00611052">
              <w:rPr>
                <w:sz w:val="20"/>
              </w:rPr>
              <w:t xml:space="preserve">civil rights, </w:t>
            </w:r>
            <w:r w:rsidR="00451A66">
              <w:rPr>
                <w:sz w:val="20"/>
              </w:rPr>
              <w:t xml:space="preserve">civil liberties, contestability, </w:t>
            </w:r>
            <w:r w:rsidR="00611052">
              <w:rPr>
                <w:sz w:val="20"/>
              </w:rPr>
              <w:t>empathy</w:t>
            </w:r>
          </w:p>
          <w:p w:rsidR="00451A66" w:rsidRPr="00EA31E6" w:rsidRDefault="00450710" w:rsidP="006F6C27">
            <w:pPr>
              <w:numPr>
                <w:ilvl w:val="0"/>
                <w:numId w:val="35"/>
              </w:numPr>
              <w:spacing w:before="40" w:after="40" w:line="220" w:lineRule="atLeast"/>
              <w:rPr>
                <w:sz w:val="20"/>
              </w:rPr>
            </w:pPr>
            <w:r>
              <w:rPr>
                <w:sz w:val="20"/>
              </w:rPr>
              <w:t>s</w:t>
            </w:r>
            <w:r w:rsidRPr="00EA31E6">
              <w:rPr>
                <w:sz w:val="20"/>
              </w:rPr>
              <w:t xml:space="preserve">equence </w:t>
            </w:r>
            <w:r w:rsidR="00451A66" w:rsidRPr="00EA31E6">
              <w:rPr>
                <w:sz w:val="20"/>
              </w:rPr>
              <w:t>and map the major movements for rights and freedoms in the world since 1918 (e.g. green movement, women rights, colonial independence, Aboriginal and Torres Strait Islander civil rights, African American civil rights)</w:t>
            </w:r>
            <w:r w:rsidR="001956F4">
              <w:rPr>
                <w:sz w:val="20"/>
              </w:rPr>
              <w:t>.</w:t>
            </w:r>
          </w:p>
          <w:p w:rsidR="00451A66" w:rsidRDefault="00451A66" w:rsidP="00451A66">
            <w:pPr>
              <w:spacing w:before="40" w:after="40" w:line="220" w:lineRule="atLeast"/>
            </w:pPr>
          </w:p>
          <w:p w:rsidR="00236553" w:rsidRDefault="00EA31E6" w:rsidP="00451A66">
            <w:pPr>
              <w:spacing w:before="40" w:after="40" w:line="220" w:lineRule="atLeast"/>
              <w:rPr>
                <w:i/>
                <w:sz w:val="20"/>
              </w:rPr>
            </w:pPr>
            <w:r w:rsidRPr="00EA31E6">
              <w:rPr>
                <w:i/>
                <w:sz w:val="20"/>
              </w:rPr>
              <w:t>Orientation of movements for rights and freedoms</w:t>
            </w:r>
          </w:p>
          <w:p w:rsidR="00450710" w:rsidRPr="00126CCD" w:rsidRDefault="00450710" w:rsidP="00450710">
            <w:pPr>
              <w:pStyle w:val="Tabletext"/>
            </w:pPr>
            <w:r>
              <w:t>Students:</w:t>
            </w:r>
          </w:p>
          <w:p w:rsidR="00445FFD" w:rsidRDefault="00450710" w:rsidP="006F6C27">
            <w:pPr>
              <w:numPr>
                <w:ilvl w:val="0"/>
                <w:numId w:val="35"/>
              </w:numPr>
              <w:spacing w:before="40" w:after="40" w:line="220" w:lineRule="atLeast"/>
              <w:rPr>
                <w:sz w:val="20"/>
              </w:rPr>
            </w:pPr>
            <w:r>
              <w:rPr>
                <w:sz w:val="20"/>
              </w:rPr>
              <w:t>f</w:t>
            </w:r>
            <w:r w:rsidR="00445FFD">
              <w:rPr>
                <w:sz w:val="20"/>
              </w:rPr>
              <w:t>ind similarities and differences between the historical conditions and events that resulted i</w:t>
            </w:r>
            <w:r w:rsidR="00451A66">
              <w:rPr>
                <w:sz w:val="20"/>
              </w:rPr>
              <w:t>n civil rights</w:t>
            </w:r>
            <w:r w:rsidR="00445FFD">
              <w:rPr>
                <w:sz w:val="20"/>
              </w:rPr>
              <w:t xml:space="preserve"> movements</w:t>
            </w:r>
          </w:p>
          <w:p w:rsidR="007B74F8" w:rsidRPr="00EA31E6" w:rsidRDefault="00450710" w:rsidP="006F6C27">
            <w:pPr>
              <w:numPr>
                <w:ilvl w:val="0"/>
                <w:numId w:val="35"/>
              </w:numPr>
              <w:spacing w:before="40" w:after="40" w:line="220" w:lineRule="atLeast"/>
              <w:rPr>
                <w:sz w:val="20"/>
              </w:rPr>
            </w:pPr>
            <w:r>
              <w:rPr>
                <w:sz w:val="20"/>
              </w:rPr>
              <w:t>f</w:t>
            </w:r>
            <w:r w:rsidRPr="00EA31E6">
              <w:rPr>
                <w:sz w:val="20"/>
              </w:rPr>
              <w:t xml:space="preserve">ormulate </w:t>
            </w:r>
            <w:r w:rsidR="00236553" w:rsidRPr="00EA31E6">
              <w:rPr>
                <w:sz w:val="20"/>
              </w:rPr>
              <w:t xml:space="preserve">a set of criteria to judge the significance of </w:t>
            </w:r>
            <w:r w:rsidR="007B74F8" w:rsidRPr="00EA31E6">
              <w:rPr>
                <w:sz w:val="20"/>
              </w:rPr>
              <w:t>movements for rights and freedom</w:t>
            </w:r>
          </w:p>
          <w:p w:rsidR="00236553" w:rsidRDefault="00450710" w:rsidP="006F6C27">
            <w:pPr>
              <w:numPr>
                <w:ilvl w:val="0"/>
                <w:numId w:val="35"/>
              </w:numPr>
              <w:spacing w:before="40" w:after="40" w:line="220" w:lineRule="atLeast"/>
              <w:rPr>
                <w:sz w:val="20"/>
              </w:rPr>
            </w:pPr>
            <w:r>
              <w:rPr>
                <w:sz w:val="20"/>
              </w:rPr>
              <w:t>c</w:t>
            </w:r>
            <w:r w:rsidRPr="00EA31E6">
              <w:rPr>
                <w:sz w:val="20"/>
              </w:rPr>
              <w:t xml:space="preserve">onstruct </w:t>
            </w:r>
            <w:r w:rsidR="00236553" w:rsidRPr="00EA31E6">
              <w:rPr>
                <w:sz w:val="20"/>
              </w:rPr>
              <w:t>a complementary timeline to the map to demonstrate the relationships between events in Australia and overseas</w:t>
            </w:r>
            <w:r w:rsidR="00EA31E6" w:rsidRPr="00EA31E6">
              <w:rPr>
                <w:sz w:val="20"/>
              </w:rPr>
              <w:t>.</w:t>
            </w:r>
          </w:p>
          <w:p w:rsidR="00F62B45" w:rsidRPr="00EA31E6" w:rsidRDefault="00F62B45" w:rsidP="006F6C27">
            <w:pPr>
              <w:spacing w:before="40" w:after="40" w:line="220" w:lineRule="atLeast"/>
              <w:ind w:left="284"/>
              <w:rPr>
                <w:sz w:val="20"/>
              </w:rPr>
            </w:pPr>
          </w:p>
          <w:p w:rsidR="00EA31E6" w:rsidRDefault="00EA31E6" w:rsidP="00EA31E6">
            <w:pPr>
              <w:spacing w:before="40" w:after="40" w:line="220" w:lineRule="atLeast"/>
              <w:rPr>
                <w:i/>
                <w:sz w:val="20"/>
              </w:rPr>
            </w:pPr>
            <w:r w:rsidRPr="00EA31E6">
              <w:rPr>
                <w:i/>
                <w:sz w:val="20"/>
              </w:rPr>
              <w:t>Universal Declaration of Human Rights</w:t>
            </w:r>
          </w:p>
          <w:p w:rsidR="00450710" w:rsidRPr="00126CCD" w:rsidRDefault="00450710" w:rsidP="00450710">
            <w:pPr>
              <w:pStyle w:val="Tabletext"/>
            </w:pPr>
            <w:r>
              <w:t>Students:</w:t>
            </w:r>
          </w:p>
          <w:p w:rsidR="00EA31E6" w:rsidRPr="00EA31E6" w:rsidRDefault="00450710" w:rsidP="006F6C27">
            <w:pPr>
              <w:numPr>
                <w:ilvl w:val="0"/>
                <w:numId w:val="35"/>
              </w:numPr>
              <w:spacing w:before="40" w:after="40" w:line="220" w:lineRule="atLeast"/>
              <w:rPr>
                <w:sz w:val="20"/>
              </w:rPr>
            </w:pPr>
            <w:r>
              <w:rPr>
                <w:sz w:val="20"/>
              </w:rPr>
              <w:t>i</w:t>
            </w:r>
            <w:r w:rsidR="00EA31E6" w:rsidRPr="00EA31E6">
              <w:rPr>
                <w:sz w:val="20"/>
              </w:rPr>
              <w:t>nvestigate</w:t>
            </w:r>
            <w:r w:rsidR="00236553" w:rsidRPr="00EA31E6">
              <w:rPr>
                <w:sz w:val="20"/>
              </w:rPr>
              <w:t xml:space="preserve"> the drafting of the Universal Declaration of Human Rights</w:t>
            </w:r>
            <w:r w:rsidR="001956F4">
              <w:rPr>
                <w:sz w:val="20"/>
              </w:rPr>
              <w:t>. L</w:t>
            </w:r>
            <w:r w:rsidR="007B74F8" w:rsidRPr="00EA31E6">
              <w:rPr>
                <w:sz w:val="20"/>
              </w:rPr>
              <w:t xml:space="preserve">ist the rights outlined in the declaration and </w:t>
            </w:r>
            <w:r w:rsidR="00EA31E6" w:rsidRPr="00EA31E6">
              <w:rPr>
                <w:sz w:val="20"/>
              </w:rPr>
              <w:t xml:space="preserve">describe </w:t>
            </w:r>
            <w:r w:rsidR="007B74F8" w:rsidRPr="00EA31E6">
              <w:rPr>
                <w:sz w:val="20"/>
              </w:rPr>
              <w:t xml:space="preserve">Australia’s role in their development, especially the </w:t>
            </w:r>
            <w:r w:rsidR="00445FFD">
              <w:rPr>
                <w:sz w:val="20"/>
              </w:rPr>
              <w:t xml:space="preserve">contribution of HV Evatt. </w:t>
            </w:r>
          </w:p>
          <w:p w:rsidR="00236553" w:rsidRPr="006F6C27" w:rsidRDefault="00236553" w:rsidP="00FA4C69">
            <w:pPr>
              <w:pStyle w:val="Tabletext"/>
            </w:pPr>
          </w:p>
        </w:tc>
        <w:tc>
          <w:tcPr>
            <w:tcW w:w="1225" w:type="pct"/>
            <w:tcBorders>
              <w:bottom w:val="single" w:sz="4" w:space="0" w:color="00928F"/>
            </w:tcBorders>
            <w:shd w:val="clear" w:color="auto" w:fill="auto"/>
          </w:tcPr>
          <w:p w:rsidR="00642A18" w:rsidRDefault="00642A18" w:rsidP="00642A18">
            <w:pPr>
              <w:pStyle w:val="Tabletext"/>
            </w:pPr>
            <w:r>
              <w:t xml:space="preserve">Section 6 of the </w:t>
            </w:r>
            <w:r>
              <w:rPr>
                <w:i/>
              </w:rPr>
              <w:t xml:space="preserve">Disability Standards for Education </w:t>
            </w:r>
            <w:r>
              <w:t xml:space="preserve">(The Standards for Curriculum Development, Accreditation and Delivery) states that education providers, including class teachers, must take reasonable steps to ensure a course/program is designed to allow any student to participate and experience success in learning. </w:t>
            </w:r>
          </w:p>
          <w:p w:rsidR="00642A18" w:rsidRDefault="00642A18" w:rsidP="00642A18">
            <w:pPr>
              <w:pStyle w:val="Tabletext"/>
              <w:rPr>
                <w:rFonts w:eastAsia="MS Mincho"/>
              </w:rPr>
            </w:pPr>
            <w:r>
              <w:t xml:space="preserve">The </w:t>
            </w:r>
            <w:r>
              <w:rPr>
                <w:i/>
              </w:rPr>
              <w:t xml:space="preserve">Disability Standards for Education 2005 </w:t>
            </w:r>
            <w:r>
              <w:t xml:space="preserve">(Cwlth) is available from: &lt;www.ag.gov.au&gt; select </w:t>
            </w:r>
            <w:r>
              <w:rPr>
                <w:rFonts w:eastAsia="MS Mincho"/>
              </w:rPr>
              <w:t>Human rights and anti-discrimination &gt; Disability standards for education.</w:t>
            </w:r>
          </w:p>
          <w:p w:rsidR="00642A18" w:rsidRDefault="00642A18" w:rsidP="00642A18">
            <w:pPr>
              <w:pStyle w:val="Tabletext"/>
            </w:pPr>
          </w:p>
          <w:p w:rsidR="00030551" w:rsidRPr="00DB0675" w:rsidRDefault="00030551" w:rsidP="00DB0675"/>
        </w:tc>
        <w:tc>
          <w:tcPr>
            <w:tcW w:w="1331" w:type="pct"/>
            <w:tcBorders>
              <w:bottom w:val="single" w:sz="4" w:space="0" w:color="00928F"/>
            </w:tcBorders>
            <w:shd w:val="clear" w:color="auto" w:fill="auto"/>
          </w:tcPr>
          <w:p w:rsidR="008B63C8" w:rsidRPr="00AE203A" w:rsidRDefault="008B63C8" w:rsidP="008B63C8">
            <w:pPr>
              <w:pStyle w:val="Tabletext"/>
            </w:pPr>
            <w:r w:rsidRPr="006F6C27">
              <w:t>Students would benefit from access to:</w:t>
            </w:r>
          </w:p>
          <w:p w:rsidR="008B63C8" w:rsidRPr="006F6C27" w:rsidRDefault="008B63C8" w:rsidP="008B63C8">
            <w:pPr>
              <w:pStyle w:val="Tabletext"/>
              <w:numPr>
                <w:ilvl w:val="0"/>
                <w:numId w:val="35"/>
              </w:numPr>
            </w:pPr>
            <w:r w:rsidRPr="006F6C27">
              <w:t>computer facilities and ICT support</w:t>
            </w:r>
          </w:p>
          <w:p w:rsidR="008B63C8" w:rsidRPr="006F6C27" w:rsidRDefault="008B63C8" w:rsidP="008B63C8">
            <w:pPr>
              <w:pStyle w:val="Tabletext"/>
              <w:numPr>
                <w:ilvl w:val="0"/>
                <w:numId w:val="35"/>
              </w:numPr>
            </w:pPr>
            <w:r w:rsidRPr="006F6C27">
              <w:t>field trips to relevant locations or excursions to museums and galleries</w:t>
            </w:r>
          </w:p>
          <w:p w:rsidR="008B63C8" w:rsidRPr="006F6C27" w:rsidRDefault="008B63C8" w:rsidP="008B63C8">
            <w:pPr>
              <w:pStyle w:val="Tabletext"/>
              <w:ind w:left="284"/>
            </w:pPr>
          </w:p>
          <w:p w:rsidR="008B63C8" w:rsidRPr="00AE203A" w:rsidRDefault="008B63C8" w:rsidP="008B63C8">
            <w:pPr>
              <w:pStyle w:val="Tabletext"/>
              <w:rPr>
                <w:sz w:val="21"/>
              </w:rPr>
            </w:pPr>
            <w:r w:rsidRPr="006F6C27">
              <w:rPr>
                <w:b/>
              </w:rPr>
              <w:t xml:space="preserve">Useful </w:t>
            </w:r>
            <w:r w:rsidR="00642A18">
              <w:rPr>
                <w:b/>
              </w:rPr>
              <w:t>w</w:t>
            </w:r>
            <w:r w:rsidRPr="006F6C27">
              <w:rPr>
                <w:b/>
              </w:rPr>
              <w:t>eb</w:t>
            </w:r>
            <w:r w:rsidR="00450710">
              <w:rPr>
                <w:b/>
              </w:rPr>
              <w:t>s</w:t>
            </w:r>
            <w:r w:rsidRPr="006F6C27">
              <w:rPr>
                <w:b/>
              </w:rPr>
              <w:t>ites</w:t>
            </w:r>
          </w:p>
          <w:p w:rsidR="008B63C8" w:rsidRDefault="008B63C8">
            <w:pPr>
              <w:pStyle w:val="Tabletext"/>
            </w:pPr>
            <w:r w:rsidRPr="00AE203A">
              <w:t>Online sites such as the following would be useful starting points in this unit of work:</w:t>
            </w:r>
          </w:p>
          <w:p w:rsidR="00450710" w:rsidRDefault="00450710" w:rsidP="00204E20">
            <w:pPr>
              <w:pStyle w:val="Tabletext"/>
              <w:numPr>
                <w:ilvl w:val="0"/>
                <w:numId w:val="35"/>
              </w:numPr>
            </w:pPr>
            <w:r>
              <w:t>History on the net</w:t>
            </w:r>
          </w:p>
          <w:p w:rsidR="008B63C8" w:rsidRPr="00204E20" w:rsidRDefault="0080199C">
            <w:pPr>
              <w:pStyle w:val="Tabletext"/>
              <w:ind w:left="284"/>
            </w:pPr>
            <w:hyperlink r:id="rId38" w:history="1">
              <w:r w:rsidR="00E307F8" w:rsidRPr="003267A2">
                <w:rPr>
                  <w:rStyle w:val="Hyperlink"/>
                </w:rPr>
                <w:t>www.historyonthenet.com</w:t>
              </w:r>
            </w:hyperlink>
          </w:p>
          <w:p w:rsidR="008B63C8" w:rsidRPr="006F6C27" w:rsidRDefault="008B63C8" w:rsidP="00204E20">
            <w:pPr>
              <w:pStyle w:val="Tabletext"/>
              <w:numPr>
                <w:ilvl w:val="0"/>
                <w:numId w:val="35"/>
              </w:numPr>
            </w:pPr>
            <w:r w:rsidRPr="00AE203A">
              <w:t xml:space="preserve">The Universal Declaration of </w:t>
            </w:r>
            <w:r w:rsidR="00E307F8">
              <w:br/>
            </w:r>
            <w:r w:rsidRPr="00AE203A">
              <w:t xml:space="preserve">Human Rights </w:t>
            </w:r>
          </w:p>
          <w:p w:rsidR="008B63C8" w:rsidRPr="006F6C27" w:rsidRDefault="0080199C" w:rsidP="008B63C8">
            <w:pPr>
              <w:pStyle w:val="Tabletext"/>
              <w:ind w:left="284"/>
            </w:pPr>
            <w:hyperlink r:id="rId39" w:history="1">
              <w:r w:rsidR="00E307F8" w:rsidRPr="003267A2">
                <w:rPr>
                  <w:rStyle w:val="Hyperlink"/>
                </w:rPr>
                <w:t>www.un.org/en/documents/udhr/</w:t>
              </w:r>
            </w:hyperlink>
          </w:p>
          <w:p w:rsidR="008B63C8" w:rsidRPr="006F6C27" w:rsidRDefault="008B63C8" w:rsidP="008B63C8">
            <w:pPr>
              <w:pStyle w:val="Tabletext"/>
              <w:ind w:left="284"/>
            </w:pPr>
          </w:p>
          <w:p w:rsidR="001956F4" w:rsidRPr="00AE203A" w:rsidRDefault="001956F4" w:rsidP="001956F4">
            <w:pPr>
              <w:pStyle w:val="Tabletext"/>
              <w:rPr>
                <w:sz w:val="21"/>
              </w:rPr>
            </w:pPr>
            <w:r w:rsidRPr="00AE203A">
              <w:rPr>
                <w:b/>
              </w:rPr>
              <w:t>Guest speakers</w:t>
            </w:r>
            <w:r w:rsidRPr="00AE203A">
              <w:t xml:space="preserve"> </w:t>
            </w:r>
          </w:p>
          <w:p w:rsidR="001956F4" w:rsidRDefault="001956F4" w:rsidP="001956F4">
            <w:pPr>
              <w:pStyle w:val="Tabletext"/>
              <w:numPr>
                <w:ilvl w:val="0"/>
                <w:numId w:val="35"/>
              </w:numPr>
            </w:pPr>
            <w:r>
              <w:t>H</w:t>
            </w:r>
            <w:r w:rsidRPr="00AE203A">
              <w:t xml:space="preserve">istorians </w:t>
            </w:r>
            <w:r>
              <w:t>could</w:t>
            </w:r>
            <w:r w:rsidRPr="00AE203A">
              <w:t xml:space="preserve"> discuss methods and sources used in historical investigations or librarians/museum curators to discuss locating and using and evidence about the past</w:t>
            </w:r>
            <w:r>
              <w:t>.</w:t>
            </w:r>
          </w:p>
          <w:p w:rsidR="008B63C8" w:rsidRPr="006F6C27" w:rsidRDefault="008B63C8" w:rsidP="008B63C8">
            <w:pPr>
              <w:rPr>
                <w:sz w:val="20"/>
              </w:rPr>
            </w:pPr>
          </w:p>
          <w:p w:rsidR="008B63C8" w:rsidRPr="004C0E00" w:rsidRDefault="008B63C8" w:rsidP="004C0E00">
            <w:r w:rsidRPr="008B63C8">
              <w:rPr>
                <w:sz w:val="20"/>
              </w:rPr>
              <w:t xml:space="preserve"> </w:t>
            </w:r>
          </w:p>
        </w:tc>
      </w:tr>
      <w:tr w:rsidR="001956F4" w:rsidRPr="00030551" w:rsidTr="00204E20">
        <w:trPr>
          <w:trHeight w:val="8171"/>
          <w:jc w:val="center"/>
        </w:trPr>
        <w:tc>
          <w:tcPr>
            <w:tcW w:w="2444" w:type="pct"/>
            <w:tcBorders>
              <w:top w:val="single" w:sz="4" w:space="0" w:color="00928F"/>
              <w:bottom w:val="single" w:sz="4" w:space="0" w:color="00928F"/>
            </w:tcBorders>
            <w:shd w:val="clear" w:color="auto" w:fill="auto"/>
          </w:tcPr>
          <w:p w:rsidR="001956F4" w:rsidRDefault="001956F4" w:rsidP="00EA31E6">
            <w:pPr>
              <w:spacing w:before="40" w:after="40" w:line="220" w:lineRule="atLeast"/>
              <w:rPr>
                <w:i/>
                <w:sz w:val="20"/>
              </w:rPr>
            </w:pPr>
            <w:r>
              <w:rPr>
                <w:i/>
                <w:sz w:val="20"/>
              </w:rPr>
              <w:t>Comparative case studies: Movements for Aboriginal and Torres Strait Islander peoples and US civil rights and freedoms</w:t>
            </w:r>
          </w:p>
          <w:p w:rsidR="001956F4" w:rsidRPr="00126CCD" w:rsidRDefault="001956F4" w:rsidP="00450710">
            <w:pPr>
              <w:pStyle w:val="Tabletext"/>
            </w:pPr>
            <w:r>
              <w:t>Students:</w:t>
            </w:r>
          </w:p>
          <w:p w:rsidR="001956F4" w:rsidRDefault="001956F4" w:rsidP="006F6C27">
            <w:pPr>
              <w:numPr>
                <w:ilvl w:val="0"/>
                <w:numId w:val="35"/>
              </w:numPr>
              <w:spacing w:before="40" w:after="40" w:line="220" w:lineRule="atLeast"/>
              <w:rPr>
                <w:sz w:val="20"/>
              </w:rPr>
            </w:pPr>
            <w:r>
              <w:rPr>
                <w:sz w:val="20"/>
              </w:rPr>
              <w:t>create a comparative timeline showing the events of the struggle for rights and freedom for Aboriginal and Torres Strait Islander people, and the US Civil Rights movement</w:t>
            </w:r>
          </w:p>
          <w:p w:rsidR="001956F4" w:rsidRDefault="001956F4">
            <w:pPr>
              <w:numPr>
                <w:ilvl w:val="0"/>
                <w:numId w:val="35"/>
              </w:numPr>
              <w:spacing w:before="40" w:after="40" w:line="220" w:lineRule="atLeast"/>
              <w:rPr>
                <w:sz w:val="20"/>
              </w:rPr>
            </w:pPr>
            <w:r>
              <w:rPr>
                <w:sz w:val="20"/>
              </w:rPr>
              <w:t>investigate the causes, significant historical events and personalities involved in the US Civil Rights movement including the Freedom Rides, (e.g. Rosa Parks and the Montgomery bus, Summerhill Race Riot, Martin Luther King)</w:t>
            </w:r>
          </w:p>
          <w:p w:rsidR="001956F4" w:rsidRDefault="001956F4" w:rsidP="006F6C27">
            <w:pPr>
              <w:numPr>
                <w:ilvl w:val="0"/>
                <w:numId w:val="35"/>
              </w:numPr>
              <w:spacing w:before="40" w:after="40" w:line="220" w:lineRule="atLeast"/>
              <w:rPr>
                <w:sz w:val="20"/>
              </w:rPr>
            </w:pPr>
            <w:r>
              <w:rPr>
                <w:sz w:val="20"/>
              </w:rPr>
              <w:t>investigate the changes to Australian government policy associated with Aboriginal and Torres Strait Islanders since 1901 and how these were influenced by values and attitudes at the time. (e.g. White Australia Policy, protectionist and assimilation policies)</w:t>
            </w:r>
          </w:p>
          <w:p w:rsidR="001956F4" w:rsidRPr="00EA31E6" w:rsidRDefault="001956F4" w:rsidP="006F6C27">
            <w:pPr>
              <w:numPr>
                <w:ilvl w:val="0"/>
                <w:numId w:val="35"/>
              </w:numPr>
              <w:spacing w:before="40" w:after="40" w:line="220" w:lineRule="atLeast"/>
              <w:rPr>
                <w:sz w:val="20"/>
              </w:rPr>
            </w:pPr>
            <w:r>
              <w:rPr>
                <w:sz w:val="20"/>
              </w:rPr>
              <w:t>v</w:t>
            </w:r>
            <w:r w:rsidRPr="00EA31E6">
              <w:rPr>
                <w:sz w:val="20"/>
              </w:rPr>
              <w:t>iew excerpts from First Australians (1938 Day of Mourning) and Stolen Generation testimonials to describe the past experiences of Aboriginal and Torres Strait Islander peoples who were forcibly removed from their families</w:t>
            </w:r>
          </w:p>
          <w:p w:rsidR="001956F4" w:rsidRDefault="001956F4" w:rsidP="006F6C27">
            <w:pPr>
              <w:numPr>
                <w:ilvl w:val="0"/>
                <w:numId w:val="35"/>
              </w:numPr>
              <w:spacing w:before="40" w:after="40" w:line="220" w:lineRule="atLeast"/>
              <w:rPr>
                <w:sz w:val="20"/>
              </w:rPr>
            </w:pPr>
            <w:r>
              <w:rPr>
                <w:sz w:val="20"/>
              </w:rPr>
              <w:t>c</w:t>
            </w:r>
            <w:r w:rsidRPr="00EA31E6">
              <w:rPr>
                <w:sz w:val="20"/>
              </w:rPr>
              <w:t xml:space="preserve">ompare and contrast Aboriginal and Torres Strait Islander accounts with some of the slave narratives and testimonials </w:t>
            </w:r>
            <w:r>
              <w:rPr>
                <w:sz w:val="20"/>
              </w:rPr>
              <w:t>from US civil rights movement</w:t>
            </w:r>
          </w:p>
          <w:p w:rsidR="001956F4" w:rsidRDefault="001956F4" w:rsidP="006F6C27">
            <w:pPr>
              <w:numPr>
                <w:ilvl w:val="0"/>
                <w:numId w:val="35"/>
              </w:numPr>
              <w:spacing w:before="40" w:after="40" w:line="220" w:lineRule="atLeast"/>
              <w:rPr>
                <w:sz w:val="20"/>
              </w:rPr>
            </w:pPr>
            <w:r>
              <w:rPr>
                <w:sz w:val="20"/>
              </w:rPr>
              <w:t>investigate</w:t>
            </w:r>
            <w:r w:rsidRPr="00E63B07">
              <w:rPr>
                <w:sz w:val="20"/>
              </w:rPr>
              <w:t xml:space="preserve"> the Freedom Rides in the US, how they inspired civil rights campaigners in Australia, and how they became a turning point in the Aboriginal and Torres Strait Islander peoples’ struggle for rights and freedoms</w:t>
            </w:r>
          </w:p>
          <w:p w:rsidR="001956F4" w:rsidRPr="00E63B07" w:rsidRDefault="001956F4" w:rsidP="006F6C27">
            <w:pPr>
              <w:numPr>
                <w:ilvl w:val="0"/>
                <w:numId w:val="35"/>
              </w:numPr>
              <w:spacing w:before="40" w:after="40" w:line="220" w:lineRule="atLeast"/>
              <w:rPr>
                <w:sz w:val="20"/>
              </w:rPr>
            </w:pPr>
            <w:r>
              <w:rPr>
                <w:sz w:val="20"/>
              </w:rPr>
              <w:t>investigate the Freedom Ride in Australia in 1965 and the role of Charles Perkins in leading this movement</w:t>
            </w:r>
          </w:p>
          <w:p w:rsidR="001956F4" w:rsidRPr="00E63B07" w:rsidRDefault="001956F4" w:rsidP="006F6C27">
            <w:pPr>
              <w:numPr>
                <w:ilvl w:val="0"/>
                <w:numId w:val="35"/>
              </w:numPr>
              <w:spacing w:before="40" w:after="40" w:line="220" w:lineRule="atLeast"/>
              <w:rPr>
                <w:sz w:val="20"/>
              </w:rPr>
            </w:pPr>
            <w:r>
              <w:rPr>
                <w:sz w:val="20"/>
              </w:rPr>
              <w:t>u</w:t>
            </w:r>
            <w:r w:rsidRPr="00E63B07">
              <w:rPr>
                <w:sz w:val="20"/>
              </w:rPr>
              <w:t>se maps to compare and contrast distance, time and numbers of</w:t>
            </w:r>
            <w:r>
              <w:rPr>
                <w:sz w:val="20"/>
              </w:rPr>
              <w:t xml:space="preserve"> the US and Australian Freedom R</w:t>
            </w:r>
            <w:r w:rsidRPr="00E63B07">
              <w:rPr>
                <w:sz w:val="20"/>
              </w:rPr>
              <w:t>ides</w:t>
            </w:r>
          </w:p>
          <w:p w:rsidR="001956F4" w:rsidRPr="00655575" w:rsidRDefault="001956F4" w:rsidP="00204E20">
            <w:pPr>
              <w:numPr>
                <w:ilvl w:val="0"/>
                <w:numId w:val="35"/>
              </w:numPr>
              <w:spacing w:before="40" w:after="40" w:line="220" w:lineRule="atLeast"/>
              <w:rPr>
                <w:i/>
              </w:rPr>
            </w:pPr>
            <w:r>
              <w:rPr>
                <w:sz w:val="20"/>
              </w:rPr>
              <w:t>l</w:t>
            </w:r>
            <w:r w:rsidRPr="00E63B07">
              <w:rPr>
                <w:sz w:val="20"/>
              </w:rPr>
              <w:t>ocate evidence to describe how these events might have been viewed by people of different ages, genders, cultures, social position and beliefs and values</w:t>
            </w:r>
            <w:r>
              <w:rPr>
                <w:sz w:val="20"/>
              </w:rPr>
              <w:t>.</w:t>
            </w:r>
          </w:p>
        </w:tc>
        <w:tc>
          <w:tcPr>
            <w:tcW w:w="1225" w:type="pct"/>
            <w:tcBorders>
              <w:top w:val="single" w:sz="4" w:space="0" w:color="00928F"/>
              <w:bottom w:val="single" w:sz="4" w:space="0" w:color="00928F"/>
            </w:tcBorders>
            <w:shd w:val="clear" w:color="auto" w:fill="auto"/>
          </w:tcPr>
          <w:p w:rsidR="001956F4" w:rsidRDefault="001956F4" w:rsidP="00DB0675"/>
        </w:tc>
        <w:tc>
          <w:tcPr>
            <w:tcW w:w="1331" w:type="pct"/>
            <w:tcBorders>
              <w:top w:val="single" w:sz="4" w:space="0" w:color="00928F"/>
              <w:bottom w:val="single" w:sz="4" w:space="0" w:color="00928F"/>
            </w:tcBorders>
            <w:shd w:val="clear" w:color="auto" w:fill="auto"/>
          </w:tcPr>
          <w:p w:rsidR="001956F4" w:rsidRPr="00AE203A" w:rsidRDefault="001956F4" w:rsidP="001956F4">
            <w:pPr>
              <w:pStyle w:val="Tabletext"/>
              <w:rPr>
                <w:sz w:val="21"/>
              </w:rPr>
            </w:pPr>
            <w:r w:rsidRPr="00AE203A">
              <w:rPr>
                <w:b/>
              </w:rPr>
              <w:t>Guest speakers</w:t>
            </w:r>
            <w:r w:rsidRPr="00AE203A">
              <w:t xml:space="preserve"> </w:t>
            </w:r>
          </w:p>
          <w:p w:rsidR="001956F4" w:rsidRDefault="001956F4" w:rsidP="001956F4">
            <w:pPr>
              <w:pStyle w:val="Tabletext"/>
              <w:numPr>
                <w:ilvl w:val="0"/>
                <w:numId w:val="35"/>
              </w:numPr>
            </w:pPr>
            <w:r>
              <w:t>P</w:t>
            </w:r>
            <w:r w:rsidRPr="00AE203A">
              <w:t xml:space="preserve">eople </w:t>
            </w:r>
            <w:r w:rsidRPr="006F6C27">
              <w:t xml:space="preserve">(particularly those of Aboriginal or Torres Strait Islander descent) </w:t>
            </w:r>
            <w:r w:rsidRPr="00AE203A">
              <w:t>who have been involved in civil liberties/civil rights movements</w:t>
            </w:r>
            <w:r>
              <w:t xml:space="preserve"> could discuss their experiences.</w:t>
            </w:r>
          </w:p>
          <w:p w:rsidR="001956F4" w:rsidRPr="00EA31E6" w:rsidRDefault="001956F4" w:rsidP="001956F4">
            <w:pPr>
              <w:pStyle w:val="Tabletext"/>
              <w:numPr>
                <w:ilvl w:val="0"/>
                <w:numId w:val="35"/>
              </w:numPr>
            </w:pPr>
            <w:r>
              <w:t>I</w:t>
            </w:r>
            <w:r w:rsidRPr="00EA31E6">
              <w:t xml:space="preserve">nvite an Aboriginal and Torres Strait Islander community member </w:t>
            </w:r>
            <w:r>
              <w:t xml:space="preserve">to  </w:t>
            </w:r>
            <w:r w:rsidRPr="00EA31E6">
              <w:t xml:space="preserve"> explain the difference between </w:t>
            </w:r>
            <w:r w:rsidRPr="00126CCD">
              <w:rPr>
                <w:i/>
              </w:rPr>
              <w:t>Welcome to Country</w:t>
            </w:r>
            <w:r>
              <w:t xml:space="preserve"> and </w:t>
            </w:r>
            <w:r w:rsidRPr="00126CCD">
              <w:rPr>
                <w:i/>
              </w:rPr>
              <w:t>Acknowledgement of Country</w:t>
            </w:r>
            <w:r>
              <w:t>.</w:t>
            </w:r>
          </w:p>
          <w:p w:rsidR="001956F4" w:rsidRPr="006F6C27" w:rsidRDefault="001956F4" w:rsidP="004C0E00"/>
        </w:tc>
      </w:tr>
      <w:tr w:rsidR="00642A18" w:rsidRPr="00030551" w:rsidTr="00204E20">
        <w:trPr>
          <w:trHeight w:val="8003"/>
          <w:jc w:val="center"/>
        </w:trPr>
        <w:tc>
          <w:tcPr>
            <w:tcW w:w="2444" w:type="pct"/>
            <w:tcBorders>
              <w:top w:val="single" w:sz="4" w:space="0" w:color="00928F"/>
              <w:bottom w:val="single" w:sz="4" w:space="0" w:color="00928F"/>
            </w:tcBorders>
            <w:shd w:val="clear" w:color="auto" w:fill="auto"/>
          </w:tcPr>
          <w:p w:rsidR="00450710" w:rsidRDefault="00450710" w:rsidP="00E63B07">
            <w:pPr>
              <w:spacing w:before="40" w:after="40" w:line="220" w:lineRule="atLeast"/>
              <w:rPr>
                <w:i/>
                <w:sz w:val="20"/>
              </w:rPr>
            </w:pPr>
            <w:r w:rsidRPr="00E63B07">
              <w:rPr>
                <w:i/>
                <w:sz w:val="20"/>
              </w:rPr>
              <w:t xml:space="preserve">Planning </w:t>
            </w:r>
            <w:r>
              <w:rPr>
                <w:i/>
                <w:sz w:val="20"/>
              </w:rPr>
              <w:t xml:space="preserve">and conducting </w:t>
            </w:r>
            <w:r w:rsidRPr="00E63B07">
              <w:rPr>
                <w:i/>
                <w:sz w:val="20"/>
              </w:rPr>
              <w:t>an historical investigation</w:t>
            </w:r>
          </w:p>
          <w:p w:rsidR="00450710" w:rsidRPr="00126CCD" w:rsidRDefault="00450710" w:rsidP="00450710">
            <w:pPr>
              <w:pStyle w:val="Tabletext"/>
            </w:pPr>
            <w:r>
              <w:t>Students:</w:t>
            </w:r>
          </w:p>
          <w:p w:rsidR="00450710" w:rsidRDefault="00450710" w:rsidP="006F6C27">
            <w:pPr>
              <w:numPr>
                <w:ilvl w:val="0"/>
                <w:numId w:val="35"/>
              </w:numPr>
              <w:spacing w:before="40" w:after="40" w:line="220" w:lineRule="atLeast"/>
              <w:rPr>
                <w:sz w:val="20"/>
              </w:rPr>
            </w:pPr>
            <w:r w:rsidRPr="00E63B07">
              <w:rPr>
                <w:sz w:val="20"/>
              </w:rPr>
              <w:t>investigate</w:t>
            </w:r>
            <w:r>
              <w:rPr>
                <w:sz w:val="20"/>
              </w:rPr>
              <w:t>, individually or i</w:t>
            </w:r>
            <w:r w:rsidRPr="00E63B07">
              <w:rPr>
                <w:sz w:val="20"/>
              </w:rPr>
              <w:t>n group</w:t>
            </w:r>
            <w:r>
              <w:rPr>
                <w:sz w:val="20"/>
              </w:rPr>
              <w:t>s,</w:t>
            </w:r>
            <w:r w:rsidRPr="00E63B07">
              <w:rPr>
                <w:sz w:val="20"/>
              </w:rPr>
              <w:t xml:space="preserve"> </w:t>
            </w:r>
            <w:r>
              <w:rPr>
                <w:sz w:val="20"/>
              </w:rPr>
              <w:t>key events such as:</w:t>
            </w:r>
            <w:r w:rsidRPr="00E63B07">
              <w:rPr>
                <w:sz w:val="20"/>
              </w:rPr>
              <w:t xml:space="preserve"> 1962 right to vote federally; 1967 Referendum; Reconciliation; Mabo decision; Bringing Them Home Report (the Stolen Generations), the Apology and select one to develop </w:t>
            </w:r>
            <w:r>
              <w:rPr>
                <w:sz w:val="20"/>
              </w:rPr>
              <w:t xml:space="preserve">as a </w:t>
            </w:r>
            <w:r w:rsidRPr="00E63B07">
              <w:rPr>
                <w:sz w:val="20"/>
              </w:rPr>
              <w:t xml:space="preserve">case </w:t>
            </w:r>
            <w:r>
              <w:rPr>
                <w:sz w:val="20"/>
              </w:rPr>
              <w:t xml:space="preserve">study </w:t>
            </w:r>
            <w:r w:rsidRPr="00E63B07">
              <w:rPr>
                <w:sz w:val="20"/>
              </w:rPr>
              <w:t>for why this should be investigated or remembered</w:t>
            </w:r>
          </w:p>
          <w:p w:rsidR="00450710" w:rsidRPr="00E63B07" w:rsidRDefault="00450710" w:rsidP="006F6C27">
            <w:pPr>
              <w:numPr>
                <w:ilvl w:val="0"/>
                <w:numId w:val="35"/>
              </w:numPr>
              <w:spacing w:before="40" w:after="40" w:line="220" w:lineRule="atLeast"/>
              <w:rPr>
                <w:sz w:val="20"/>
              </w:rPr>
            </w:pPr>
            <w:r>
              <w:rPr>
                <w:sz w:val="20"/>
              </w:rPr>
              <w:t>g</w:t>
            </w:r>
            <w:r w:rsidRPr="00E63B07">
              <w:rPr>
                <w:sz w:val="20"/>
              </w:rPr>
              <w:t>enerate a set of key questions to support an investigation of significant movement</w:t>
            </w:r>
            <w:r>
              <w:rPr>
                <w:sz w:val="20"/>
              </w:rPr>
              <w:t xml:space="preserve">, </w:t>
            </w:r>
            <w:r w:rsidRPr="00E63B07">
              <w:rPr>
                <w:sz w:val="20"/>
              </w:rPr>
              <w:t xml:space="preserve">event </w:t>
            </w:r>
            <w:r>
              <w:rPr>
                <w:sz w:val="20"/>
              </w:rPr>
              <w:t xml:space="preserve">or person </w:t>
            </w:r>
            <w:r w:rsidRPr="00E63B07">
              <w:rPr>
                <w:sz w:val="20"/>
              </w:rPr>
              <w:t>related to Aboriginal and Torres Strait Islander peoples’ struggle for rights and freedoms and</w:t>
            </w:r>
            <w:r>
              <w:rPr>
                <w:sz w:val="20"/>
              </w:rPr>
              <w:t xml:space="preserve"> </w:t>
            </w:r>
            <w:r w:rsidRPr="00E63B07">
              <w:rPr>
                <w:sz w:val="20"/>
              </w:rPr>
              <w:t>evaluate these questions against the checklist of key historical understandings</w:t>
            </w:r>
          </w:p>
          <w:p w:rsidR="00450710" w:rsidRPr="00E63B07" w:rsidRDefault="00450710" w:rsidP="006F6C27">
            <w:pPr>
              <w:numPr>
                <w:ilvl w:val="0"/>
                <w:numId w:val="35"/>
              </w:numPr>
              <w:spacing w:before="40" w:after="40" w:line="220" w:lineRule="atLeast"/>
              <w:rPr>
                <w:sz w:val="20"/>
              </w:rPr>
            </w:pPr>
            <w:r>
              <w:rPr>
                <w:sz w:val="20"/>
              </w:rPr>
              <w:t>i</w:t>
            </w:r>
            <w:r w:rsidRPr="00E63B07">
              <w:rPr>
                <w:sz w:val="20"/>
              </w:rPr>
              <w:t>dentify and locate relevant sources, using ICT and other methods</w:t>
            </w:r>
          </w:p>
          <w:p w:rsidR="00450710" w:rsidRPr="00E63B07" w:rsidRDefault="00450710" w:rsidP="006F6C27">
            <w:pPr>
              <w:numPr>
                <w:ilvl w:val="0"/>
                <w:numId w:val="35"/>
              </w:numPr>
              <w:spacing w:before="40" w:after="40" w:line="220" w:lineRule="atLeast"/>
              <w:rPr>
                <w:sz w:val="20"/>
              </w:rPr>
            </w:pPr>
            <w:r>
              <w:rPr>
                <w:sz w:val="20"/>
              </w:rPr>
              <w:t>u</w:t>
            </w:r>
            <w:r w:rsidRPr="00E63B07">
              <w:rPr>
                <w:sz w:val="20"/>
              </w:rPr>
              <w:t>se the SWOT analysis to describe the process of identifying and locating relevant sources about the event or movement and on a scale of 1</w:t>
            </w:r>
            <w:r w:rsidR="001956F4">
              <w:rPr>
                <w:sz w:val="20"/>
              </w:rPr>
              <w:t>–</w:t>
            </w:r>
            <w:r w:rsidRPr="00E63B07">
              <w:rPr>
                <w:sz w:val="20"/>
              </w:rPr>
              <w:t>5 describe the usefulness of each source in developing the historical understandings (evidence, continuity and change, significance, empathy, perspectives, contestability)</w:t>
            </w:r>
          </w:p>
          <w:p w:rsidR="00450710" w:rsidRPr="006E478B" w:rsidRDefault="00450710" w:rsidP="006F6C27">
            <w:pPr>
              <w:numPr>
                <w:ilvl w:val="0"/>
                <w:numId w:val="35"/>
              </w:numPr>
              <w:spacing w:before="40" w:after="40" w:line="220" w:lineRule="atLeast"/>
              <w:rPr>
                <w:sz w:val="20"/>
              </w:rPr>
            </w:pPr>
            <w:r>
              <w:rPr>
                <w:sz w:val="20"/>
              </w:rPr>
              <w:t>u</w:t>
            </w:r>
            <w:r w:rsidRPr="006E478B">
              <w:rPr>
                <w:sz w:val="20"/>
              </w:rPr>
              <w:t>se the sources to list the methods used by civil rights activists to achieve change for Aboriginal and Torres Strait Islander people</w:t>
            </w:r>
          </w:p>
          <w:p w:rsidR="00450710" w:rsidRPr="006E478B" w:rsidRDefault="00450710" w:rsidP="006F6C27">
            <w:pPr>
              <w:numPr>
                <w:ilvl w:val="0"/>
                <w:numId w:val="35"/>
              </w:numPr>
              <w:spacing w:before="40" w:after="40" w:line="220" w:lineRule="atLeast"/>
              <w:rPr>
                <w:sz w:val="20"/>
              </w:rPr>
            </w:pPr>
            <w:r>
              <w:rPr>
                <w:sz w:val="20"/>
              </w:rPr>
              <w:t>i</w:t>
            </w:r>
            <w:r w:rsidRPr="006E478B">
              <w:rPr>
                <w:sz w:val="20"/>
              </w:rPr>
              <w:t>dentify the origin, purpose and context of primary and secondary sources have used and develop an annotated bibliography to support your case for the significance of the chosen event or movement in terms of the recognition of the rights and freedoms of Aboriginal and Torres Strait Islander people</w:t>
            </w:r>
          </w:p>
          <w:p w:rsidR="00450710" w:rsidRDefault="00450710" w:rsidP="006F6C27">
            <w:pPr>
              <w:numPr>
                <w:ilvl w:val="0"/>
                <w:numId w:val="35"/>
              </w:numPr>
              <w:spacing w:before="40" w:after="40" w:line="220" w:lineRule="atLeast"/>
              <w:rPr>
                <w:sz w:val="20"/>
              </w:rPr>
            </w:pPr>
            <w:r>
              <w:rPr>
                <w:sz w:val="20"/>
              </w:rPr>
              <w:t>d</w:t>
            </w:r>
            <w:r w:rsidRPr="006E478B">
              <w:rPr>
                <w:sz w:val="20"/>
              </w:rPr>
              <w:t>evelop a tentative hypothesis to answer the focus question</w:t>
            </w:r>
            <w:r w:rsidR="001956F4">
              <w:rPr>
                <w:sz w:val="20"/>
              </w:rPr>
              <w:t>, e.g.</w:t>
            </w:r>
            <w:r w:rsidRPr="006E478B">
              <w:rPr>
                <w:sz w:val="20"/>
              </w:rPr>
              <w:t xml:space="preserve"> to what extent was the Aboriginal and Torres Strait Islander struggle for civil rights and freedoms influenced by global events, in particular the US civil rights movement and the advent of television</w:t>
            </w:r>
          </w:p>
          <w:p w:rsidR="00450710" w:rsidRDefault="00450710" w:rsidP="006F6C27">
            <w:pPr>
              <w:numPr>
                <w:ilvl w:val="0"/>
                <w:numId w:val="35"/>
              </w:numPr>
              <w:spacing w:before="40" w:after="40" w:line="220" w:lineRule="atLeast"/>
              <w:rPr>
                <w:sz w:val="20"/>
              </w:rPr>
            </w:pPr>
            <w:r>
              <w:rPr>
                <w:sz w:val="20"/>
              </w:rPr>
              <w:t>u</w:t>
            </w:r>
            <w:r w:rsidRPr="006E478B">
              <w:rPr>
                <w:sz w:val="20"/>
              </w:rPr>
              <w:t xml:space="preserve">se evidence and the analytical tools of long medium and short term causes and effects to </w:t>
            </w:r>
            <w:r>
              <w:rPr>
                <w:sz w:val="20"/>
              </w:rPr>
              <w:t>refine</w:t>
            </w:r>
            <w:r w:rsidRPr="006E478B">
              <w:rPr>
                <w:sz w:val="20"/>
              </w:rPr>
              <w:t xml:space="preserve"> your hypothesis</w:t>
            </w:r>
          </w:p>
          <w:p w:rsidR="00450710" w:rsidRPr="00655575" w:rsidRDefault="00450710" w:rsidP="00204E20">
            <w:pPr>
              <w:numPr>
                <w:ilvl w:val="0"/>
                <w:numId w:val="35"/>
              </w:numPr>
              <w:spacing w:before="40" w:after="40" w:line="220" w:lineRule="atLeast"/>
              <w:rPr>
                <w:i/>
              </w:rPr>
            </w:pPr>
            <w:r w:rsidRPr="001956F4">
              <w:rPr>
                <w:sz w:val="20"/>
              </w:rPr>
              <w:t>develop a written script with appropriate references and deliver a spoken/signed presentation addressing the hypothesis</w:t>
            </w:r>
            <w:r w:rsidR="001956F4">
              <w:rPr>
                <w:sz w:val="20"/>
              </w:rPr>
              <w:t>.</w:t>
            </w:r>
          </w:p>
        </w:tc>
        <w:tc>
          <w:tcPr>
            <w:tcW w:w="1225" w:type="pct"/>
            <w:tcBorders>
              <w:top w:val="single" w:sz="4" w:space="0" w:color="00928F"/>
              <w:bottom w:val="single" w:sz="4" w:space="0" w:color="00928F"/>
            </w:tcBorders>
            <w:shd w:val="clear" w:color="auto" w:fill="auto"/>
          </w:tcPr>
          <w:p w:rsidR="00450710" w:rsidRDefault="00450710" w:rsidP="00204E20">
            <w:pPr>
              <w:pStyle w:val="Tabletext"/>
            </w:pPr>
          </w:p>
        </w:tc>
        <w:tc>
          <w:tcPr>
            <w:tcW w:w="1331" w:type="pct"/>
            <w:tcBorders>
              <w:top w:val="single" w:sz="4" w:space="0" w:color="00928F"/>
              <w:bottom w:val="single" w:sz="4" w:space="0" w:color="00928F"/>
            </w:tcBorders>
            <w:shd w:val="clear" w:color="auto" w:fill="auto"/>
          </w:tcPr>
          <w:p w:rsidR="00450710" w:rsidRPr="006F6C27" w:rsidRDefault="00450710" w:rsidP="004C0E00"/>
        </w:tc>
      </w:tr>
      <w:tr w:rsidR="001956F4" w:rsidRPr="00030551" w:rsidTr="00204E20">
        <w:trPr>
          <w:trHeight w:val="3271"/>
          <w:jc w:val="center"/>
        </w:trPr>
        <w:tc>
          <w:tcPr>
            <w:tcW w:w="2444" w:type="pct"/>
            <w:tcBorders>
              <w:top w:val="single" w:sz="4" w:space="0" w:color="00928F"/>
            </w:tcBorders>
            <w:shd w:val="clear" w:color="auto" w:fill="auto"/>
          </w:tcPr>
          <w:p w:rsidR="001956F4" w:rsidRDefault="001956F4" w:rsidP="006E478B">
            <w:pPr>
              <w:spacing w:before="40" w:after="40" w:line="220" w:lineRule="atLeast"/>
              <w:rPr>
                <w:i/>
                <w:sz w:val="20"/>
              </w:rPr>
            </w:pPr>
            <w:r>
              <w:rPr>
                <w:i/>
                <w:sz w:val="20"/>
              </w:rPr>
              <w:t>Current developments and Human Rights issues in Australia today</w:t>
            </w:r>
          </w:p>
          <w:p w:rsidR="001956F4" w:rsidRPr="006E478B" w:rsidRDefault="001956F4" w:rsidP="006E478B">
            <w:pPr>
              <w:spacing w:before="40" w:after="40" w:line="220" w:lineRule="atLeast"/>
              <w:rPr>
                <w:i/>
                <w:sz w:val="20"/>
              </w:rPr>
            </w:pPr>
            <w:r>
              <w:rPr>
                <w:sz w:val="20"/>
              </w:rPr>
              <w:t>Students:</w:t>
            </w:r>
          </w:p>
          <w:p w:rsidR="001956F4" w:rsidRDefault="001956F4" w:rsidP="006F6C27">
            <w:pPr>
              <w:numPr>
                <w:ilvl w:val="0"/>
                <w:numId w:val="35"/>
              </w:numPr>
              <w:spacing w:before="40" w:after="40" w:line="220" w:lineRule="atLeast"/>
              <w:rPr>
                <w:sz w:val="20"/>
              </w:rPr>
            </w:pPr>
            <w:r>
              <w:rPr>
                <w:sz w:val="20"/>
              </w:rPr>
              <w:t>i</w:t>
            </w:r>
            <w:r w:rsidRPr="006E478B">
              <w:rPr>
                <w:sz w:val="20"/>
              </w:rPr>
              <w:t>dentify and analyse perspectives and historical interpretations of how human rights have developed from 1945 to the present, and the continuing nature of efforts to secure civil rights and freedoms in Australia and throughout the world</w:t>
            </w:r>
            <w:r>
              <w:rPr>
                <w:sz w:val="20"/>
              </w:rPr>
              <w:t xml:space="preserve"> (e.g. The Apology in 2008)</w:t>
            </w:r>
          </w:p>
          <w:p w:rsidR="001956F4" w:rsidRDefault="001956F4" w:rsidP="006F6C27">
            <w:pPr>
              <w:numPr>
                <w:ilvl w:val="0"/>
                <w:numId w:val="35"/>
              </w:numPr>
              <w:spacing w:before="40" w:after="40" w:line="220" w:lineRule="atLeast"/>
              <w:rPr>
                <w:sz w:val="20"/>
              </w:rPr>
            </w:pPr>
            <w:r>
              <w:rPr>
                <w:sz w:val="20"/>
              </w:rPr>
              <w:t>i</w:t>
            </w:r>
            <w:r w:rsidRPr="006E478B">
              <w:rPr>
                <w:sz w:val="20"/>
              </w:rPr>
              <w:t>dentify and discuss areas (e.g. education, health, work) that are the focus for continued civil rights action for Aboriginal and</w:t>
            </w:r>
            <w:r>
              <w:rPr>
                <w:sz w:val="20"/>
              </w:rPr>
              <w:t xml:space="preserve"> Torres Strait Islander peoples</w:t>
            </w:r>
          </w:p>
          <w:p w:rsidR="001956F4" w:rsidRPr="00E63B07" w:rsidRDefault="001956F4" w:rsidP="006F6C27">
            <w:pPr>
              <w:numPr>
                <w:ilvl w:val="0"/>
                <w:numId w:val="35"/>
              </w:numPr>
              <w:spacing w:before="40" w:after="40" w:line="220" w:lineRule="atLeast"/>
              <w:rPr>
                <w:i/>
                <w:sz w:val="20"/>
              </w:rPr>
            </w:pPr>
            <w:r>
              <w:rPr>
                <w:sz w:val="20"/>
              </w:rPr>
              <w:t xml:space="preserve">evaluate current government policy related to </w:t>
            </w:r>
            <w:r w:rsidRPr="00AE203A">
              <w:rPr>
                <w:sz w:val="20"/>
              </w:rPr>
              <w:t>continuing c</w:t>
            </w:r>
            <w:r>
              <w:rPr>
                <w:sz w:val="20"/>
              </w:rPr>
              <w:t>ivil rights actions for Aboriginal and Torres Strait Islander peoples, and how these are reflected in the Universal Declaration of Human Rights.</w:t>
            </w:r>
          </w:p>
        </w:tc>
        <w:tc>
          <w:tcPr>
            <w:tcW w:w="1225" w:type="pct"/>
            <w:tcBorders>
              <w:top w:val="single" w:sz="4" w:space="0" w:color="00928F"/>
            </w:tcBorders>
            <w:shd w:val="clear" w:color="auto" w:fill="auto"/>
          </w:tcPr>
          <w:p w:rsidR="001956F4" w:rsidDel="00642A18" w:rsidRDefault="001956F4" w:rsidP="00642A18">
            <w:pPr>
              <w:pStyle w:val="Tabletext"/>
            </w:pPr>
          </w:p>
        </w:tc>
        <w:tc>
          <w:tcPr>
            <w:tcW w:w="1331" w:type="pct"/>
            <w:tcBorders>
              <w:top w:val="single" w:sz="4" w:space="0" w:color="00928F"/>
            </w:tcBorders>
            <w:shd w:val="clear" w:color="auto" w:fill="auto"/>
          </w:tcPr>
          <w:p w:rsidR="001956F4" w:rsidRPr="006F6C27" w:rsidRDefault="001956F4" w:rsidP="004C0E00"/>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F821E6" w:rsidRDefault="00B622C7" w:rsidP="00F821E6">
            <w:pPr>
              <w:pStyle w:val="Tabletext"/>
            </w:pPr>
            <w:r w:rsidRPr="00F821E6">
              <w:t>Teachers meet to collaboratively plan the teaching, learning and assessment to meet the needs of all learners in each unit.</w:t>
            </w:r>
          </w:p>
          <w:p w:rsidR="00B622C7" w:rsidRPr="00F821E6" w:rsidRDefault="00B622C7" w:rsidP="00F821E6">
            <w:pPr>
              <w:pStyle w:val="Tabletext"/>
            </w:pPr>
            <w:r w:rsidRPr="00F821E6">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F821E6" w:rsidRDefault="00B622C7" w:rsidP="00F821E6">
            <w:pPr>
              <w:pStyle w:val="Tabletext"/>
            </w:pPr>
            <w:r w:rsidRPr="00F821E6">
              <w:t>Teachers strategically plan opportunities and ways to provide ongoing feedback (both written and informal) and encouragement to students on their strengths and areas for improvement.</w:t>
            </w:r>
          </w:p>
          <w:p w:rsidR="00B622C7" w:rsidRPr="00F821E6" w:rsidRDefault="00B622C7" w:rsidP="00F821E6">
            <w:pPr>
              <w:pStyle w:val="Tabletext"/>
            </w:pPr>
            <w:r w:rsidRPr="00F821E6">
              <w:t>Students reflect on and discuss with their teachers or peers what they can do well and what they need to improve.</w:t>
            </w:r>
          </w:p>
          <w:p w:rsidR="00B622C7" w:rsidRPr="00F821E6" w:rsidRDefault="00B622C7" w:rsidP="00F821E6">
            <w:pPr>
              <w:pStyle w:val="Tabletext"/>
            </w:pPr>
            <w:r w:rsidRPr="00F821E6">
              <w:t xml:space="preserve">Teachers reflect on and review learning opportunities to incorporate specific learning experiences and provide multiple opportunities for </w:t>
            </w:r>
            <w:r w:rsidR="00592556" w:rsidRPr="00F821E6">
              <w:t xml:space="preserve">students </w:t>
            </w:r>
            <w:r w:rsidRPr="00F821E6">
              <w:t>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F821E6" w:rsidRDefault="00B622C7" w:rsidP="00F821E6">
            <w:pPr>
              <w:pStyle w:val="Tabletext"/>
            </w:pPr>
            <w:r w:rsidRPr="00F821E6">
              <w:t>Identify what worked well during and at the end of the unit, including:</w:t>
            </w:r>
          </w:p>
          <w:p w:rsidR="00B622C7" w:rsidRPr="00F821E6" w:rsidRDefault="00B622C7" w:rsidP="00F821E6">
            <w:pPr>
              <w:pStyle w:val="Tablebullets"/>
              <w:numPr>
                <w:ilvl w:val="0"/>
                <w:numId w:val="40"/>
              </w:numPr>
              <w:ind w:left="213" w:hanging="213"/>
            </w:pPr>
            <w:r w:rsidRPr="00F821E6">
              <w:t>activities that worked well and why</w:t>
            </w:r>
          </w:p>
          <w:p w:rsidR="00B622C7" w:rsidRPr="00F821E6" w:rsidRDefault="00B622C7" w:rsidP="00F821E6">
            <w:pPr>
              <w:pStyle w:val="Tablebullets"/>
              <w:numPr>
                <w:ilvl w:val="0"/>
                <w:numId w:val="40"/>
              </w:numPr>
              <w:ind w:left="213" w:hanging="213"/>
            </w:pPr>
            <w:r w:rsidRPr="00F821E6">
              <w:t>activities that could be improved and how</w:t>
            </w:r>
          </w:p>
          <w:p w:rsidR="00B622C7" w:rsidRPr="00F821E6" w:rsidRDefault="00B622C7" w:rsidP="00F821E6">
            <w:pPr>
              <w:pStyle w:val="Tablebullets"/>
              <w:numPr>
                <w:ilvl w:val="0"/>
                <w:numId w:val="40"/>
              </w:numPr>
              <w:ind w:left="213" w:hanging="213"/>
            </w:pPr>
            <w:r w:rsidRPr="00F821E6">
              <w:t>assessment that worked well and why</w:t>
            </w:r>
          </w:p>
          <w:p w:rsidR="00B622C7" w:rsidRPr="00F821E6" w:rsidRDefault="00B622C7" w:rsidP="00F821E6">
            <w:pPr>
              <w:pStyle w:val="Tablebullets"/>
              <w:numPr>
                <w:ilvl w:val="0"/>
                <w:numId w:val="40"/>
              </w:numPr>
              <w:ind w:left="213" w:hanging="213"/>
            </w:pPr>
            <w:r w:rsidRPr="00F821E6">
              <w:t>assessment that could be improved and how</w:t>
            </w:r>
          </w:p>
          <w:p w:rsidR="00B622C7" w:rsidRPr="00F821E6" w:rsidRDefault="00B622C7" w:rsidP="00F821E6">
            <w:pPr>
              <w:pStyle w:val="Tablebullets"/>
              <w:numPr>
                <w:ilvl w:val="0"/>
                <w:numId w:val="40"/>
              </w:numPr>
              <w:ind w:left="213" w:hanging="213"/>
            </w:pPr>
            <w:r w:rsidRPr="00F821E6">
              <w:t>common student misconceptions that need, or needed, to be clarified.</w:t>
            </w:r>
          </w:p>
        </w:tc>
      </w:tr>
    </w:tbl>
    <w:p w:rsidR="00A4154C" w:rsidRPr="008300AE" w:rsidRDefault="00A4154C" w:rsidP="008300AE"/>
    <w:sectPr w:rsidR="00A4154C" w:rsidRPr="008300AE" w:rsidSect="00DA23E4">
      <w:footerReference w:type="even" r:id="rId40"/>
      <w:footerReference w:type="default" r:id="rId41"/>
      <w:headerReference w:type="first" r:id="rId42"/>
      <w:footerReference w:type="first" r:id="rId43"/>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FE0" w:rsidRDefault="00AD4FE0">
      <w:r>
        <w:separator/>
      </w:r>
    </w:p>
  </w:endnote>
  <w:endnote w:type="continuationSeparator" w:id="0">
    <w:p w:rsidR="00AD4FE0" w:rsidRDefault="00AD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7F8" w:rsidRDefault="00E307F8"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EC1CA2">
      <w:rPr>
        <w:rStyle w:val="Footerbold"/>
        <w:noProof/>
      </w:rPr>
      <w:t>2</w:t>
    </w:r>
    <w:r w:rsidRPr="001947AE">
      <w:rPr>
        <w:rStyle w:val="Footerbold"/>
      </w:rPr>
      <w:fldChar w:fldCharType="end"/>
    </w:r>
    <w:r w:rsidRPr="00AA55F1">
      <w:tab/>
      <w:t>|</w:t>
    </w:r>
    <w:r w:rsidRPr="00AA55F1">
      <w:tab/>
    </w:r>
    <w:r w:rsidRPr="005213F2">
      <w:rPr>
        <w:rStyle w:val="Footerbold"/>
      </w:rPr>
      <w:t xml:space="preserve">Year </w:t>
    </w:r>
    <w:r>
      <w:rPr>
        <w:rStyle w:val="Footerbold"/>
      </w:rPr>
      <w:t>10</w:t>
    </w:r>
    <w:r w:rsidRPr="005213F2">
      <w:rPr>
        <w:rStyle w:val="Footerbold"/>
      </w:rPr>
      <w:t xml:space="preserve"> </w:t>
    </w:r>
    <w:r>
      <w:rPr>
        <w:rStyle w:val="Footerbold"/>
      </w:rPr>
      <w:t>u</w:t>
    </w:r>
    <w:r w:rsidRPr="005213F2">
      <w:rPr>
        <w:rStyle w:val="Footerbold"/>
      </w:rPr>
      <w:t>nit overview</w:t>
    </w:r>
    <w:r w:rsidR="00E775DB" w:rsidRPr="00E775DB">
      <w:rPr>
        <w:rStyle w:val="Footerbold"/>
      </w:rPr>
      <w:t> </w:t>
    </w:r>
    <w:r>
      <w:t>Australian Curriculum: 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7F8" w:rsidRDefault="00E307F8" w:rsidP="00FA0810">
    <w:pPr>
      <w:pStyle w:val="Footerodd"/>
    </w:pPr>
    <w:r w:rsidRPr="00AA55F1">
      <w:tab/>
    </w:r>
    <w:r w:rsidRPr="001947AE">
      <w:rPr>
        <w:rStyle w:val="Footerbold"/>
      </w:rPr>
      <w:t>Queensland Studies Authority</w:t>
    </w:r>
    <w:r w:rsidR="007D4CBE" w:rsidRPr="007D4CBE">
      <w:rPr>
        <w:rStyle w:val="Footerbold"/>
      </w:rPr>
      <w:t> </w:t>
    </w:r>
    <w:r w:rsidR="007D4CBE" w:rsidRPr="007D4CBE">
      <w:rPr>
        <w:rStyle w:val="Footerbold"/>
        <w:b w:val="0"/>
      </w:rPr>
      <w:t>October</w:t>
    </w:r>
    <w:r w:rsidRPr="00782A0C">
      <w:rPr>
        <w:rFonts w:eastAsia="MS Mincho" w:cs="Arial"/>
      </w:rPr>
      <w:t xml:space="preserve">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EC1CA2">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7F8" w:rsidRDefault="00EC1CA2"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FE0" w:rsidRDefault="00AD4FE0">
      <w:r>
        <w:separator/>
      </w:r>
    </w:p>
  </w:footnote>
  <w:footnote w:type="continuationSeparator" w:id="0">
    <w:p w:rsidR="00AD4FE0" w:rsidRDefault="00AD4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7F8" w:rsidRPr="002E4C72" w:rsidRDefault="00EC1CA2"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E307F8" w:rsidTr="004E0C69">
      <w:tc>
        <w:tcPr>
          <w:tcW w:w="10450" w:type="dxa"/>
          <w:shd w:val="clear" w:color="auto" w:fill="auto"/>
        </w:tcPr>
        <w:p w:rsidR="00E307F8" w:rsidRPr="00F561C0" w:rsidRDefault="00E307F8" w:rsidP="00F561C0">
          <w:r w:rsidRPr="00F561C0">
            <w:t>Insert fact sheet title</w:t>
          </w:r>
        </w:p>
        <w:p w:rsidR="00E307F8" w:rsidRPr="00F561C0" w:rsidRDefault="00E307F8" w:rsidP="00F561C0">
          <w:r w:rsidRPr="00F561C0">
            <w:t>Insert fact sheet subtitle (if necessary)</w:t>
          </w:r>
        </w:p>
        <w:p w:rsidR="00E307F8" w:rsidRPr="004E0C69" w:rsidRDefault="00E307F8" w:rsidP="004E0C69">
          <w:pPr>
            <w:tabs>
              <w:tab w:val="left" w:pos="-110"/>
              <w:tab w:val="left" w:pos="220"/>
            </w:tabs>
            <w:ind w:left="-437"/>
            <w:rPr>
              <w:color w:val="00928F"/>
              <w:szCs w:val="16"/>
            </w:rPr>
          </w:pPr>
        </w:p>
      </w:tc>
    </w:tr>
  </w:tbl>
  <w:p w:rsidR="00E307F8" w:rsidRPr="00954490" w:rsidRDefault="00E307F8"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282"/>
    <w:multiLevelType w:val="hybridMultilevel"/>
    <w:tmpl w:val="C4D47E86"/>
    <w:lvl w:ilvl="0" w:tplc="B9C06C58">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4">
    <w:nsid w:val="1782197F"/>
    <w:multiLevelType w:val="hybridMultilevel"/>
    <w:tmpl w:val="A2F29BFE"/>
    <w:lvl w:ilvl="0" w:tplc="C2722D92">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0CE39D0"/>
    <w:multiLevelType w:val="hybridMultilevel"/>
    <w:tmpl w:val="1F1CB73C"/>
    <w:lvl w:ilvl="0" w:tplc="B9C06C58">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9">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0">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1">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3BF618E"/>
    <w:multiLevelType w:val="hybridMultilevel"/>
    <w:tmpl w:val="A63854E2"/>
    <w:lvl w:ilvl="0" w:tplc="B9C06C58">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5738B8"/>
    <w:multiLevelType w:val="hybridMultilevel"/>
    <w:tmpl w:val="A66ACDF8"/>
    <w:lvl w:ilvl="0" w:tplc="C57A69A2">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1957BB7"/>
    <w:multiLevelType w:val="hybridMultilevel"/>
    <w:tmpl w:val="BA665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21">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24">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A3E0DF8"/>
    <w:multiLevelType w:val="hybridMultilevel"/>
    <w:tmpl w:val="1090AB94"/>
    <w:lvl w:ilvl="0" w:tplc="B9C06C58">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E307BD8"/>
    <w:multiLevelType w:val="hybridMultilevel"/>
    <w:tmpl w:val="30E41550"/>
    <w:lvl w:ilvl="0" w:tplc="E4B82B20">
      <w:start w:val="1"/>
      <w:numFmt w:val="bullet"/>
      <w:pStyle w:val="GCCbullets"/>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8">
    <w:nsid w:val="770418D0"/>
    <w:multiLevelType w:val="singleLevel"/>
    <w:tmpl w:val="C00AB7B0"/>
    <w:lvl w:ilvl="0">
      <w:start w:val="1"/>
      <w:numFmt w:val="bullet"/>
      <w:pStyle w:val="Tablebullets"/>
      <w:lvlText w:val=""/>
      <w:lvlJc w:val="left"/>
      <w:pPr>
        <w:tabs>
          <w:tab w:val="num" w:pos="284"/>
        </w:tabs>
        <w:ind w:left="284" w:hanging="284"/>
      </w:pPr>
      <w:rPr>
        <w:rFonts w:ascii="Symbol" w:hAnsi="Symbol" w:hint="default"/>
        <w:color w:val="auto"/>
      </w:rPr>
    </w:lvl>
  </w:abstractNum>
  <w:abstractNum w:abstractNumId="29">
    <w:nsid w:val="7CB915E2"/>
    <w:multiLevelType w:val="hybridMultilevel"/>
    <w:tmpl w:val="8C2286C6"/>
    <w:lvl w:ilvl="0" w:tplc="DBB65D96">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21"/>
  </w:num>
  <w:num w:numId="4">
    <w:abstractNumId w:val="10"/>
  </w:num>
  <w:num w:numId="5">
    <w:abstractNumId w:val="9"/>
  </w:num>
  <w:num w:numId="6">
    <w:abstractNumId w:val="19"/>
  </w:num>
  <w:num w:numId="7">
    <w:abstractNumId w:val="28"/>
  </w:num>
  <w:num w:numId="8">
    <w:abstractNumId w:val="2"/>
  </w:num>
  <w:num w:numId="9">
    <w:abstractNumId w:val="23"/>
  </w:num>
  <w:num w:numId="10">
    <w:abstractNumId w:val="15"/>
  </w:num>
  <w:num w:numId="11">
    <w:abstractNumId w:val="27"/>
  </w:num>
  <w:num w:numId="12">
    <w:abstractNumId w:val="18"/>
  </w:num>
  <w:num w:numId="13">
    <w:abstractNumId w:val="3"/>
  </w:num>
  <w:num w:numId="14">
    <w:abstractNumId w:val="21"/>
  </w:num>
  <w:num w:numId="15">
    <w:abstractNumId w:val="10"/>
  </w:num>
  <w:num w:numId="16">
    <w:abstractNumId w:val="9"/>
  </w:num>
  <w:num w:numId="17">
    <w:abstractNumId w:val="9"/>
  </w:num>
  <w:num w:numId="18">
    <w:abstractNumId w:val="9"/>
  </w:num>
  <w:num w:numId="19">
    <w:abstractNumId w:val="9"/>
  </w:num>
  <w:num w:numId="20">
    <w:abstractNumId w:val="9"/>
  </w:num>
  <w:num w:numId="21">
    <w:abstractNumId w:val="19"/>
  </w:num>
  <w:num w:numId="22">
    <w:abstractNumId w:val="19"/>
  </w:num>
  <w:num w:numId="23">
    <w:abstractNumId w:val="19"/>
  </w:num>
  <w:num w:numId="24">
    <w:abstractNumId w:val="28"/>
  </w:num>
  <w:num w:numId="25">
    <w:abstractNumId w:val="2"/>
  </w:num>
  <w:num w:numId="26">
    <w:abstractNumId w:val="23"/>
  </w:num>
  <w:num w:numId="27">
    <w:abstractNumId w:val="5"/>
  </w:num>
  <w:num w:numId="28">
    <w:abstractNumId w:val="14"/>
  </w:num>
  <w:num w:numId="29">
    <w:abstractNumId w:val="24"/>
  </w:num>
  <w:num w:numId="30">
    <w:abstractNumId w:val="8"/>
  </w:num>
  <w:num w:numId="31">
    <w:abstractNumId w:val="1"/>
  </w:num>
  <w:num w:numId="32">
    <w:abstractNumId w:val="20"/>
  </w:num>
  <w:num w:numId="33">
    <w:abstractNumId w:val="7"/>
  </w:num>
  <w:num w:numId="34">
    <w:abstractNumId w:val="29"/>
  </w:num>
  <w:num w:numId="35">
    <w:abstractNumId w:val="22"/>
  </w:num>
  <w:num w:numId="36">
    <w:abstractNumId w:val="11"/>
  </w:num>
  <w:num w:numId="37">
    <w:abstractNumId w:val="16"/>
  </w:num>
  <w:num w:numId="38">
    <w:abstractNumId w:val="28"/>
  </w:num>
  <w:num w:numId="39">
    <w:abstractNumId w:val="25"/>
  </w:num>
  <w:num w:numId="40">
    <w:abstractNumId w:val="6"/>
  </w:num>
  <w:num w:numId="41">
    <w:abstractNumId w:val="28"/>
  </w:num>
  <w:num w:numId="42">
    <w:abstractNumId w:val="12"/>
  </w:num>
  <w:num w:numId="43">
    <w:abstractNumId w:val="0"/>
  </w:num>
  <w:num w:numId="44">
    <w:abstractNumId w:val="4"/>
  </w:num>
  <w:num w:numId="45">
    <w:abstractNumId w:val="13"/>
  </w:num>
  <w:num w:numId="46">
    <w:abstractNumId w:val="17"/>
  </w:num>
  <w:num w:numId="47">
    <w:abstractNumId w:val="26"/>
  </w:num>
  <w:num w:numId="48">
    <w:abstractNumId w:val="26"/>
  </w:num>
  <w:num w:numId="49">
    <w:abstractNumId w:val="26"/>
  </w:num>
  <w:num w:numId="50">
    <w:abstractNumId w:val="26"/>
  </w:num>
  <w:num w:numId="51">
    <w:abstractNumId w:val="26"/>
  </w:num>
  <w:num w:numId="52">
    <w:abstractNumId w:val="26"/>
  </w:num>
  <w:num w:numId="53">
    <w:abstractNumId w:val="26"/>
  </w:num>
  <w:num w:numId="54">
    <w:abstractNumId w:val="26"/>
  </w:num>
  <w:num w:numId="55">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8C"/>
    <w:rsid w:val="00001DE7"/>
    <w:rsid w:val="00025D91"/>
    <w:rsid w:val="00030333"/>
    <w:rsid w:val="00030551"/>
    <w:rsid w:val="00032413"/>
    <w:rsid w:val="00033DBD"/>
    <w:rsid w:val="00035203"/>
    <w:rsid w:val="00035485"/>
    <w:rsid w:val="00042417"/>
    <w:rsid w:val="00042CCA"/>
    <w:rsid w:val="00043015"/>
    <w:rsid w:val="00046924"/>
    <w:rsid w:val="000577D0"/>
    <w:rsid w:val="0006205A"/>
    <w:rsid w:val="000658BE"/>
    <w:rsid w:val="00067264"/>
    <w:rsid w:val="00073A08"/>
    <w:rsid w:val="0007560B"/>
    <w:rsid w:val="000834F5"/>
    <w:rsid w:val="00083F6D"/>
    <w:rsid w:val="000869F0"/>
    <w:rsid w:val="00095CC0"/>
    <w:rsid w:val="000A0941"/>
    <w:rsid w:val="000A1078"/>
    <w:rsid w:val="000A28EF"/>
    <w:rsid w:val="000A6B3B"/>
    <w:rsid w:val="000B2F97"/>
    <w:rsid w:val="000C7031"/>
    <w:rsid w:val="000C76A5"/>
    <w:rsid w:val="000C7E57"/>
    <w:rsid w:val="000D2D55"/>
    <w:rsid w:val="000D4545"/>
    <w:rsid w:val="000E1FFE"/>
    <w:rsid w:val="000E3F33"/>
    <w:rsid w:val="000E49E2"/>
    <w:rsid w:val="000F056F"/>
    <w:rsid w:val="000F1EC4"/>
    <w:rsid w:val="000F76EF"/>
    <w:rsid w:val="001029DB"/>
    <w:rsid w:val="00115C68"/>
    <w:rsid w:val="00121469"/>
    <w:rsid w:val="00124A32"/>
    <w:rsid w:val="00130772"/>
    <w:rsid w:val="00135C0D"/>
    <w:rsid w:val="00140672"/>
    <w:rsid w:val="00140938"/>
    <w:rsid w:val="00145904"/>
    <w:rsid w:val="0015354A"/>
    <w:rsid w:val="001551A7"/>
    <w:rsid w:val="001703E9"/>
    <w:rsid w:val="001739A8"/>
    <w:rsid w:val="00177A03"/>
    <w:rsid w:val="00186714"/>
    <w:rsid w:val="001947AE"/>
    <w:rsid w:val="001956F4"/>
    <w:rsid w:val="001975A9"/>
    <w:rsid w:val="001A51A3"/>
    <w:rsid w:val="001A5610"/>
    <w:rsid w:val="001A7D7B"/>
    <w:rsid w:val="001B6BF8"/>
    <w:rsid w:val="001C11BE"/>
    <w:rsid w:val="001C6D32"/>
    <w:rsid w:val="001D6C85"/>
    <w:rsid w:val="001E1961"/>
    <w:rsid w:val="001E4C27"/>
    <w:rsid w:val="001F1CE1"/>
    <w:rsid w:val="001F2178"/>
    <w:rsid w:val="001F6C01"/>
    <w:rsid w:val="00200478"/>
    <w:rsid w:val="002008B6"/>
    <w:rsid w:val="0020301A"/>
    <w:rsid w:val="0020323C"/>
    <w:rsid w:val="00204E20"/>
    <w:rsid w:val="00205D97"/>
    <w:rsid w:val="00207832"/>
    <w:rsid w:val="00210577"/>
    <w:rsid w:val="00221C9C"/>
    <w:rsid w:val="00227B1B"/>
    <w:rsid w:val="00230B64"/>
    <w:rsid w:val="00233BB5"/>
    <w:rsid w:val="00234025"/>
    <w:rsid w:val="00236553"/>
    <w:rsid w:val="002377E9"/>
    <w:rsid w:val="00240591"/>
    <w:rsid w:val="00263B4A"/>
    <w:rsid w:val="00274EBE"/>
    <w:rsid w:val="00282870"/>
    <w:rsid w:val="00285E96"/>
    <w:rsid w:val="0028641F"/>
    <w:rsid w:val="00286A7F"/>
    <w:rsid w:val="00292FF4"/>
    <w:rsid w:val="002A67FA"/>
    <w:rsid w:val="002A77D3"/>
    <w:rsid w:val="002B2977"/>
    <w:rsid w:val="002B66CD"/>
    <w:rsid w:val="002C0575"/>
    <w:rsid w:val="002C1F67"/>
    <w:rsid w:val="002C21E6"/>
    <w:rsid w:val="002C3949"/>
    <w:rsid w:val="002D23BF"/>
    <w:rsid w:val="002D290F"/>
    <w:rsid w:val="002D7859"/>
    <w:rsid w:val="002E4C72"/>
    <w:rsid w:val="002E5DB1"/>
    <w:rsid w:val="002F25CE"/>
    <w:rsid w:val="002F33A4"/>
    <w:rsid w:val="003001E6"/>
    <w:rsid w:val="003044FC"/>
    <w:rsid w:val="00315DEF"/>
    <w:rsid w:val="0031614F"/>
    <w:rsid w:val="00330CF7"/>
    <w:rsid w:val="003406AC"/>
    <w:rsid w:val="00346429"/>
    <w:rsid w:val="00346D3E"/>
    <w:rsid w:val="00346E9C"/>
    <w:rsid w:val="003547DB"/>
    <w:rsid w:val="003556BC"/>
    <w:rsid w:val="0036333C"/>
    <w:rsid w:val="003636A6"/>
    <w:rsid w:val="00364E09"/>
    <w:rsid w:val="00365706"/>
    <w:rsid w:val="003664A3"/>
    <w:rsid w:val="00367071"/>
    <w:rsid w:val="00372E92"/>
    <w:rsid w:val="00374483"/>
    <w:rsid w:val="00382B65"/>
    <w:rsid w:val="0038552A"/>
    <w:rsid w:val="00393E8B"/>
    <w:rsid w:val="0039537C"/>
    <w:rsid w:val="00396C14"/>
    <w:rsid w:val="003A7415"/>
    <w:rsid w:val="003B07B0"/>
    <w:rsid w:val="003B48D2"/>
    <w:rsid w:val="003B73C1"/>
    <w:rsid w:val="003C2CDD"/>
    <w:rsid w:val="003C5172"/>
    <w:rsid w:val="003C6914"/>
    <w:rsid w:val="003D7CEA"/>
    <w:rsid w:val="003E0E83"/>
    <w:rsid w:val="003E62B0"/>
    <w:rsid w:val="003F1A88"/>
    <w:rsid w:val="003F1B1C"/>
    <w:rsid w:val="003F65E2"/>
    <w:rsid w:val="004005C2"/>
    <w:rsid w:val="004100FC"/>
    <w:rsid w:val="00415B31"/>
    <w:rsid w:val="004167A6"/>
    <w:rsid w:val="00417E9D"/>
    <w:rsid w:val="00423A60"/>
    <w:rsid w:val="00433BEC"/>
    <w:rsid w:val="004456BE"/>
    <w:rsid w:val="00445FFD"/>
    <w:rsid w:val="00450710"/>
    <w:rsid w:val="00451A66"/>
    <w:rsid w:val="0045314A"/>
    <w:rsid w:val="00455603"/>
    <w:rsid w:val="00456DE6"/>
    <w:rsid w:val="00460455"/>
    <w:rsid w:val="00470904"/>
    <w:rsid w:val="00472DDE"/>
    <w:rsid w:val="004730FF"/>
    <w:rsid w:val="00474CDB"/>
    <w:rsid w:val="00475EF5"/>
    <w:rsid w:val="00475F85"/>
    <w:rsid w:val="00480157"/>
    <w:rsid w:val="00483F3B"/>
    <w:rsid w:val="00487176"/>
    <w:rsid w:val="00490BAB"/>
    <w:rsid w:val="004A2506"/>
    <w:rsid w:val="004A3149"/>
    <w:rsid w:val="004A60BB"/>
    <w:rsid w:val="004A63FF"/>
    <w:rsid w:val="004A69B7"/>
    <w:rsid w:val="004A6B37"/>
    <w:rsid w:val="004A77F3"/>
    <w:rsid w:val="004B5ED9"/>
    <w:rsid w:val="004C0E00"/>
    <w:rsid w:val="004C146C"/>
    <w:rsid w:val="004C3954"/>
    <w:rsid w:val="004C43C1"/>
    <w:rsid w:val="004C572F"/>
    <w:rsid w:val="004C7384"/>
    <w:rsid w:val="004D04F0"/>
    <w:rsid w:val="004D19DD"/>
    <w:rsid w:val="004E0C69"/>
    <w:rsid w:val="004E5C44"/>
    <w:rsid w:val="004E5F2C"/>
    <w:rsid w:val="004F36D4"/>
    <w:rsid w:val="004F3B8B"/>
    <w:rsid w:val="004F6801"/>
    <w:rsid w:val="004F6974"/>
    <w:rsid w:val="005052ED"/>
    <w:rsid w:val="005111B4"/>
    <w:rsid w:val="0052010F"/>
    <w:rsid w:val="005213F2"/>
    <w:rsid w:val="0052313B"/>
    <w:rsid w:val="00532DA1"/>
    <w:rsid w:val="00537D1B"/>
    <w:rsid w:val="00540868"/>
    <w:rsid w:val="00544562"/>
    <w:rsid w:val="00545B63"/>
    <w:rsid w:val="0055092E"/>
    <w:rsid w:val="005567B6"/>
    <w:rsid w:val="005632AE"/>
    <w:rsid w:val="005678C2"/>
    <w:rsid w:val="005707E5"/>
    <w:rsid w:val="00572908"/>
    <w:rsid w:val="00576206"/>
    <w:rsid w:val="00592556"/>
    <w:rsid w:val="00596A35"/>
    <w:rsid w:val="005A29D0"/>
    <w:rsid w:val="005A6DDB"/>
    <w:rsid w:val="005B3708"/>
    <w:rsid w:val="005C0F27"/>
    <w:rsid w:val="005C5B93"/>
    <w:rsid w:val="005C68F1"/>
    <w:rsid w:val="005D0462"/>
    <w:rsid w:val="005D333E"/>
    <w:rsid w:val="005D7E39"/>
    <w:rsid w:val="005E1659"/>
    <w:rsid w:val="005E1AD6"/>
    <w:rsid w:val="005E6236"/>
    <w:rsid w:val="005E70B4"/>
    <w:rsid w:val="005F1C74"/>
    <w:rsid w:val="005F397C"/>
    <w:rsid w:val="005F4706"/>
    <w:rsid w:val="005F7BF6"/>
    <w:rsid w:val="00603700"/>
    <w:rsid w:val="00604E1C"/>
    <w:rsid w:val="00611052"/>
    <w:rsid w:val="00622EEE"/>
    <w:rsid w:val="00625E85"/>
    <w:rsid w:val="00632199"/>
    <w:rsid w:val="00642462"/>
    <w:rsid w:val="00642A18"/>
    <w:rsid w:val="00643FEC"/>
    <w:rsid w:val="00644EF5"/>
    <w:rsid w:val="00653C72"/>
    <w:rsid w:val="00660414"/>
    <w:rsid w:val="00663292"/>
    <w:rsid w:val="00665475"/>
    <w:rsid w:val="00666793"/>
    <w:rsid w:val="00677730"/>
    <w:rsid w:val="00677F9B"/>
    <w:rsid w:val="00686DF2"/>
    <w:rsid w:val="00687891"/>
    <w:rsid w:val="00687F39"/>
    <w:rsid w:val="00696083"/>
    <w:rsid w:val="006A03B7"/>
    <w:rsid w:val="006A5222"/>
    <w:rsid w:val="006B22CB"/>
    <w:rsid w:val="006B57D6"/>
    <w:rsid w:val="006B6B74"/>
    <w:rsid w:val="006B708E"/>
    <w:rsid w:val="006C7B26"/>
    <w:rsid w:val="006E229B"/>
    <w:rsid w:val="006E284A"/>
    <w:rsid w:val="006E478B"/>
    <w:rsid w:val="006F389D"/>
    <w:rsid w:val="006F6BFB"/>
    <w:rsid w:val="006F6C27"/>
    <w:rsid w:val="00704F62"/>
    <w:rsid w:val="00707D7E"/>
    <w:rsid w:val="007108E8"/>
    <w:rsid w:val="00711051"/>
    <w:rsid w:val="007211E7"/>
    <w:rsid w:val="00722885"/>
    <w:rsid w:val="00722EF6"/>
    <w:rsid w:val="00726039"/>
    <w:rsid w:val="00727790"/>
    <w:rsid w:val="007322C6"/>
    <w:rsid w:val="00737522"/>
    <w:rsid w:val="0074012E"/>
    <w:rsid w:val="0075321B"/>
    <w:rsid w:val="007562C5"/>
    <w:rsid w:val="007603C6"/>
    <w:rsid w:val="00772A1F"/>
    <w:rsid w:val="00782A0C"/>
    <w:rsid w:val="00783EF7"/>
    <w:rsid w:val="00791E9D"/>
    <w:rsid w:val="0079287A"/>
    <w:rsid w:val="00795430"/>
    <w:rsid w:val="007A3312"/>
    <w:rsid w:val="007A570B"/>
    <w:rsid w:val="007B1E7A"/>
    <w:rsid w:val="007B343C"/>
    <w:rsid w:val="007B69DC"/>
    <w:rsid w:val="007B74F8"/>
    <w:rsid w:val="007D4CBE"/>
    <w:rsid w:val="007E09A8"/>
    <w:rsid w:val="007E14E8"/>
    <w:rsid w:val="007E5607"/>
    <w:rsid w:val="007F5888"/>
    <w:rsid w:val="0080199C"/>
    <w:rsid w:val="00801CCA"/>
    <w:rsid w:val="008035EA"/>
    <w:rsid w:val="008068E1"/>
    <w:rsid w:val="008108D8"/>
    <w:rsid w:val="008248FF"/>
    <w:rsid w:val="00825079"/>
    <w:rsid w:val="008300AE"/>
    <w:rsid w:val="008331B9"/>
    <w:rsid w:val="008338F8"/>
    <w:rsid w:val="008406A0"/>
    <w:rsid w:val="00842772"/>
    <w:rsid w:val="008427AE"/>
    <w:rsid w:val="00842D41"/>
    <w:rsid w:val="008460B0"/>
    <w:rsid w:val="0085050C"/>
    <w:rsid w:val="008721B3"/>
    <w:rsid w:val="00881EFD"/>
    <w:rsid w:val="00884B84"/>
    <w:rsid w:val="0088630F"/>
    <w:rsid w:val="0089026E"/>
    <w:rsid w:val="00893925"/>
    <w:rsid w:val="00893B6D"/>
    <w:rsid w:val="00895126"/>
    <w:rsid w:val="008A12B0"/>
    <w:rsid w:val="008A1957"/>
    <w:rsid w:val="008A31C9"/>
    <w:rsid w:val="008B0C25"/>
    <w:rsid w:val="008B63C8"/>
    <w:rsid w:val="008C28D5"/>
    <w:rsid w:val="008C4F74"/>
    <w:rsid w:val="008C78DF"/>
    <w:rsid w:val="008D061D"/>
    <w:rsid w:val="008D0B84"/>
    <w:rsid w:val="008D28C8"/>
    <w:rsid w:val="008D55A1"/>
    <w:rsid w:val="008E05BD"/>
    <w:rsid w:val="008E1D6A"/>
    <w:rsid w:val="008F2C5C"/>
    <w:rsid w:val="00905E95"/>
    <w:rsid w:val="00906F19"/>
    <w:rsid w:val="00912EE6"/>
    <w:rsid w:val="00924A46"/>
    <w:rsid w:val="00933AC0"/>
    <w:rsid w:val="0094644D"/>
    <w:rsid w:val="00946FA5"/>
    <w:rsid w:val="00952A73"/>
    <w:rsid w:val="00954490"/>
    <w:rsid w:val="00954542"/>
    <w:rsid w:val="00962F1D"/>
    <w:rsid w:val="0097214C"/>
    <w:rsid w:val="00980DE3"/>
    <w:rsid w:val="00987336"/>
    <w:rsid w:val="009915CF"/>
    <w:rsid w:val="0099576A"/>
    <w:rsid w:val="00997F6F"/>
    <w:rsid w:val="009A2E8A"/>
    <w:rsid w:val="009A4FDB"/>
    <w:rsid w:val="009A5922"/>
    <w:rsid w:val="009B25E8"/>
    <w:rsid w:val="009C39B5"/>
    <w:rsid w:val="009E10C7"/>
    <w:rsid w:val="009E5523"/>
    <w:rsid w:val="009F0A43"/>
    <w:rsid w:val="009F6910"/>
    <w:rsid w:val="009F6B3E"/>
    <w:rsid w:val="009F7DCE"/>
    <w:rsid w:val="00A002C7"/>
    <w:rsid w:val="00A0129D"/>
    <w:rsid w:val="00A1382A"/>
    <w:rsid w:val="00A1505C"/>
    <w:rsid w:val="00A17CED"/>
    <w:rsid w:val="00A20D15"/>
    <w:rsid w:val="00A21585"/>
    <w:rsid w:val="00A224CD"/>
    <w:rsid w:val="00A23112"/>
    <w:rsid w:val="00A25984"/>
    <w:rsid w:val="00A3109F"/>
    <w:rsid w:val="00A3143A"/>
    <w:rsid w:val="00A3164E"/>
    <w:rsid w:val="00A3396F"/>
    <w:rsid w:val="00A343ED"/>
    <w:rsid w:val="00A4154C"/>
    <w:rsid w:val="00A44C38"/>
    <w:rsid w:val="00A508A9"/>
    <w:rsid w:val="00A5506A"/>
    <w:rsid w:val="00A552F0"/>
    <w:rsid w:val="00A55FB3"/>
    <w:rsid w:val="00A57ED4"/>
    <w:rsid w:val="00A63230"/>
    <w:rsid w:val="00A72C38"/>
    <w:rsid w:val="00A7585D"/>
    <w:rsid w:val="00A776EE"/>
    <w:rsid w:val="00A80005"/>
    <w:rsid w:val="00A84C34"/>
    <w:rsid w:val="00A84EFE"/>
    <w:rsid w:val="00A8733F"/>
    <w:rsid w:val="00A9101E"/>
    <w:rsid w:val="00A93A2E"/>
    <w:rsid w:val="00AA5CB0"/>
    <w:rsid w:val="00AB7E76"/>
    <w:rsid w:val="00AD4FE0"/>
    <w:rsid w:val="00AE203A"/>
    <w:rsid w:val="00AE7F34"/>
    <w:rsid w:val="00AF5074"/>
    <w:rsid w:val="00AF543B"/>
    <w:rsid w:val="00AF7910"/>
    <w:rsid w:val="00B02A7A"/>
    <w:rsid w:val="00B04CEE"/>
    <w:rsid w:val="00B05173"/>
    <w:rsid w:val="00B101E4"/>
    <w:rsid w:val="00B13144"/>
    <w:rsid w:val="00B34144"/>
    <w:rsid w:val="00B42936"/>
    <w:rsid w:val="00B4591B"/>
    <w:rsid w:val="00B57D25"/>
    <w:rsid w:val="00B622C7"/>
    <w:rsid w:val="00B62B64"/>
    <w:rsid w:val="00B62E37"/>
    <w:rsid w:val="00B716AA"/>
    <w:rsid w:val="00B72C73"/>
    <w:rsid w:val="00B843F2"/>
    <w:rsid w:val="00B84A97"/>
    <w:rsid w:val="00B94A92"/>
    <w:rsid w:val="00B96411"/>
    <w:rsid w:val="00BA3C18"/>
    <w:rsid w:val="00BA5999"/>
    <w:rsid w:val="00BA5AF0"/>
    <w:rsid w:val="00BB200B"/>
    <w:rsid w:val="00BC3210"/>
    <w:rsid w:val="00BC6005"/>
    <w:rsid w:val="00BC7A1D"/>
    <w:rsid w:val="00BE3D8A"/>
    <w:rsid w:val="00C032ED"/>
    <w:rsid w:val="00C05D8C"/>
    <w:rsid w:val="00C0652E"/>
    <w:rsid w:val="00C06B50"/>
    <w:rsid w:val="00C17C5D"/>
    <w:rsid w:val="00C313F2"/>
    <w:rsid w:val="00C32150"/>
    <w:rsid w:val="00C3297E"/>
    <w:rsid w:val="00C368BA"/>
    <w:rsid w:val="00C4086D"/>
    <w:rsid w:val="00C42C8E"/>
    <w:rsid w:val="00C44783"/>
    <w:rsid w:val="00C45ABF"/>
    <w:rsid w:val="00C466B4"/>
    <w:rsid w:val="00C518D4"/>
    <w:rsid w:val="00C52CEF"/>
    <w:rsid w:val="00C61DBF"/>
    <w:rsid w:val="00C6459D"/>
    <w:rsid w:val="00C66DDE"/>
    <w:rsid w:val="00C70F72"/>
    <w:rsid w:val="00C80AA2"/>
    <w:rsid w:val="00C832FB"/>
    <w:rsid w:val="00C8500A"/>
    <w:rsid w:val="00C8736D"/>
    <w:rsid w:val="00C90DCF"/>
    <w:rsid w:val="00C94036"/>
    <w:rsid w:val="00CA057C"/>
    <w:rsid w:val="00CA11A8"/>
    <w:rsid w:val="00CC1119"/>
    <w:rsid w:val="00CC1967"/>
    <w:rsid w:val="00CC1BEC"/>
    <w:rsid w:val="00CC3D59"/>
    <w:rsid w:val="00CC6607"/>
    <w:rsid w:val="00CC76F5"/>
    <w:rsid w:val="00CD4D8C"/>
    <w:rsid w:val="00CD553C"/>
    <w:rsid w:val="00CD5E9E"/>
    <w:rsid w:val="00CD7584"/>
    <w:rsid w:val="00CE1AC5"/>
    <w:rsid w:val="00CE5415"/>
    <w:rsid w:val="00CE5BCF"/>
    <w:rsid w:val="00CF0F03"/>
    <w:rsid w:val="00CF1348"/>
    <w:rsid w:val="00CF3501"/>
    <w:rsid w:val="00CF525B"/>
    <w:rsid w:val="00D02E2F"/>
    <w:rsid w:val="00D1265B"/>
    <w:rsid w:val="00D140B9"/>
    <w:rsid w:val="00D14778"/>
    <w:rsid w:val="00D14D37"/>
    <w:rsid w:val="00D15107"/>
    <w:rsid w:val="00D16AEA"/>
    <w:rsid w:val="00D1758B"/>
    <w:rsid w:val="00D22FF0"/>
    <w:rsid w:val="00D256AF"/>
    <w:rsid w:val="00D25DD6"/>
    <w:rsid w:val="00D31800"/>
    <w:rsid w:val="00D32FF2"/>
    <w:rsid w:val="00D3575B"/>
    <w:rsid w:val="00D368B1"/>
    <w:rsid w:val="00D4001D"/>
    <w:rsid w:val="00D41726"/>
    <w:rsid w:val="00D43C24"/>
    <w:rsid w:val="00D43C31"/>
    <w:rsid w:val="00D61A21"/>
    <w:rsid w:val="00D6503F"/>
    <w:rsid w:val="00D71B49"/>
    <w:rsid w:val="00D75580"/>
    <w:rsid w:val="00D84A6F"/>
    <w:rsid w:val="00D8768B"/>
    <w:rsid w:val="00D87F03"/>
    <w:rsid w:val="00D90209"/>
    <w:rsid w:val="00D9526A"/>
    <w:rsid w:val="00DA23E4"/>
    <w:rsid w:val="00DA2605"/>
    <w:rsid w:val="00DA3A7B"/>
    <w:rsid w:val="00DA3F5B"/>
    <w:rsid w:val="00DA4B94"/>
    <w:rsid w:val="00DB0675"/>
    <w:rsid w:val="00DB1293"/>
    <w:rsid w:val="00DB5734"/>
    <w:rsid w:val="00DC2DC8"/>
    <w:rsid w:val="00DC4258"/>
    <w:rsid w:val="00DC5484"/>
    <w:rsid w:val="00DC565A"/>
    <w:rsid w:val="00DD721B"/>
    <w:rsid w:val="00DD75F1"/>
    <w:rsid w:val="00DD7720"/>
    <w:rsid w:val="00DE2DC2"/>
    <w:rsid w:val="00DE3E6E"/>
    <w:rsid w:val="00DE4B3F"/>
    <w:rsid w:val="00DE4BE8"/>
    <w:rsid w:val="00DE7B47"/>
    <w:rsid w:val="00DF08A9"/>
    <w:rsid w:val="00DF599D"/>
    <w:rsid w:val="00DF7381"/>
    <w:rsid w:val="00E17A1F"/>
    <w:rsid w:val="00E222C1"/>
    <w:rsid w:val="00E2355E"/>
    <w:rsid w:val="00E24044"/>
    <w:rsid w:val="00E307F8"/>
    <w:rsid w:val="00E37EC9"/>
    <w:rsid w:val="00E411C4"/>
    <w:rsid w:val="00E4148E"/>
    <w:rsid w:val="00E4287F"/>
    <w:rsid w:val="00E450BE"/>
    <w:rsid w:val="00E45D49"/>
    <w:rsid w:val="00E515B0"/>
    <w:rsid w:val="00E63B07"/>
    <w:rsid w:val="00E71123"/>
    <w:rsid w:val="00E775DB"/>
    <w:rsid w:val="00E80F35"/>
    <w:rsid w:val="00E83BAD"/>
    <w:rsid w:val="00E925E1"/>
    <w:rsid w:val="00E965F1"/>
    <w:rsid w:val="00E96E44"/>
    <w:rsid w:val="00EA31E6"/>
    <w:rsid w:val="00EB4E34"/>
    <w:rsid w:val="00EC1CA2"/>
    <w:rsid w:val="00EC2B44"/>
    <w:rsid w:val="00EC3B20"/>
    <w:rsid w:val="00EC46AF"/>
    <w:rsid w:val="00EC7E25"/>
    <w:rsid w:val="00ED6C05"/>
    <w:rsid w:val="00EE0AFE"/>
    <w:rsid w:val="00EE2DC7"/>
    <w:rsid w:val="00EF12C0"/>
    <w:rsid w:val="00EF5123"/>
    <w:rsid w:val="00EF6A81"/>
    <w:rsid w:val="00F04407"/>
    <w:rsid w:val="00F07D6F"/>
    <w:rsid w:val="00F11918"/>
    <w:rsid w:val="00F142C3"/>
    <w:rsid w:val="00F15F9A"/>
    <w:rsid w:val="00F24689"/>
    <w:rsid w:val="00F24A94"/>
    <w:rsid w:val="00F30500"/>
    <w:rsid w:val="00F3327C"/>
    <w:rsid w:val="00F4206B"/>
    <w:rsid w:val="00F43651"/>
    <w:rsid w:val="00F502AA"/>
    <w:rsid w:val="00F551FC"/>
    <w:rsid w:val="00F561C0"/>
    <w:rsid w:val="00F62B45"/>
    <w:rsid w:val="00F662FF"/>
    <w:rsid w:val="00F7378C"/>
    <w:rsid w:val="00F744DD"/>
    <w:rsid w:val="00F777BC"/>
    <w:rsid w:val="00F821E6"/>
    <w:rsid w:val="00F8272A"/>
    <w:rsid w:val="00F8588C"/>
    <w:rsid w:val="00F935B1"/>
    <w:rsid w:val="00F96E23"/>
    <w:rsid w:val="00F97316"/>
    <w:rsid w:val="00F97D9D"/>
    <w:rsid w:val="00FA0595"/>
    <w:rsid w:val="00FA0810"/>
    <w:rsid w:val="00FA449E"/>
    <w:rsid w:val="00FA4C69"/>
    <w:rsid w:val="00FB1D8F"/>
    <w:rsid w:val="00FB3688"/>
    <w:rsid w:val="00FC195A"/>
    <w:rsid w:val="00FC4958"/>
    <w:rsid w:val="00FC595E"/>
    <w:rsid w:val="00FD01ED"/>
    <w:rsid w:val="00FE09CB"/>
    <w:rsid w:val="00FE28FC"/>
    <w:rsid w:val="00FE640E"/>
    <w:rsid w:val="00FF3188"/>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2B2977"/>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2B2977"/>
    <w:rPr>
      <w:rFonts w:ascii="Arial" w:hAnsi="Arial"/>
      <w:color w:val="800080"/>
      <w:sz w:val="2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663292"/>
    <w:rPr>
      <w:color w:val="808080"/>
    </w:rPr>
  </w:style>
  <w:style w:type="paragraph" w:styleId="ListParagraph">
    <w:name w:val="List Paragraph"/>
    <w:basedOn w:val="Normal"/>
    <w:uiPriority w:val="34"/>
    <w:qFormat/>
    <w:rsid w:val="00CD5E9E"/>
    <w:pPr>
      <w:ind w:left="720"/>
      <w:contextualSpacing/>
    </w:pPr>
  </w:style>
  <w:style w:type="character" w:customStyle="1" w:styleId="TablebulletsChar">
    <w:name w:val="Table bullets Char"/>
    <w:rsid w:val="004C0E00"/>
    <w:rPr>
      <w:rFonts w:ascii="Arial" w:hAnsi="Arial"/>
      <w:lang w:val="en-AU" w:eastAsia="en-US" w:bidi="ar-SA"/>
    </w:rPr>
  </w:style>
  <w:style w:type="paragraph" w:customStyle="1" w:styleId="checklist">
    <w:name w:val="checklist"/>
    <w:basedOn w:val="Normal"/>
    <w:rsid w:val="004C0E00"/>
    <w:pPr>
      <w:tabs>
        <w:tab w:val="num" w:pos="308"/>
      </w:tabs>
      <w:ind w:left="308" w:hanging="343"/>
    </w:pPr>
  </w:style>
  <w:style w:type="paragraph" w:customStyle="1" w:styleId="bullet">
    <w:name w:val="bullet"/>
    <w:basedOn w:val="Normal"/>
    <w:rsid w:val="004C0E00"/>
    <w:pPr>
      <w:autoSpaceDE w:val="0"/>
      <w:autoSpaceDN w:val="0"/>
      <w:adjustRightInd w:val="0"/>
      <w:spacing w:before="160" w:line="240" w:lineRule="auto"/>
      <w:ind w:left="227" w:hanging="227"/>
      <w:textAlignment w:val="center"/>
    </w:pPr>
    <w:rPr>
      <w:rFonts w:cs="Arial"/>
      <w:color w:val="000000"/>
      <w:sz w:val="18"/>
      <w:szCs w:val="18"/>
      <w:lang w:eastAsia="en-AU"/>
    </w:rPr>
  </w:style>
  <w:style w:type="paragraph" w:customStyle="1" w:styleId="Bullets">
    <w:name w:val="Bullets"/>
    <w:basedOn w:val="Normal"/>
    <w:rsid w:val="00DE4BE8"/>
    <w:pPr>
      <w:widowControl w:val="0"/>
      <w:tabs>
        <w:tab w:val="num" w:pos="0"/>
        <w:tab w:val="left" w:pos="284"/>
      </w:tabs>
      <w:spacing w:before="60" w:line="240" w:lineRule="auto"/>
      <w:ind w:left="284" w:hanging="284"/>
    </w:pPr>
    <w:rPr>
      <w:rFonts w:ascii="Times New Roman" w:hAnsi="Times New Roman"/>
      <w:sz w:val="22"/>
    </w:rPr>
  </w:style>
  <w:style w:type="paragraph" w:customStyle="1" w:styleId="GCCbullets">
    <w:name w:val="GCC bullets"/>
    <w:basedOn w:val="Tabletext"/>
    <w:qFormat/>
    <w:rsid w:val="002B2977"/>
    <w:pPr>
      <w:numPr>
        <w:numId w:val="47"/>
      </w:numPr>
    </w:pPr>
  </w:style>
  <w:style w:type="character" w:customStyle="1" w:styleId="CommentTextChar">
    <w:name w:val="Comment Text Char"/>
    <w:link w:val="CommentText"/>
    <w:semiHidden/>
    <w:rsid w:val="00204E20"/>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2B2977"/>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2B2977"/>
    <w:rPr>
      <w:rFonts w:ascii="Arial" w:hAnsi="Arial"/>
      <w:color w:val="800080"/>
      <w:sz w:val="2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663292"/>
    <w:rPr>
      <w:color w:val="808080"/>
    </w:rPr>
  </w:style>
  <w:style w:type="paragraph" w:styleId="ListParagraph">
    <w:name w:val="List Paragraph"/>
    <w:basedOn w:val="Normal"/>
    <w:uiPriority w:val="34"/>
    <w:qFormat/>
    <w:rsid w:val="00CD5E9E"/>
    <w:pPr>
      <w:ind w:left="720"/>
      <w:contextualSpacing/>
    </w:pPr>
  </w:style>
  <w:style w:type="character" w:customStyle="1" w:styleId="TablebulletsChar">
    <w:name w:val="Table bullets Char"/>
    <w:rsid w:val="004C0E00"/>
    <w:rPr>
      <w:rFonts w:ascii="Arial" w:hAnsi="Arial"/>
      <w:lang w:val="en-AU" w:eastAsia="en-US" w:bidi="ar-SA"/>
    </w:rPr>
  </w:style>
  <w:style w:type="paragraph" w:customStyle="1" w:styleId="checklist">
    <w:name w:val="checklist"/>
    <w:basedOn w:val="Normal"/>
    <w:rsid w:val="004C0E00"/>
    <w:pPr>
      <w:tabs>
        <w:tab w:val="num" w:pos="308"/>
      </w:tabs>
      <w:ind w:left="308" w:hanging="343"/>
    </w:pPr>
  </w:style>
  <w:style w:type="paragraph" w:customStyle="1" w:styleId="bullet">
    <w:name w:val="bullet"/>
    <w:basedOn w:val="Normal"/>
    <w:rsid w:val="004C0E00"/>
    <w:pPr>
      <w:autoSpaceDE w:val="0"/>
      <w:autoSpaceDN w:val="0"/>
      <w:adjustRightInd w:val="0"/>
      <w:spacing w:before="160" w:line="240" w:lineRule="auto"/>
      <w:ind w:left="227" w:hanging="227"/>
      <w:textAlignment w:val="center"/>
    </w:pPr>
    <w:rPr>
      <w:rFonts w:cs="Arial"/>
      <w:color w:val="000000"/>
      <w:sz w:val="18"/>
      <w:szCs w:val="18"/>
      <w:lang w:eastAsia="en-AU"/>
    </w:rPr>
  </w:style>
  <w:style w:type="paragraph" w:customStyle="1" w:styleId="Bullets">
    <w:name w:val="Bullets"/>
    <w:basedOn w:val="Normal"/>
    <w:rsid w:val="00DE4BE8"/>
    <w:pPr>
      <w:widowControl w:val="0"/>
      <w:tabs>
        <w:tab w:val="num" w:pos="0"/>
        <w:tab w:val="left" w:pos="284"/>
      </w:tabs>
      <w:spacing w:before="60" w:line="240" w:lineRule="auto"/>
      <w:ind w:left="284" w:hanging="284"/>
    </w:pPr>
    <w:rPr>
      <w:rFonts w:ascii="Times New Roman" w:hAnsi="Times New Roman"/>
      <w:sz w:val="22"/>
    </w:rPr>
  </w:style>
  <w:style w:type="paragraph" w:customStyle="1" w:styleId="GCCbullets">
    <w:name w:val="GCC bullets"/>
    <w:basedOn w:val="Tabletext"/>
    <w:qFormat/>
    <w:rsid w:val="002B2977"/>
    <w:pPr>
      <w:numPr>
        <w:numId w:val="47"/>
      </w:numPr>
    </w:pPr>
  </w:style>
  <w:style w:type="character" w:customStyle="1" w:styleId="CommentTextChar">
    <w:name w:val="Comment Text Char"/>
    <w:link w:val="CommentText"/>
    <w:semiHidden/>
    <w:rsid w:val="00204E20"/>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211801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raliancurriculum.edu.au/Curriculum/ContentDescription/ACDSEH134" TargetMode="External"/><Relationship Id="rId18" Type="http://schemas.openxmlformats.org/officeDocument/2006/relationships/hyperlink" Target="http://www.australiancurriculum.edu.au/Curriculum/ContentDescription/ACHHS185" TargetMode="External"/><Relationship Id="rId26" Type="http://schemas.openxmlformats.org/officeDocument/2006/relationships/image" Target="media/image1.png"/><Relationship Id="rId39" Type="http://schemas.openxmlformats.org/officeDocument/2006/relationships/hyperlink" Target="http://www.un.org/en/documents/udhr/" TargetMode="External"/><Relationship Id="rId3" Type="http://schemas.openxmlformats.org/officeDocument/2006/relationships/styles" Target="styles.xml"/><Relationship Id="rId21" Type="http://schemas.openxmlformats.org/officeDocument/2006/relationships/hyperlink" Target="http://www.australiancurriculum.edu.au/Curriculum/ContentDescription/ACHHS189" TargetMode="External"/><Relationship Id="rId34" Type="http://schemas.openxmlformats.org/officeDocument/2006/relationships/image" Target="media/image9.png"/><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australiancurriculum.edu.au/Curriculum/ContentDescription/ACDSEH106" TargetMode="External"/><Relationship Id="rId17" Type="http://schemas.openxmlformats.org/officeDocument/2006/relationships/hyperlink" Target="http://www.australiancurriculum.edu.au/Curriculum/ContentDescription/ACHHS184" TargetMode="External"/><Relationship Id="rId25" Type="http://schemas.openxmlformats.org/officeDocument/2006/relationships/hyperlink" Target="http://www.australiancurriculum.edu.au/Curriculum/ContentDescription/ACHHS193" TargetMode="External"/><Relationship Id="rId33" Type="http://schemas.openxmlformats.org/officeDocument/2006/relationships/image" Target="media/image8.png"/><Relationship Id="rId38" Type="http://schemas.openxmlformats.org/officeDocument/2006/relationships/hyperlink" Target="http://www.historyonthenet.com" TargetMode="External"/><Relationship Id="rId2" Type="http://schemas.openxmlformats.org/officeDocument/2006/relationships/numbering" Target="numbering.xml"/><Relationship Id="rId16" Type="http://schemas.openxmlformats.org/officeDocument/2006/relationships/hyperlink" Target="http://www.australiancurriculum.edu.au/Curriculum/ContentDescription/ACHHS183" TargetMode="External"/><Relationship Id="rId20" Type="http://schemas.openxmlformats.org/officeDocument/2006/relationships/hyperlink" Target="http://www.australiancurriculum.edu.au/Curriculum/ContentDescription/ACHHS187" TargetMode="External"/><Relationship Id="rId29" Type="http://schemas.openxmlformats.org/officeDocument/2006/relationships/image" Target="media/image4.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Curriculum/ContentDescription/ACDSEH105" TargetMode="External"/><Relationship Id="rId24" Type="http://schemas.openxmlformats.org/officeDocument/2006/relationships/hyperlink" Target="http://www.australiancurriculum.edu.au/Curriculum/ContentDescription/ACHHS192" TargetMode="External"/><Relationship Id="rId32" Type="http://schemas.openxmlformats.org/officeDocument/2006/relationships/image" Target="media/image7.png"/><Relationship Id="rId37" Type="http://schemas.openxmlformats.org/officeDocument/2006/relationships/hyperlink" Target="http://www.qsa.qld.edu.au/"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ustraliancurriculum.edu.au/Curriculum/ContentDescription/ACHHS182" TargetMode="External"/><Relationship Id="rId23" Type="http://schemas.openxmlformats.org/officeDocument/2006/relationships/hyperlink" Target="http://www.australiancurriculum.edu.au/Curriculum/ContentDescription/ACHHS191" TargetMode="External"/><Relationship Id="rId28" Type="http://schemas.openxmlformats.org/officeDocument/2006/relationships/image" Target="media/image3.png"/><Relationship Id="rId36" Type="http://schemas.openxmlformats.org/officeDocument/2006/relationships/hyperlink" Target="http://www.qsa.qld.edu.au/" TargetMode="External"/><Relationship Id="rId10" Type="http://schemas.openxmlformats.org/officeDocument/2006/relationships/hyperlink" Target="http://www.australiancurriculum.edu.au/Curriculum/ContentDescription/ACDSEH104" TargetMode="External"/><Relationship Id="rId19" Type="http://schemas.openxmlformats.org/officeDocument/2006/relationships/hyperlink" Target="http://www.australiancurriculum.edu.au/Curriculum/ContentDescription/ACHHS186" TargetMode="External"/><Relationship Id="rId31" Type="http://schemas.openxmlformats.org/officeDocument/2006/relationships/image" Target="media/image6.pn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ustraliancurriculum.edu.au/Curriculum/ContentDescription/ACDSEH023" TargetMode="External"/><Relationship Id="rId14" Type="http://schemas.openxmlformats.org/officeDocument/2006/relationships/hyperlink" Target="http://www.australiancurriculum.edu.au/Curriculum/ContentDescription/ACDSEH143" TargetMode="External"/><Relationship Id="rId22" Type="http://schemas.openxmlformats.org/officeDocument/2006/relationships/hyperlink" Target="http://www.australiancurriculum.edu.au/Curriculum/ContentDescription/ACHHS190"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E2093-E491-4CFA-B946-6B1F608F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3935</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Year 10 unit overview — Australian Curriculum: History</vt:lpstr>
    </vt:vector>
  </TitlesOfParts>
  <Company>Queensland Studies Authority</Company>
  <LinksUpToDate>false</LinksUpToDate>
  <CharactersWithSpaces>26313</CharactersWithSpaces>
  <SharedDoc>false</SharedDoc>
  <HLinks>
    <vt:vector size="126" baseType="variant">
      <vt:variant>
        <vt:i4>393294</vt:i4>
      </vt:variant>
      <vt:variant>
        <vt:i4>63</vt:i4>
      </vt:variant>
      <vt:variant>
        <vt:i4>0</vt:i4>
      </vt:variant>
      <vt:variant>
        <vt:i4>5</vt:i4>
      </vt:variant>
      <vt:variant>
        <vt:lpwstr>http://www.un.org/en/documents/udhr/</vt:lpwstr>
      </vt:variant>
      <vt:variant>
        <vt:lpwstr/>
      </vt:variant>
      <vt:variant>
        <vt:i4>3407973</vt:i4>
      </vt:variant>
      <vt:variant>
        <vt:i4>60</vt:i4>
      </vt:variant>
      <vt:variant>
        <vt:i4>0</vt:i4>
      </vt:variant>
      <vt:variant>
        <vt:i4>5</vt:i4>
      </vt:variant>
      <vt:variant>
        <vt:lpwstr>http://www.historyonthenet.com/</vt:lpwstr>
      </vt:variant>
      <vt:variant>
        <vt:lpwstr/>
      </vt:variant>
      <vt:variant>
        <vt:i4>7340144</vt:i4>
      </vt:variant>
      <vt:variant>
        <vt:i4>57</vt:i4>
      </vt:variant>
      <vt:variant>
        <vt:i4>0</vt:i4>
      </vt:variant>
      <vt:variant>
        <vt:i4>5</vt:i4>
      </vt:variant>
      <vt:variant>
        <vt:lpwstr>http://www.qsa.qld.edu.au/</vt:lpwstr>
      </vt:variant>
      <vt:variant>
        <vt:lpwstr/>
      </vt:variant>
      <vt:variant>
        <vt:i4>7340144</vt:i4>
      </vt:variant>
      <vt:variant>
        <vt:i4>54</vt:i4>
      </vt:variant>
      <vt:variant>
        <vt:i4>0</vt:i4>
      </vt:variant>
      <vt:variant>
        <vt:i4>5</vt:i4>
      </vt:variant>
      <vt:variant>
        <vt:lpwstr>http://www.qsa.qld.edu.au/</vt:lpwstr>
      </vt:variant>
      <vt:variant>
        <vt:lpwstr/>
      </vt:variant>
      <vt:variant>
        <vt:i4>6029332</vt:i4>
      </vt:variant>
      <vt:variant>
        <vt:i4>48</vt:i4>
      </vt:variant>
      <vt:variant>
        <vt:i4>0</vt:i4>
      </vt:variant>
      <vt:variant>
        <vt:i4>5</vt:i4>
      </vt:variant>
      <vt:variant>
        <vt:lpwstr>http://www.australiancurriculum.edu.au/Curriculum/ContentDescription/ACHHS193</vt:lpwstr>
      </vt:variant>
      <vt:variant>
        <vt:lpwstr/>
      </vt:variant>
      <vt:variant>
        <vt:i4>6029332</vt:i4>
      </vt:variant>
      <vt:variant>
        <vt:i4>45</vt:i4>
      </vt:variant>
      <vt:variant>
        <vt:i4>0</vt:i4>
      </vt:variant>
      <vt:variant>
        <vt:i4>5</vt:i4>
      </vt:variant>
      <vt:variant>
        <vt:lpwstr>http://www.australiancurriculum.edu.au/Curriculum/ContentDescription/ACHHS192</vt:lpwstr>
      </vt:variant>
      <vt:variant>
        <vt:lpwstr/>
      </vt:variant>
      <vt:variant>
        <vt:i4>6029332</vt:i4>
      </vt:variant>
      <vt:variant>
        <vt:i4>42</vt:i4>
      </vt:variant>
      <vt:variant>
        <vt:i4>0</vt:i4>
      </vt:variant>
      <vt:variant>
        <vt:i4>5</vt:i4>
      </vt:variant>
      <vt:variant>
        <vt:lpwstr>http://www.australiancurriculum.edu.au/Curriculum/ContentDescription/ACHHS191</vt:lpwstr>
      </vt:variant>
      <vt:variant>
        <vt:lpwstr/>
      </vt:variant>
      <vt:variant>
        <vt:i4>6029332</vt:i4>
      </vt:variant>
      <vt:variant>
        <vt:i4>39</vt:i4>
      </vt:variant>
      <vt:variant>
        <vt:i4>0</vt:i4>
      </vt:variant>
      <vt:variant>
        <vt:i4>5</vt:i4>
      </vt:variant>
      <vt:variant>
        <vt:lpwstr>http://www.australiancurriculum.edu.au/Curriculum/ContentDescription/ACHHS190</vt:lpwstr>
      </vt:variant>
      <vt:variant>
        <vt:lpwstr/>
      </vt:variant>
      <vt:variant>
        <vt:i4>6094868</vt:i4>
      </vt:variant>
      <vt:variant>
        <vt:i4>36</vt:i4>
      </vt:variant>
      <vt:variant>
        <vt:i4>0</vt:i4>
      </vt:variant>
      <vt:variant>
        <vt:i4>5</vt:i4>
      </vt:variant>
      <vt:variant>
        <vt:lpwstr>http://www.australiancurriculum.edu.au/Curriculum/ContentDescription/ACHHS189</vt:lpwstr>
      </vt:variant>
      <vt:variant>
        <vt:lpwstr/>
      </vt:variant>
      <vt:variant>
        <vt:i4>6094868</vt:i4>
      </vt:variant>
      <vt:variant>
        <vt:i4>33</vt:i4>
      </vt:variant>
      <vt:variant>
        <vt:i4>0</vt:i4>
      </vt:variant>
      <vt:variant>
        <vt:i4>5</vt:i4>
      </vt:variant>
      <vt:variant>
        <vt:lpwstr>http://www.australiancurriculum.edu.au/Curriculum/ContentDescription/ACHHS187</vt:lpwstr>
      </vt:variant>
      <vt:variant>
        <vt:lpwstr/>
      </vt:variant>
      <vt:variant>
        <vt:i4>6094868</vt:i4>
      </vt:variant>
      <vt:variant>
        <vt:i4>30</vt:i4>
      </vt:variant>
      <vt:variant>
        <vt:i4>0</vt:i4>
      </vt:variant>
      <vt:variant>
        <vt:i4>5</vt:i4>
      </vt:variant>
      <vt:variant>
        <vt:lpwstr>http://www.australiancurriculum.edu.au/Curriculum/ContentDescription/ACHHS186</vt:lpwstr>
      </vt:variant>
      <vt:variant>
        <vt:lpwstr/>
      </vt:variant>
      <vt:variant>
        <vt:i4>6094868</vt:i4>
      </vt:variant>
      <vt:variant>
        <vt:i4>27</vt:i4>
      </vt:variant>
      <vt:variant>
        <vt:i4>0</vt:i4>
      </vt:variant>
      <vt:variant>
        <vt:i4>5</vt:i4>
      </vt:variant>
      <vt:variant>
        <vt:lpwstr>http://www.australiancurriculum.edu.au/Curriculum/ContentDescription/ACHHS185</vt:lpwstr>
      </vt:variant>
      <vt:variant>
        <vt:lpwstr/>
      </vt:variant>
      <vt:variant>
        <vt:i4>6094868</vt:i4>
      </vt:variant>
      <vt:variant>
        <vt:i4>24</vt:i4>
      </vt:variant>
      <vt:variant>
        <vt:i4>0</vt:i4>
      </vt:variant>
      <vt:variant>
        <vt:i4>5</vt:i4>
      </vt:variant>
      <vt:variant>
        <vt:lpwstr>http://www.australiancurriculum.edu.au/Curriculum/ContentDescription/ACHHS184</vt:lpwstr>
      </vt:variant>
      <vt:variant>
        <vt:lpwstr/>
      </vt:variant>
      <vt:variant>
        <vt:i4>6094868</vt:i4>
      </vt:variant>
      <vt:variant>
        <vt:i4>21</vt:i4>
      </vt:variant>
      <vt:variant>
        <vt:i4>0</vt:i4>
      </vt:variant>
      <vt:variant>
        <vt:i4>5</vt:i4>
      </vt:variant>
      <vt:variant>
        <vt:lpwstr>http://www.australiancurriculum.edu.au/Curriculum/ContentDescription/ACHHS183</vt:lpwstr>
      </vt:variant>
      <vt:variant>
        <vt:lpwstr/>
      </vt:variant>
      <vt:variant>
        <vt:i4>6094868</vt:i4>
      </vt:variant>
      <vt:variant>
        <vt:i4>18</vt:i4>
      </vt:variant>
      <vt:variant>
        <vt:i4>0</vt:i4>
      </vt:variant>
      <vt:variant>
        <vt:i4>5</vt:i4>
      </vt:variant>
      <vt:variant>
        <vt:lpwstr>http://www.australiancurriculum.edu.au/Curriculum/ContentDescription/ACHHS182</vt:lpwstr>
      </vt:variant>
      <vt:variant>
        <vt:lpwstr/>
      </vt:variant>
      <vt:variant>
        <vt:i4>8192098</vt:i4>
      </vt:variant>
      <vt:variant>
        <vt:i4>15</vt:i4>
      </vt:variant>
      <vt:variant>
        <vt:i4>0</vt:i4>
      </vt:variant>
      <vt:variant>
        <vt:i4>5</vt:i4>
      </vt:variant>
      <vt:variant>
        <vt:lpwstr>http://www.australiancurriculum.edu.au/Curriculum/ContentDescription/ACDSEH143</vt:lpwstr>
      </vt:variant>
      <vt:variant>
        <vt:lpwstr/>
      </vt:variant>
      <vt:variant>
        <vt:i4>7995493</vt:i4>
      </vt:variant>
      <vt:variant>
        <vt:i4>12</vt:i4>
      </vt:variant>
      <vt:variant>
        <vt:i4>0</vt:i4>
      </vt:variant>
      <vt:variant>
        <vt:i4>5</vt:i4>
      </vt:variant>
      <vt:variant>
        <vt:lpwstr>http://www.australiancurriculum.edu.au/Curriculum/ContentDescription/ACDSEH134</vt:lpwstr>
      </vt:variant>
      <vt:variant>
        <vt:lpwstr/>
      </vt:variant>
      <vt:variant>
        <vt:i4>7864422</vt:i4>
      </vt:variant>
      <vt:variant>
        <vt:i4>9</vt:i4>
      </vt:variant>
      <vt:variant>
        <vt:i4>0</vt:i4>
      </vt:variant>
      <vt:variant>
        <vt:i4>5</vt:i4>
      </vt:variant>
      <vt:variant>
        <vt:lpwstr>http://www.australiancurriculum.edu.au/Curriculum/ContentDescription/ACDSEH106</vt:lpwstr>
      </vt:variant>
      <vt:variant>
        <vt:lpwstr/>
      </vt:variant>
      <vt:variant>
        <vt:i4>8061030</vt:i4>
      </vt:variant>
      <vt:variant>
        <vt:i4>6</vt:i4>
      </vt:variant>
      <vt:variant>
        <vt:i4>0</vt:i4>
      </vt:variant>
      <vt:variant>
        <vt:i4>5</vt:i4>
      </vt:variant>
      <vt:variant>
        <vt:lpwstr>http://www.australiancurriculum.edu.au/Curriculum/ContentDescription/ACDSEH105</vt:lpwstr>
      </vt:variant>
      <vt:variant>
        <vt:lpwstr/>
      </vt:variant>
      <vt:variant>
        <vt:i4>7995494</vt:i4>
      </vt:variant>
      <vt:variant>
        <vt:i4>3</vt:i4>
      </vt:variant>
      <vt:variant>
        <vt:i4>0</vt:i4>
      </vt:variant>
      <vt:variant>
        <vt:i4>5</vt:i4>
      </vt:variant>
      <vt:variant>
        <vt:lpwstr>http://www.australiancurriculum.edu.au/Curriculum/ContentDescription/ACDSEH104</vt:lpwstr>
      </vt:variant>
      <vt:variant>
        <vt:lpwstr/>
      </vt:variant>
      <vt:variant>
        <vt:i4>8126564</vt:i4>
      </vt:variant>
      <vt:variant>
        <vt:i4>0</vt:i4>
      </vt:variant>
      <vt:variant>
        <vt:i4>0</vt:i4>
      </vt:variant>
      <vt:variant>
        <vt:i4>5</vt:i4>
      </vt:variant>
      <vt:variant>
        <vt:lpwstr>http://www.australiancurriculum.edu.au/Curriculum/ContentDescription/ACDSEH023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unit overview — Australian Curriculum: History</dc:title>
  <dc:subject>Australian Curriculum</dc:subject>
  <dc:creator>Queensland Studies Authority</dc:creator>
  <cp:keywords/>
  <cp:lastModifiedBy>QSA</cp:lastModifiedBy>
  <cp:revision>2</cp:revision>
  <cp:lastPrinted>2012-03-20T23:44:00Z</cp:lastPrinted>
  <dcterms:created xsi:type="dcterms:W3CDTF">2014-06-18T05:59:00Z</dcterms:created>
  <dcterms:modified xsi:type="dcterms:W3CDTF">2014-06-18T05:59:00Z</dcterms:modified>
  <cp:category>Years 7–10</cp:category>
</cp:coreProperties>
</file>