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7B4D8B96" w14:textId="77777777" w:rsidTr="000C1CBA">
        <w:trPr>
          <w:trHeight w:val="1615"/>
        </w:trPr>
        <w:tc>
          <w:tcPr>
            <w:tcW w:w="22113" w:type="dxa"/>
            <w:tcBorders>
              <w:bottom w:val="single" w:sz="12" w:space="0" w:color="D52B1E"/>
            </w:tcBorders>
            <w:vAlign w:val="bottom"/>
          </w:tcPr>
          <w:bookmarkStart w:id="0" w:name="_Toc234219367"/>
          <w:p w14:paraId="65507F97" w14:textId="77777777" w:rsidR="00DD64E1" w:rsidRPr="002D704B" w:rsidRDefault="00083403" w:rsidP="002D704B">
            <w:pPr>
              <w:pStyle w:val="Title"/>
            </w:pPr>
            <w:sdt>
              <w:sdtPr>
                <w:alias w:val="Document Title"/>
                <w:tag w:val="DocumentTitle"/>
                <w:id w:val="-1468812136"/>
                <w:placeholder>
                  <w:docPart w:val="B3260D7FE21C45BCBC43A2FC6EB7C277"/>
                </w:placeholder>
                <w:dataBinding w:prefixMappings="xmlns:ns0='http://QCAA.qld.edu.au' " w:xpath="/ns0:QCAA[1]/ns0:DocumentTitle[1]" w:storeItemID="{029BFAC3-A859-40E3-910E-708531540F3D}"/>
                <w:text/>
              </w:sdtPr>
              <w:sdtEndPr/>
              <w:sdtContent>
                <w:r w:rsidR="00DF6E36" w:rsidRPr="00DF6E36">
                  <w:t xml:space="preserve">Year </w:t>
                </w:r>
                <w:r w:rsidR="001D214B">
                  <w:t>10 Mathematics</w:t>
                </w:r>
                <w:r w:rsidR="00DF6E36" w:rsidRPr="00DF6E36">
                  <w:t xml:space="preserve"> curriculum and assessment plan </w:t>
                </w:r>
              </w:sdtContent>
            </w:sdt>
          </w:p>
          <w:sdt>
            <w:sdtPr>
              <w:alias w:val="Document Subtitle"/>
              <w:tag w:val="DocumentSubtitle"/>
              <w:id w:val="892237444"/>
              <w:placeholder>
                <w:docPart w:val="189A103902A7462C85287653869DB308"/>
              </w:placeholder>
              <w:dataBinding w:prefixMappings="xmlns:ns0='http://QCAA.qld.edu.au' " w:xpath="/ns0:QCAA[1]/ns0:DocumentSubtitle[1]" w:storeItemID="{ECF99190-FDC9-4DC7-BF4D-418697363580}"/>
              <w:text/>
            </w:sdtPr>
            <w:sdtEndPr/>
            <w:sdtContent>
              <w:p w14:paraId="5C3BC04F" w14:textId="77777777" w:rsidR="00DD64E1" w:rsidRPr="002D704B" w:rsidRDefault="001D214B" w:rsidP="002D704B">
                <w:pPr>
                  <w:pStyle w:val="Subtitle"/>
                </w:pPr>
                <w:r>
                  <w:t>Example</w:t>
                </w:r>
                <w:r w:rsidR="00DF6E36" w:rsidRPr="00DF6E36">
                  <w:t xml:space="preserve"> </w:t>
                </w:r>
              </w:p>
            </w:sdtContent>
          </w:sdt>
        </w:tc>
      </w:tr>
    </w:tbl>
    <w:bookmarkEnd w:id="0"/>
    <w:p w14:paraId="68F0E11E" w14:textId="77777777" w:rsidR="00AB580C" w:rsidRPr="00FC155E" w:rsidRDefault="000463BF" w:rsidP="00DF6E36">
      <w:pPr>
        <w:pStyle w:val="Heading1"/>
      </w:pPr>
      <w:r>
        <w:t>Curriculum overview</w:t>
      </w:r>
      <w:bookmarkStart w:id="1" w:name="_Hlk33697583"/>
    </w:p>
    <w:tbl>
      <w:tblPr>
        <w:tblStyle w:val="QCAAtablestyle1"/>
        <w:tblW w:w="5000" w:type="pct"/>
        <w:tblLook w:val="0620" w:firstRow="1" w:lastRow="0" w:firstColumn="0" w:lastColumn="0" w:noHBand="1" w:noVBand="1"/>
      </w:tblPr>
      <w:tblGrid>
        <w:gridCol w:w="10481"/>
        <w:gridCol w:w="10481"/>
      </w:tblGrid>
      <w:tr w:rsidR="00AB580C" w:rsidRPr="009A061A" w14:paraId="002AD39D"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7BF91DD4" w14:textId="77777777" w:rsidR="00AB580C" w:rsidRPr="009A061A" w:rsidRDefault="00AB580C" w:rsidP="004725E5">
            <w:pPr>
              <w:pStyle w:val="Tableheading"/>
            </w:pPr>
            <w:r w:rsidRPr="009A061A">
              <w:t>Year level description</w:t>
            </w:r>
          </w:p>
        </w:tc>
        <w:tc>
          <w:tcPr>
            <w:tcW w:w="2500" w:type="pct"/>
            <w:shd w:val="clear" w:color="auto" w:fill="808080" w:themeFill="background1" w:themeFillShade="80"/>
          </w:tcPr>
          <w:p w14:paraId="1EFA375E" w14:textId="77777777" w:rsidR="00AB580C" w:rsidRPr="00B54F18" w:rsidRDefault="00AB580C" w:rsidP="004725E5">
            <w:pPr>
              <w:pStyle w:val="Tableheading"/>
            </w:pPr>
            <w:r w:rsidRPr="009A061A">
              <w:t>Cohort description</w:t>
            </w:r>
            <w:r>
              <w:t xml:space="preserve"> </w:t>
            </w:r>
          </w:p>
        </w:tc>
      </w:tr>
      <w:tr w:rsidR="00AB580C" w14:paraId="1CC6CBF3" w14:textId="77777777" w:rsidTr="00336F7C">
        <w:trPr>
          <w:trHeight w:val="338"/>
        </w:trPr>
        <w:tc>
          <w:tcPr>
            <w:tcW w:w="2500" w:type="pct"/>
            <w:vMerge w:val="restart"/>
          </w:tcPr>
          <w:p w14:paraId="0604E5EF" w14:textId="77777777" w:rsidR="00DB16D7" w:rsidRPr="00DB16D7" w:rsidRDefault="00DB16D7" w:rsidP="00DB16D7">
            <w:pPr>
              <w:pStyle w:val="TableBullet"/>
              <w:numPr>
                <w:ilvl w:val="0"/>
                <w:numId w:val="0"/>
              </w:numPr>
              <w:contextualSpacing/>
              <w:rPr>
                <w:lang w:val="en"/>
              </w:rPr>
            </w:pPr>
            <w:bookmarkStart w:id="2" w:name="_Hlk67574643"/>
            <w:r w:rsidRPr="00DB16D7">
              <w:rPr>
                <w:lang w:val="en"/>
              </w:rPr>
              <w:t xml:space="preserve">The proficiency strands </w:t>
            </w:r>
            <w:r w:rsidRPr="00DB16D7">
              <w:rPr>
                <w:b/>
                <w:bCs/>
                <w:lang w:val="en"/>
              </w:rPr>
              <w:t>understanding, fluency, problem-solving</w:t>
            </w:r>
            <w:r w:rsidRPr="00DB16D7">
              <w:rPr>
                <w:lang w:val="en"/>
              </w:rPr>
              <w:t xml:space="preserve"> and </w:t>
            </w:r>
            <w:r w:rsidRPr="00DB16D7">
              <w:rPr>
                <w:b/>
                <w:bCs/>
                <w:lang w:val="en"/>
              </w:rPr>
              <w:t>reasoning</w:t>
            </w:r>
            <w:r w:rsidRPr="00DB16D7">
              <w:rPr>
                <w:lang w:val="en"/>
              </w:rPr>
              <w:t xml:space="preserve"> are an integral part of mathematics content across the three content strands: number and algebra, measurement and geometry, and statistics and probability. The proficiencies reinforce the significance of working mathematically within the content and describe how the content is explored or developed. They provide the language to build in the developmental aspects of the learning of mathematics. The achievement standards reflect the content and encompass the proficiencies.</w:t>
            </w:r>
          </w:p>
          <w:p w14:paraId="04F5C8A3" w14:textId="77777777" w:rsidR="00DB16D7" w:rsidRPr="00DB16D7" w:rsidRDefault="00DB16D7" w:rsidP="00DB16D7">
            <w:pPr>
              <w:pStyle w:val="TableBullet"/>
              <w:numPr>
                <w:ilvl w:val="0"/>
                <w:numId w:val="0"/>
              </w:numPr>
              <w:ind w:left="170" w:hanging="170"/>
              <w:contextualSpacing/>
              <w:rPr>
                <w:lang w:val="en"/>
              </w:rPr>
            </w:pPr>
            <w:r w:rsidRPr="00DB16D7">
              <w:rPr>
                <w:lang w:val="en"/>
              </w:rPr>
              <w:t>At this year level:</w:t>
            </w:r>
          </w:p>
          <w:p w14:paraId="641EC9A6" w14:textId="77777777" w:rsidR="00DB16D7" w:rsidRPr="00DB16D7" w:rsidRDefault="00DB16D7" w:rsidP="00DB16D7">
            <w:pPr>
              <w:pStyle w:val="TableBullet"/>
              <w:contextualSpacing/>
              <w:rPr>
                <w:lang w:val="en"/>
              </w:rPr>
            </w:pPr>
            <w:r w:rsidRPr="00DB16D7">
              <w:rPr>
                <w:b/>
                <w:bCs/>
                <w:lang w:val="en"/>
              </w:rPr>
              <w:t>understanding</w:t>
            </w:r>
            <w:r w:rsidRPr="00DB16D7">
              <w:rPr>
                <w:lang w:val="en"/>
              </w:rPr>
              <w:t xml:space="preserve"> includes applying the four operations to algebraic fractions, finding unknowns in formulas after substitution, making the connection between equations of relations and their graphs, comparing simple and compound interest in financial contexts and determining probabilities of two- and three-step experiments</w:t>
            </w:r>
          </w:p>
          <w:p w14:paraId="0C2AD452" w14:textId="77777777" w:rsidR="00DB16D7" w:rsidRPr="00DB16D7" w:rsidRDefault="00DB16D7" w:rsidP="00DB16D7">
            <w:pPr>
              <w:pStyle w:val="TableBullet"/>
              <w:contextualSpacing/>
              <w:rPr>
                <w:lang w:val="en"/>
              </w:rPr>
            </w:pPr>
            <w:r w:rsidRPr="00DB16D7">
              <w:rPr>
                <w:b/>
                <w:bCs/>
                <w:lang w:val="en"/>
              </w:rPr>
              <w:t>fluency</w:t>
            </w:r>
            <w:r w:rsidRPr="00DB16D7">
              <w:rPr>
                <w:lang w:val="en"/>
              </w:rPr>
              <w:t xml:space="preserve"> includes </w:t>
            </w:r>
            <w:proofErr w:type="spellStart"/>
            <w:r w:rsidRPr="00DB16D7">
              <w:rPr>
                <w:lang w:val="en"/>
              </w:rPr>
              <w:t>factorising</w:t>
            </w:r>
            <w:proofErr w:type="spellEnd"/>
            <w:r w:rsidRPr="00DB16D7">
              <w:rPr>
                <w:lang w:val="en"/>
              </w:rPr>
              <w:t xml:space="preserve"> and expanding algebraic expressions, using a range of strategies to solve equations and using calculations to investigate the shape of data sets</w:t>
            </w:r>
          </w:p>
          <w:p w14:paraId="621FF98C" w14:textId="77777777" w:rsidR="00DB16D7" w:rsidRPr="00DB16D7" w:rsidRDefault="00DB16D7" w:rsidP="00DB16D7">
            <w:pPr>
              <w:pStyle w:val="TableBullet"/>
              <w:contextualSpacing/>
              <w:rPr>
                <w:lang w:val="en"/>
              </w:rPr>
            </w:pPr>
            <w:r w:rsidRPr="00DB16D7">
              <w:rPr>
                <w:b/>
                <w:bCs/>
                <w:lang w:val="en"/>
              </w:rPr>
              <w:t>problem-solving</w:t>
            </w:r>
            <w:r w:rsidRPr="00DB16D7">
              <w:rPr>
                <w:lang w:val="en"/>
              </w:rPr>
              <w:t xml:space="preserve"> includes calculating the surface area and volume of a diverse range of prisms to solve practical problems, finding unknown lengths and angles using applications of trigonometry, using algebraic and graphical techniques to find solutions to simultaneous equations and inequalities and investigating independence of events</w:t>
            </w:r>
          </w:p>
          <w:p w14:paraId="7FB54CB1" w14:textId="77777777" w:rsidR="00DB16D7" w:rsidRPr="00DB16D7" w:rsidRDefault="00DB16D7" w:rsidP="00DB16D7">
            <w:pPr>
              <w:pStyle w:val="TableBullet"/>
              <w:contextualSpacing/>
              <w:rPr>
                <w:lang w:val="en"/>
              </w:rPr>
            </w:pPr>
            <w:r w:rsidRPr="00DB16D7">
              <w:rPr>
                <w:b/>
                <w:bCs/>
                <w:lang w:val="en"/>
              </w:rPr>
              <w:t xml:space="preserve">reasoning </w:t>
            </w:r>
            <w:r w:rsidRPr="00DB16D7">
              <w:rPr>
                <w:lang w:val="en"/>
              </w:rPr>
              <w:t>includes formulating geometric proofs involving congruence and similarity, interpreting and evaluating media statements and interpreting and comparing data sets.</w:t>
            </w:r>
          </w:p>
          <w:bookmarkEnd w:id="2"/>
          <w:p w14:paraId="694C2486" w14:textId="77777777" w:rsidR="00AB580C" w:rsidRPr="00DF6E36" w:rsidRDefault="00AB580C" w:rsidP="00DB16D7">
            <w:pPr>
              <w:pStyle w:val="TableBullet"/>
              <w:numPr>
                <w:ilvl w:val="0"/>
                <w:numId w:val="0"/>
              </w:numPr>
              <w:ind w:left="170" w:hanging="170"/>
            </w:pPr>
          </w:p>
        </w:tc>
        <w:tc>
          <w:tcPr>
            <w:tcW w:w="2500" w:type="pct"/>
          </w:tcPr>
          <w:p w14:paraId="29221D32" w14:textId="77777777" w:rsidR="00AB580C" w:rsidRPr="00336F7C" w:rsidRDefault="001D214B" w:rsidP="00336F7C">
            <w:pPr>
              <w:rPr>
                <w:sz w:val="19"/>
                <w:szCs w:val="19"/>
              </w:rPr>
            </w:pPr>
            <w:r w:rsidRPr="001D214B">
              <w:rPr>
                <w:sz w:val="19"/>
                <w:szCs w:val="19"/>
              </w:rPr>
              <w:t>This year level plan has not been developed with a specific cohort in mind. It is provided as an example of the intent of the Australian Curriculum: Mathematics, and reflective of QCAA advice and resources.</w:t>
            </w:r>
          </w:p>
        </w:tc>
      </w:tr>
      <w:tr w:rsidR="00AB580C" w14:paraId="26E75FA5" w14:textId="77777777" w:rsidTr="004725E5">
        <w:trPr>
          <w:trHeight w:val="254"/>
        </w:trPr>
        <w:tc>
          <w:tcPr>
            <w:tcW w:w="2500" w:type="pct"/>
            <w:vMerge/>
          </w:tcPr>
          <w:p w14:paraId="118AF961"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1B8DB863"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6B9C7D3D" w14:textId="77777777" w:rsidTr="004725E5">
        <w:trPr>
          <w:trHeight w:val="1983"/>
        </w:trPr>
        <w:tc>
          <w:tcPr>
            <w:tcW w:w="2500" w:type="pct"/>
            <w:vMerge/>
          </w:tcPr>
          <w:p w14:paraId="154D00D4" w14:textId="77777777" w:rsidR="00AB580C" w:rsidRPr="002C70AE" w:rsidRDefault="00AB580C" w:rsidP="004725E5">
            <w:pPr>
              <w:pStyle w:val="Instructiontowriters"/>
            </w:pPr>
          </w:p>
        </w:tc>
        <w:tc>
          <w:tcPr>
            <w:tcW w:w="2500" w:type="pct"/>
            <w:tcBorders>
              <w:top w:val="single" w:sz="12" w:space="0" w:color="FF0000"/>
            </w:tcBorders>
          </w:tcPr>
          <w:p w14:paraId="46258E38" w14:textId="77777777" w:rsidR="001D214B" w:rsidRDefault="001D214B" w:rsidP="00DB16D7">
            <w:pPr>
              <w:pStyle w:val="Tabletext"/>
              <w:contextualSpacing/>
            </w:pPr>
            <w:r>
              <w:t>This year level plan is written with the consideration that all school scenarios for delivery of Mathematics are unique. It is written to:</w:t>
            </w:r>
          </w:p>
          <w:p w14:paraId="29CDE5F1" w14:textId="77777777" w:rsidR="001D214B" w:rsidRDefault="001D214B" w:rsidP="00DB16D7">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5AFB2218" w14:textId="77777777" w:rsidR="001D214B" w:rsidRDefault="001D214B" w:rsidP="00DB16D7">
            <w:pPr>
              <w:pStyle w:val="TableBullet"/>
              <w:numPr>
                <w:ilvl w:val="0"/>
                <w:numId w:val="4"/>
              </w:numPr>
              <w:tabs>
                <w:tab w:val="clear" w:pos="284"/>
              </w:tabs>
              <w:ind w:left="170" w:hanging="170"/>
              <w:contextualSpacing/>
            </w:pPr>
            <w:r>
              <w:t>consider different types of assessment that are suitable for the Mathematics learning area</w:t>
            </w:r>
          </w:p>
          <w:p w14:paraId="6F57E0DC" w14:textId="77777777" w:rsidR="001D214B" w:rsidRDefault="001D214B" w:rsidP="00DB16D7">
            <w:pPr>
              <w:pStyle w:val="TableBullet"/>
              <w:numPr>
                <w:ilvl w:val="0"/>
                <w:numId w:val="4"/>
              </w:numPr>
              <w:tabs>
                <w:tab w:val="clear" w:pos="284"/>
              </w:tabs>
              <w:ind w:left="170" w:hanging="170"/>
              <w:contextualSpacing/>
            </w:pPr>
            <w:r>
              <w:t>provide examples for schools to adapt to their own contexts.</w:t>
            </w:r>
          </w:p>
          <w:p w14:paraId="195A5894" w14:textId="77777777" w:rsidR="001D214B" w:rsidRPr="00DF6E36" w:rsidRDefault="001D214B" w:rsidP="00DB16D7">
            <w:pPr>
              <w:contextualSpacing/>
              <w:rPr>
                <w:rStyle w:val="TabletextChar"/>
                <w:rFonts w:eastAsiaTheme="minorHAnsi"/>
              </w:rPr>
            </w:pPr>
            <w:r w:rsidRPr="00DF6E36">
              <w:rPr>
                <w:rStyle w:val="TabletextChar"/>
                <w:rFonts w:eastAsiaTheme="minorHAnsi"/>
              </w:rPr>
              <w:t xml:space="preserve">Year 10A is </w:t>
            </w:r>
            <w:r w:rsidR="005249AA">
              <w:rPr>
                <w:rStyle w:val="TabletextChar"/>
                <w:rFonts w:eastAsiaTheme="minorHAnsi"/>
              </w:rPr>
              <w:t xml:space="preserve">optional and </w:t>
            </w:r>
            <w:r w:rsidRPr="00DF6E36">
              <w:rPr>
                <w:rStyle w:val="TabletextChar"/>
                <w:rFonts w:eastAsiaTheme="minorHAnsi"/>
              </w:rPr>
              <w:t>intended to enrich and extend students</w:t>
            </w:r>
            <w:r w:rsidR="00826193">
              <w:rPr>
                <w:rStyle w:val="TabletextChar"/>
                <w:rFonts w:eastAsiaTheme="minorHAnsi"/>
              </w:rPr>
              <w:t>'</w:t>
            </w:r>
            <w:r w:rsidRPr="00DF6E36">
              <w:rPr>
                <w:rStyle w:val="TabletextChar"/>
                <w:rFonts w:eastAsiaTheme="minorHAnsi"/>
              </w:rPr>
              <w:t xml:space="preserve"> mathematical knowledge </w:t>
            </w:r>
            <w:r w:rsidR="00826193" w:rsidRPr="00DF6E36">
              <w:rPr>
                <w:rStyle w:val="TabletextChar"/>
                <w:rFonts w:eastAsiaTheme="minorHAnsi"/>
              </w:rPr>
              <w:t>whil</w:t>
            </w:r>
            <w:r w:rsidR="00826193">
              <w:rPr>
                <w:rStyle w:val="TabletextChar"/>
                <w:rFonts w:eastAsiaTheme="minorHAnsi"/>
              </w:rPr>
              <w:t>e</w:t>
            </w:r>
            <w:r w:rsidR="00826193" w:rsidRPr="00DF6E36">
              <w:rPr>
                <w:rStyle w:val="TabletextChar"/>
                <w:rFonts w:eastAsiaTheme="minorHAnsi"/>
              </w:rPr>
              <w:t xml:space="preserve"> </w:t>
            </w:r>
            <w:r w:rsidRPr="00DF6E36">
              <w:rPr>
                <w:rStyle w:val="TabletextChar"/>
                <w:rFonts w:eastAsiaTheme="minorHAnsi"/>
              </w:rPr>
              <w:t>completing the common Year 10 curriculum. The 10A content provides foundational knowledge for students who intend to study Mathematical Methods or Specialist Mathematics in the senior secondary years. Each unit includes content descriptions from the 10A curriculum and can be completed according to the needs and interests of students.</w:t>
            </w:r>
          </w:p>
          <w:p w14:paraId="3A04D499" w14:textId="77777777" w:rsidR="001D214B" w:rsidRPr="00164B98" w:rsidRDefault="001D214B" w:rsidP="00DB16D7">
            <w:pPr>
              <w:contextualSpacing/>
              <w:rPr>
                <w:rFonts w:cstheme="minorHAnsi"/>
                <w:b/>
                <w:color w:val="222222"/>
                <w:sz w:val="19"/>
                <w:szCs w:val="19"/>
              </w:rPr>
            </w:pPr>
            <w:r w:rsidRPr="00164B98">
              <w:rPr>
                <w:rFonts w:cstheme="minorHAnsi"/>
                <w:b/>
                <w:color w:val="222222"/>
                <w:sz w:val="19"/>
                <w:szCs w:val="19"/>
              </w:rPr>
              <w:t xml:space="preserve">Senior </w:t>
            </w:r>
            <w:r w:rsidR="00826193">
              <w:rPr>
                <w:rFonts w:cstheme="minorHAnsi"/>
                <w:b/>
                <w:color w:val="222222"/>
                <w:sz w:val="19"/>
                <w:szCs w:val="19"/>
              </w:rPr>
              <w:t>p</w:t>
            </w:r>
            <w:r w:rsidR="00826193" w:rsidRPr="00164B98">
              <w:rPr>
                <w:rFonts w:cstheme="minorHAnsi"/>
                <w:b/>
                <w:color w:val="222222"/>
                <w:sz w:val="19"/>
                <w:szCs w:val="19"/>
              </w:rPr>
              <w:t>athways</w:t>
            </w:r>
          </w:p>
          <w:p w14:paraId="665CB936" w14:textId="60DFCDB7" w:rsidR="001D214B" w:rsidRDefault="001D214B" w:rsidP="00DB16D7">
            <w:pPr>
              <w:contextualSpacing/>
              <w:rPr>
                <w:rFonts w:cstheme="minorHAnsi"/>
                <w:color w:val="222222"/>
                <w:sz w:val="19"/>
                <w:szCs w:val="19"/>
              </w:rPr>
            </w:pPr>
            <w:r>
              <w:rPr>
                <w:rFonts w:cstheme="minorHAnsi"/>
                <w:color w:val="222222"/>
                <w:sz w:val="19"/>
                <w:szCs w:val="19"/>
              </w:rPr>
              <w:t xml:space="preserve">Senior </w:t>
            </w:r>
            <w:r w:rsidR="006010D5">
              <w:rPr>
                <w:rFonts w:cstheme="minorHAnsi"/>
                <w:color w:val="222222"/>
                <w:sz w:val="19"/>
                <w:szCs w:val="19"/>
              </w:rPr>
              <w:t>M</w:t>
            </w:r>
            <w:r>
              <w:rPr>
                <w:rFonts w:cstheme="minorHAnsi"/>
                <w:color w:val="222222"/>
                <w:sz w:val="19"/>
                <w:szCs w:val="19"/>
              </w:rPr>
              <w:t>athematics pathways are diverse. Consideration of these pathways is necessary when designing a course of work</w:t>
            </w:r>
            <w:r w:rsidR="00055CD7">
              <w:rPr>
                <w:rFonts w:cstheme="minorHAnsi"/>
                <w:color w:val="222222"/>
                <w:sz w:val="19"/>
                <w:szCs w:val="19"/>
              </w:rPr>
              <w:t xml:space="preserve"> — </w:t>
            </w:r>
            <w:r>
              <w:rPr>
                <w:rFonts w:cstheme="minorHAnsi"/>
                <w:color w:val="222222"/>
                <w:sz w:val="19"/>
                <w:szCs w:val="19"/>
              </w:rPr>
              <w:t>opportunities to develop the knowledge and skills necessary to succeed in these pathways should be evident across a course of study.</w:t>
            </w:r>
          </w:p>
          <w:p w14:paraId="0E3A3F56" w14:textId="77777777" w:rsidR="00AB580C" w:rsidRPr="002A7727" w:rsidRDefault="001D214B" w:rsidP="00DB16D7">
            <w:pPr>
              <w:contextualSpacing/>
            </w:pPr>
            <w:r>
              <w:rPr>
                <w:rFonts w:cstheme="minorHAnsi"/>
                <w:color w:val="222222"/>
                <w:sz w:val="19"/>
                <w:szCs w:val="19"/>
              </w:rPr>
              <w:t>Senior pathways include: Essential Mathematics, General Mathematics, Mathematical Methods, Numeracy and Specialist Mathematics.</w:t>
            </w:r>
          </w:p>
        </w:tc>
      </w:tr>
    </w:tbl>
    <w:p w14:paraId="6D7D736F" w14:textId="77777777" w:rsidR="000463BF" w:rsidRDefault="00C019A4" w:rsidP="00DF6E36">
      <w:pPr>
        <w:pStyle w:val="Heading1"/>
      </w:pPr>
      <w:r>
        <w:t>Unit overview</w:t>
      </w:r>
    </w:p>
    <w:tbl>
      <w:tblPr>
        <w:tblStyle w:val="QCAAtablestyle1"/>
        <w:tblW w:w="5000" w:type="pct"/>
        <w:tblLook w:val="0620" w:firstRow="1" w:lastRow="0" w:firstColumn="0" w:lastColumn="0" w:noHBand="1" w:noVBand="1"/>
      </w:tblPr>
      <w:tblGrid>
        <w:gridCol w:w="5341"/>
        <w:gridCol w:w="5207"/>
        <w:gridCol w:w="5207"/>
        <w:gridCol w:w="5207"/>
      </w:tblGrid>
      <w:tr w:rsidR="00E13547" w:rsidRPr="00DF6E36" w14:paraId="520CA642" w14:textId="77777777" w:rsidTr="004725E5">
        <w:trPr>
          <w:cnfStyle w:val="100000000000" w:firstRow="1" w:lastRow="0" w:firstColumn="0" w:lastColumn="0" w:oddVBand="0" w:evenVBand="0" w:oddHBand="0" w:evenHBand="0" w:firstRowFirstColumn="0" w:firstRowLastColumn="0" w:lastRowFirstColumn="0" w:lastRowLastColumn="0"/>
        </w:trPr>
        <w:tc>
          <w:tcPr>
            <w:tcW w:w="1274" w:type="pct"/>
          </w:tcPr>
          <w:p w14:paraId="00C26748" w14:textId="77777777" w:rsidR="00E13547" w:rsidRPr="00DF6E36" w:rsidRDefault="00E13547" w:rsidP="004725E5">
            <w:pPr>
              <w:pStyle w:val="Tableheading"/>
            </w:pPr>
            <w:r w:rsidRPr="00DF6E36">
              <w:t>Term 1</w:t>
            </w:r>
          </w:p>
        </w:tc>
        <w:tc>
          <w:tcPr>
            <w:tcW w:w="1242" w:type="pct"/>
          </w:tcPr>
          <w:p w14:paraId="3D00F5AC" w14:textId="77777777" w:rsidR="00E13547" w:rsidRPr="00DF6E36" w:rsidRDefault="00E13547" w:rsidP="004725E5">
            <w:pPr>
              <w:pStyle w:val="Tableheading"/>
            </w:pPr>
            <w:r w:rsidRPr="00DF6E36">
              <w:t>Term 2</w:t>
            </w:r>
          </w:p>
        </w:tc>
        <w:tc>
          <w:tcPr>
            <w:tcW w:w="1242" w:type="pct"/>
          </w:tcPr>
          <w:p w14:paraId="68DD8A05" w14:textId="77777777" w:rsidR="00E13547" w:rsidRPr="00DF6E36" w:rsidRDefault="00E13547" w:rsidP="004725E5">
            <w:pPr>
              <w:pStyle w:val="Tableheading"/>
            </w:pPr>
            <w:r w:rsidRPr="00DF6E36">
              <w:t>Term 3</w:t>
            </w:r>
          </w:p>
        </w:tc>
        <w:tc>
          <w:tcPr>
            <w:tcW w:w="1242" w:type="pct"/>
          </w:tcPr>
          <w:p w14:paraId="1604D283" w14:textId="77777777" w:rsidR="00E13547" w:rsidRPr="00DF6E36" w:rsidRDefault="00E13547" w:rsidP="004725E5">
            <w:pPr>
              <w:pStyle w:val="Tableheading"/>
            </w:pPr>
            <w:r w:rsidRPr="00DF6E36">
              <w:t>Term 4</w:t>
            </w:r>
          </w:p>
        </w:tc>
      </w:tr>
      <w:tr w:rsidR="00E13547" w:rsidRPr="00DF6E36" w14:paraId="2CC2CAD6" w14:textId="77777777" w:rsidTr="004725E5">
        <w:tc>
          <w:tcPr>
            <w:tcW w:w="1274" w:type="pct"/>
          </w:tcPr>
          <w:p w14:paraId="4A53146F" w14:textId="77777777" w:rsidR="00E13547" w:rsidRPr="00DF6E36" w:rsidRDefault="00DF6E36" w:rsidP="00D4440E">
            <w:pPr>
              <w:pStyle w:val="Tablesubhead"/>
            </w:pPr>
            <w:r w:rsidRPr="00DF6E36">
              <w:t>Unit 1 — Keeping the balance</w:t>
            </w:r>
          </w:p>
        </w:tc>
        <w:tc>
          <w:tcPr>
            <w:tcW w:w="1242" w:type="pct"/>
          </w:tcPr>
          <w:p w14:paraId="7043B3B9" w14:textId="77777777" w:rsidR="00E13547" w:rsidRPr="00DF6E36" w:rsidRDefault="00E13547" w:rsidP="0062088B">
            <w:pPr>
              <w:pStyle w:val="Tablesubhead"/>
            </w:pPr>
            <w:r w:rsidRPr="00DF6E36">
              <w:t xml:space="preserve">Unit 2 </w:t>
            </w:r>
            <w:r w:rsidR="0062088B" w:rsidRPr="00DF6E36">
              <w:t xml:space="preserve">— </w:t>
            </w:r>
            <w:r w:rsidR="00DF6E36" w:rsidRPr="00DF6E36">
              <w:t>Proving that you are right</w:t>
            </w:r>
          </w:p>
        </w:tc>
        <w:tc>
          <w:tcPr>
            <w:tcW w:w="1242" w:type="pct"/>
          </w:tcPr>
          <w:p w14:paraId="7052B265" w14:textId="77777777" w:rsidR="00E13547" w:rsidRPr="00DF6E36" w:rsidRDefault="00E13547" w:rsidP="0062088B">
            <w:pPr>
              <w:pStyle w:val="Tablesubhead"/>
            </w:pPr>
            <w:r w:rsidRPr="00DF6E36">
              <w:t xml:space="preserve">Unit 3 — </w:t>
            </w:r>
            <w:r w:rsidR="00DF6E36" w:rsidRPr="00DF6E36">
              <w:t>Nothing in the world exists without a shape or a pattern</w:t>
            </w:r>
          </w:p>
        </w:tc>
        <w:tc>
          <w:tcPr>
            <w:tcW w:w="1242" w:type="pct"/>
          </w:tcPr>
          <w:p w14:paraId="2F92C600" w14:textId="77777777" w:rsidR="00E13547" w:rsidRPr="00DF6E36" w:rsidRDefault="00E13547" w:rsidP="002D7769">
            <w:pPr>
              <w:pStyle w:val="Tablesubhead"/>
            </w:pPr>
            <w:r w:rsidRPr="00DF6E36">
              <w:t>Unit 4 —</w:t>
            </w:r>
            <w:r w:rsidR="00DF6E36" w:rsidRPr="00DF6E36">
              <w:t xml:space="preserve"> Be careful making claims</w:t>
            </w:r>
          </w:p>
        </w:tc>
      </w:tr>
      <w:tr w:rsidR="00E13547" w:rsidRPr="00DF6E36" w14:paraId="3688EFF8" w14:textId="77777777" w:rsidTr="00E26938">
        <w:trPr>
          <w:trHeight w:val="640"/>
        </w:trPr>
        <w:tc>
          <w:tcPr>
            <w:tcW w:w="1274" w:type="pct"/>
          </w:tcPr>
          <w:p w14:paraId="47EC4F9B" w14:textId="77777777" w:rsidR="00E13547" w:rsidRPr="00DF6E36" w:rsidRDefault="00DF6E36" w:rsidP="00DB16D7">
            <w:pPr>
              <w:pStyle w:val="Tabletext"/>
              <w:contextualSpacing/>
              <w:rPr>
                <w:sz w:val="21"/>
                <w14:numForm w14:val="lining"/>
              </w:rPr>
            </w:pPr>
            <w:r w:rsidRPr="00DF6E36">
              <w:rPr>
                <w:rStyle w:val="TabletextChar"/>
              </w:rPr>
              <w:t xml:space="preserve">This unit </w:t>
            </w:r>
            <w:r w:rsidR="00AC4F48">
              <w:rPr>
                <w:rStyle w:val="TabletextChar"/>
              </w:rPr>
              <w:t xml:space="preserve">will </w:t>
            </w:r>
            <w:r w:rsidRPr="00DF6E36">
              <w:rPr>
                <w:rStyle w:val="TabletextChar"/>
              </w:rPr>
              <w:t xml:space="preserve">extend students’ knowledge from the Year 9 curriculum of indices and linear relationships and </w:t>
            </w:r>
            <w:r w:rsidR="00AC4F48">
              <w:rPr>
                <w:rStyle w:val="TabletextChar"/>
              </w:rPr>
              <w:t xml:space="preserve">will </w:t>
            </w:r>
            <w:r w:rsidRPr="00DF6E36">
              <w:rPr>
                <w:rStyle w:val="TabletextChar"/>
              </w:rPr>
              <w:t>extend their knowledge of the basic algebraic foundation of ‘reducing’ and ‘balancing’ equations to make them simpler and easier to use and apply in real</w:t>
            </w:r>
            <w:r w:rsidR="003F5932">
              <w:rPr>
                <w:rStyle w:val="TabletextChar"/>
              </w:rPr>
              <w:t>-</w:t>
            </w:r>
            <w:r w:rsidRPr="00DF6E36">
              <w:rPr>
                <w:rStyle w:val="TabletextChar"/>
              </w:rPr>
              <w:t xml:space="preserve">world contexts. </w:t>
            </w:r>
            <w:r w:rsidRPr="00DF6E36">
              <w:rPr>
                <w:rStyle w:val="TabletextChar"/>
              </w:rPr>
              <w:br/>
              <w:t xml:space="preserve">Using collaborative inquiry opportunities, students will use formulas to find unknowns and engage with digital technologies to solve problems involving linear relationships in a variety of settings. These </w:t>
            </w:r>
            <w:r w:rsidR="00C92EB8">
              <w:rPr>
                <w:rStyle w:val="TabletextChar"/>
              </w:rPr>
              <w:t xml:space="preserve">concepts, skills </w:t>
            </w:r>
            <w:r w:rsidRPr="00DF6E36">
              <w:rPr>
                <w:rStyle w:val="TabletextChar"/>
              </w:rPr>
              <w:t xml:space="preserve">and processes are used in many contexts and industries to solve complex problems. </w:t>
            </w:r>
            <w:r w:rsidRPr="00DF6E36">
              <w:rPr>
                <w:rStyle w:val="TabletextChar"/>
              </w:rPr>
              <w:br/>
            </w:r>
            <w:r w:rsidRPr="00DF6E36">
              <w:rPr>
                <w:rStyle w:val="TabletextChar"/>
              </w:rPr>
              <w:br/>
            </w:r>
            <w:r w:rsidRPr="00DF6E36">
              <w:rPr>
                <w:rStyle w:val="TabletextChar"/>
                <w:b/>
              </w:rPr>
              <w:t>10A:</w:t>
            </w:r>
            <w:r w:rsidRPr="00DF6E36">
              <w:rPr>
                <w:rStyle w:val="TabletextChar"/>
              </w:rPr>
              <w:t xml:space="preserve"> </w:t>
            </w:r>
            <w:r w:rsidR="00086169">
              <w:rPr>
                <w:rStyle w:val="TabletextChar"/>
              </w:rPr>
              <w:t>S</w:t>
            </w:r>
            <w:r w:rsidRPr="00DF6E36">
              <w:rPr>
                <w:rStyle w:val="TabletextChar"/>
              </w:rPr>
              <w:t>tudents</w:t>
            </w:r>
            <w:r w:rsidR="00086169">
              <w:rPr>
                <w:rStyle w:val="TabletextChar"/>
              </w:rPr>
              <w:t xml:space="preserve"> will</w:t>
            </w:r>
            <w:r w:rsidRPr="00DF6E36">
              <w:rPr>
                <w:rStyle w:val="TabletextChar"/>
              </w:rPr>
              <w:t xml:space="preserve"> have the opportunity to extend their knowledge of index laws to include surds and fractional indices and be introduced to logarithmic expressions and laws of logarithms</w:t>
            </w:r>
            <w:r w:rsidR="002D522C">
              <w:rPr>
                <w:rStyle w:val="TabletextChar"/>
              </w:rPr>
              <w:t>.</w:t>
            </w:r>
          </w:p>
          <w:p w14:paraId="4FB6BB4F" w14:textId="77777777" w:rsidR="00E13547" w:rsidRPr="00DF6E36" w:rsidRDefault="00E13547" w:rsidP="004725E5"/>
        </w:tc>
        <w:tc>
          <w:tcPr>
            <w:tcW w:w="1242" w:type="pct"/>
          </w:tcPr>
          <w:p w14:paraId="303CA2E9" w14:textId="04E3E071" w:rsidR="00E13547" w:rsidRPr="00DF6E36" w:rsidRDefault="00DF6E36" w:rsidP="00DB16D7">
            <w:pPr>
              <w:pStyle w:val="Tabletext"/>
              <w:contextualSpacing/>
              <w:rPr>
                <w:sz w:val="21"/>
                <w14:numForm w14:val="lining"/>
              </w:rPr>
            </w:pPr>
            <w:r w:rsidRPr="00DF6E36">
              <w:rPr>
                <w:rStyle w:val="TabletextChar"/>
              </w:rPr>
              <w:t xml:space="preserve">This unit </w:t>
            </w:r>
            <w:r w:rsidR="00AC4F48">
              <w:rPr>
                <w:rStyle w:val="TabletextChar"/>
              </w:rPr>
              <w:t xml:space="preserve">will </w:t>
            </w:r>
            <w:r w:rsidRPr="00DF6E36">
              <w:rPr>
                <w:rStyle w:val="TabletextChar"/>
              </w:rPr>
              <w:t>extend students’ knowledge from the Year 9 curriculum to find unknown lengths and angles using trigonometry. They will apply geometric reasoning to prove similarity and congruence of shapes and apply deductive reasoning to proofs.</w:t>
            </w:r>
            <w:r>
              <w:rPr>
                <w:rStyle w:val="TabletextChar"/>
              </w:rPr>
              <w:br/>
            </w:r>
            <w:r w:rsidRPr="00DF6E36">
              <w:rPr>
                <w:rStyle w:val="TabletextChar"/>
              </w:rPr>
              <w:t xml:space="preserve">Using </w:t>
            </w:r>
            <w:r w:rsidR="005B10DF">
              <w:rPr>
                <w:rStyle w:val="TabletextChar"/>
              </w:rPr>
              <w:t>mathematical modelling</w:t>
            </w:r>
            <w:r w:rsidRPr="00DF6E36">
              <w:rPr>
                <w:rStyle w:val="TabletextChar"/>
              </w:rPr>
              <w:t xml:space="preserve"> and problem-solving opportunities, students will engage with digital technologies to explore and use trigonometry</w:t>
            </w:r>
            <w:r>
              <w:rPr>
                <w:rStyle w:val="TabletextChar"/>
              </w:rPr>
              <w:t xml:space="preserve">. They </w:t>
            </w:r>
            <w:r w:rsidR="00086169">
              <w:rPr>
                <w:rStyle w:val="TabletextChar"/>
              </w:rPr>
              <w:t>will b</w:t>
            </w:r>
            <w:r w:rsidRPr="00DF6E36">
              <w:rPr>
                <w:rStyle w:val="TabletextChar"/>
              </w:rPr>
              <w:t xml:space="preserve">e </w:t>
            </w:r>
            <w:r w:rsidR="001F245B">
              <w:rPr>
                <w:rStyle w:val="TabletextChar"/>
              </w:rPr>
              <w:t xml:space="preserve">encouraged </w:t>
            </w:r>
            <w:r w:rsidRPr="00DF6E36">
              <w:rPr>
                <w:rStyle w:val="TabletextChar"/>
              </w:rPr>
              <w:t>to be critical and creative thinkers to apply geometric and deductive reasoning to plane shapes. The concepts, skills and processes explored in this unit are used in many contexts and industries to solve complex problems.</w:t>
            </w:r>
            <w:r>
              <w:rPr>
                <w:rStyle w:val="TabletextChar"/>
              </w:rPr>
              <w:br/>
            </w:r>
            <w:r>
              <w:rPr>
                <w:rStyle w:val="TabletextChar"/>
              </w:rPr>
              <w:br/>
            </w:r>
            <w:r w:rsidRPr="00DF6E36">
              <w:rPr>
                <w:rStyle w:val="TabletextChar"/>
                <w:b/>
              </w:rPr>
              <w:t>10A</w:t>
            </w:r>
            <w:r w:rsidRPr="005402DF">
              <w:rPr>
                <w:rStyle w:val="TabletextChar"/>
                <w:b/>
                <w:bCs/>
              </w:rPr>
              <w:t>:</w:t>
            </w:r>
            <w:r w:rsidRPr="00DF6E36">
              <w:rPr>
                <w:rStyle w:val="TabletextChar"/>
              </w:rPr>
              <w:t xml:space="preserve"> </w:t>
            </w:r>
            <w:r w:rsidR="00B562E4">
              <w:rPr>
                <w:rStyle w:val="TabletextChar"/>
              </w:rPr>
              <w:t>S</w:t>
            </w:r>
            <w:r w:rsidRPr="00DF6E36">
              <w:rPr>
                <w:rStyle w:val="TabletextChar"/>
              </w:rPr>
              <w:t xml:space="preserve">tudents </w:t>
            </w:r>
            <w:r w:rsidR="00B562E4">
              <w:rPr>
                <w:rStyle w:val="TabletextChar"/>
              </w:rPr>
              <w:t xml:space="preserve">will </w:t>
            </w:r>
            <w:r w:rsidRPr="00DF6E36">
              <w:rPr>
                <w:rStyle w:val="TabletextChar"/>
              </w:rPr>
              <w:t>have the opportunity to extend their knowledge of trigonometry to unit circles and geometric reasoning to include chord properties of circles</w:t>
            </w:r>
            <w:r w:rsidR="002D522C">
              <w:rPr>
                <w:rStyle w:val="TabletextChar"/>
              </w:rPr>
              <w:t>.</w:t>
            </w:r>
            <w:r w:rsidR="00E13547" w:rsidRPr="00DF6E36">
              <w:rPr>
                <w:sz w:val="21"/>
                <w14:numForm w14:val="lining"/>
              </w:rPr>
              <w:t xml:space="preserve"> </w:t>
            </w:r>
          </w:p>
          <w:p w14:paraId="21429CFD" w14:textId="77777777" w:rsidR="00E13547" w:rsidRPr="00DF6E36" w:rsidRDefault="00E13547" w:rsidP="004725E5">
            <w:pPr>
              <w:pStyle w:val="Tabletext"/>
            </w:pPr>
          </w:p>
        </w:tc>
        <w:tc>
          <w:tcPr>
            <w:tcW w:w="1242" w:type="pct"/>
          </w:tcPr>
          <w:p w14:paraId="138D4F4F" w14:textId="485DD937" w:rsidR="00E13547" w:rsidRPr="00DF6E36" w:rsidRDefault="00DF6E36" w:rsidP="004725E5">
            <w:pPr>
              <w:pStyle w:val="Tabletext"/>
            </w:pPr>
            <w:r w:rsidRPr="00DF6E36">
              <w:rPr>
                <w:rStyle w:val="TabletextChar"/>
              </w:rPr>
              <w:t xml:space="preserve">This unit </w:t>
            </w:r>
            <w:r w:rsidR="00AC4F48">
              <w:rPr>
                <w:rStyle w:val="TabletextChar"/>
              </w:rPr>
              <w:t xml:space="preserve">will </w:t>
            </w:r>
            <w:r w:rsidRPr="00DF6E36">
              <w:rPr>
                <w:rStyle w:val="TabletextChar"/>
              </w:rPr>
              <w:t>extend students’ knowledge from</w:t>
            </w:r>
            <w:r w:rsidR="00AC4F48">
              <w:rPr>
                <w:rStyle w:val="TabletextChar"/>
              </w:rPr>
              <w:t xml:space="preserve"> the</w:t>
            </w:r>
            <w:r w:rsidRPr="00DF6E36">
              <w:rPr>
                <w:rStyle w:val="TabletextChar"/>
              </w:rPr>
              <w:t xml:space="preserve"> Year 9 curriculum to solve problems involving</w:t>
            </w:r>
            <w:r w:rsidR="00987E7E">
              <w:rPr>
                <w:rStyle w:val="TabletextChar"/>
              </w:rPr>
              <w:t xml:space="preserve"> the</w:t>
            </w:r>
            <w:r w:rsidRPr="00DF6E36">
              <w:rPr>
                <w:rStyle w:val="TabletextChar"/>
              </w:rPr>
              <w:t xml:space="preserve"> surface area and volume of prisms. This unit also relies on the knowledge and skills developed in solving linear equations and inequations in Unit 1. </w:t>
            </w:r>
            <w:r>
              <w:rPr>
                <w:rStyle w:val="TabletextChar"/>
              </w:rPr>
              <w:br/>
            </w:r>
            <w:r w:rsidR="00844407">
              <w:rPr>
                <w:rStyle w:val="TabletextChar"/>
              </w:rPr>
              <w:t>S</w:t>
            </w:r>
            <w:r w:rsidRPr="00DF6E36">
              <w:rPr>
                <w:rStyle w:val="TabletextChar"/>
              </w:rPr>
              <w:t xml:space="preserve">tudents </w:t>
            </w:r>
            <w:r w:rsidR="00844407">
              <w:rPr>
                <w:rStyle w:val="TabletextChar"/>
              </w:rPr>
              <w:t xml:space="preserve">will </w:t>
            </w:r>
            <w:r w:rsidRPr="00DF6E36">
              <w:rPr>
                <w:rStyle w:val="TabletextChar"/>
              </w:rPr>
              <w:t>extend their knowledge and understanding by using digital technologies to explore the connection between algebraic and graphical representations and solve equations. These</w:t>
            </w:r>
            <w:r w:rsidR="00C92EB8">
              <w:rPr>
                <w:rStyle w:val="TabletextChar"/>
              </w:rPr>
              <w:t xml:space="preserve"> concepts,</w:t>
            </w:r>
            <w:r w:rsidRPr="00DF6E36">
              <w:rPr>
                <w:rStyle w:val="TabletextChar"/>
              </w:rPr>
              <w:t xml:space="preserve"> skills</w:t>
            </w:r>
            <w:r w:rsidR="005249AA">
              <w:rPr>
                <w:rStyle w:val="TabletextChar"/>
              </w:rPr>
              <w:t xml:space="preserve"> </w:t>
            </w:r>
            <w:r w:rsidRPr="00DF6E36">
              <w:rPr>
                <w:rStyle w:val="TabletextChar"/>
              </w:rPr>
              <w:t>and processes are used in many contexts and industries</w:t>
            </w:r>
            <w:r w:rsidR="00B13D8E">
              <w:rPr>
                <w:rStyle w:val="TabletextChar"/>
              </w:rPr>
              <w:t xml:space="preserve">, </w:t>
            </w:r>
            <w:r w:rsidR="00B8058F">
              <w:rPr>
                <w:rStyle w:val="TabletextChar"/>
              </w:rPr>
              <w:t xml:space="preserve">and </w:t>
            </w:r>
            <w:r w:rsidRPr="00DF6E36">
              <w:rPr>
                <w:rStyle w:val="TabletextChar"/>
              </w:rPr>
              <w:t>encourage</w:t>
            </w:r>
            <w:r w:rsidR="00B8058F">
              <w:rPr>
                <w:rStyle w:val="TabletextChar"/>
              </w:rPr>
              <w:t xml:space="preserve"> students</w:t>
            </w:r>
            <w:r w:rsidRPr="00DF6E36">
              <w:rPr>
                <w:rStyle w:val="TabletextChar"/>
              </w:rPr>
              <w:t xml:space="preserve"> to be critical and creative thinkers and problem</w:t>
            </w:r>
            <w:r w:rsidR="00B13D8E">
              <w:rPr>
                <w:rStyle w:val="TabletextChar"/>
              </w:rPr>
              <w:t xml:space="preserve"> </w:t>
            </w:r>
            <w:r w:rsidRPr="00DF6E36">
              <w:rPr>
                <w:rStyle w:val="TabletextChar"/>
              </w:rPr>
              <w:t xml:space="preserve">solvers. </w:t>
            </w:r>
            <w:r>
              <w:rPr>
                <w:rStyle w:val="TabletextChar"/>
              </w:rPr>
              <w:br/>
            </w:r>
            <w:r>
              <w:rPr>
                <w:rStyle w:val="TabletextChar"/>
              </w:rPr>
              <w:br/>
            </w:r>
            <w:r w:rsidRPr="00DF6E36">
              <w:rPr>
                <w:rStyle w:val="TabletextChar"/>
                <w:b/>
              </w:rPr>
              <w:t>10A:</w:t>
            </w:r>
            <w:r w:rsidRPr="00DF6E36">
              <w:rPr>
                <w:rStyle w:val="TabletextChar"/>
              </w:rPr>
              <w:t xml:space="preserve"> </w:t>
            </w:r>
            <w:r w:rsidR="00E26938">
              <w:rPr>
                <w:rStyle w:val="TabletextChar"/>
              </w:rPr>
              <w:t>S</w:t>
            </w:r>
            <w:r w:rsidRPr="00DF6E36">
              <w:rPr>
                <w:rStyle w:val="TabletextChar"/>
              </w:rPr>
              <w:t>tudents</w:t>
            </w:r>
            <w:r w:rsidR="00E26938">
              <w:rPr>
                <w:rStyle w:val="TabletextChar"/>
              </w:rPr>
              <w:t xml:space="preserve"> will</w:t>
            </w:r>
            <w:r w:rsidRPr="00DF6E36">
              <w:rPr>
                <w:rStyle w:val="TabletextChar"/>
              </w:rPr>
              <w:t xml:space="preserve"> have the opportunity to extend their knowledge of volume and area to pyramids, cones and spheres. They will factorise monic and non-monic quadratic expressions to solve problems. They </w:t>
            </w:r>
            <w:r w:rsidR="00E26938">
              <w:rPr>
                <w:rStyle w:val="TabletextChar"/>
              </w:rPr>
              <w:t xml:space="preserve">will </w:t>
            </w:r>
            <w:r w:rsidRPr="00DF6E36">
              <w:rPr>
                <w:rStyle w:val="TabletextChar"/>
              </w:rPr>
              <w:t>apply transformations to describe, interpret and sketch parabolas, hyperbolas, circles and exponential functions. The 10A students</w:t>
            </w:r>
            <w:r w:rsidR="00E26938">
              <w:rPr>
                <w:rStyle w:val="TabletextChar"/>
              </w:rPr>
              <w:t xml:space="preserve"> will</w:t>
            </w:r>
            <w:r w:rsidRPr="00DF6E36">
              <w:rPr>
                <w:rStyle w:val="TabletextChar"/>
              </w:rPr>
              <w:t xml:space="preserve"> have the opportunity to investigate </w:t>
            </w:r>
            <w:r w:rsidRPr="00DF6E36">
              <w:rPr>
                <w:rStyle w:val="TabletextChar"/>
              </w:rPr>
              <w:lastRenderedPageBreak/>
              <w:t>polynomials and apply their understanding to sketching and describing curves.</w:t>
            </w:r>
            <w:r w:rsidR="00E13547" w:rsidRPr="00DF6E36">
              <w:rPr>
                <w:sz w:val="21"/>
                <w14:numForm w14:val="lining"/>
              </w:rPr>
              <w:t xml:space="preserve"> </w:t>
            </w:r>
          </w:p>
        </w:tc>
        <w:tc>
          <w:tcPr>
            <w:tcW w:w="1242" w:type="pct"/>
          </w:tcPr>
          <w:p w14:paraId="2F28426C" w14:textId="1D2A5B26" w:rsidR="00E13547" w:rsidRPr="00DF6E36" w:rsidRDefault="00DF6E36" w:rsidP="004725E5">
            <w:pPr>
              <w:pStyle w:val="Tabletext"/>
            </w:pPr>
            <w:r w:rsidRPr="00DF6E36">
              <w:rPr>
                <w:rStyle w:val="TabletextChar"/>
              </w:rPr>
              <w:lastRenderedPageBreak/>
              <w:t xml:space="preserve">This unit </w:t>
            </w:r>
            <w:r w:rsidR="00AC4F48">
              <w:rPr>
                <w:rStyle w:val="TabletextChar"/>
              </w:rPr>
              <w:t xml:space="preserve">will </w:t>
            </w:r>
            <w:r w:rsidRPr="00DF6E36">
              <w:rPr>
                <w:rStyle w:val="TabletextChar"/>
              </w:rPr>
              <w:t>extend</w:t>
            </w:r>
            <w:r w:rsidR="00AC4F48">
              <w:rPr>
                <w:rStyle w:val="TabletextChar"/>
              </w:rPr>
              <w:t xml:space="preserve"> </w:t>
            </w:r>
            <w:r w:rsidRPr="00DF6E36">
              <w:rPr>
                <w:rStyle w:val="TabletextChar"/>
              </w:rPr>
              <w:t xml:space="preserve">students’ knowledge from </w:t>
            </w:r>
            <w:r w:rsidR="00AC4F48">
              <w:rPr>
                <w:rStyle w:val="TabletextChar"/>
              </w:rPr>
              <w:t xml:space="preserve">the </w:t>
            </w:r>
            <w:r w:rsidRPr="00DF6E36">
              <w:rPr>
                <w:rStyle w:val="TabletextChar"/>
              </w:rPr>
              <w:t>Year 9 curriculum to recognise the connection between simple and compound interest in financial contexts.</w:t>
            </w:r>
            <w:r>
              <w:rPr>
                <w:rStyle w:val="TabletextChar"/>
              </w:rPr>
              <w:br/>
            </w:r>
            <w:r w:rsidRPr="00DF6E36">
              <w:rPr>
                <w:rStyle w:val="TabletextChar"/>
              </w:rPr>
              <w:t xml:space="preserve">Using </w:t>
            </w:r>
            <w:r w:rsidR="00B8058F" w:rsidRPr="00B8058F">
              <w:rPr>
                <w:rStyle w:val="TabletextChar"/>
              </w:rPr>
              <w:t xml:space="preserve">digital technologies </w:t>
            </w:r>
            <w:r w:rsidR="00B8058F">
              <w:rPr>
                <w:rStyle w:val="TabletextChar"/>
              </w:rPr>
              <w:t xml:space="preserve">to generate simulations, </w:t>
            </w:r>
            <w:r w:rsidRPr="00DF6E36">
              <w:rPr>
                <w:rStyle w:val="TabletextChar"/>
              </w:rPr>
              <w:t>students will conduct chance experiments</w:t>
            </w:r>
            <w:r w:rsidR="00B8058F">
              <w:rPr>
                <w:rStyle w:val="TabletextChar"/>
              </w:rPr>
              <w:t xml:space="preserve"> to</w:t>
            </w:r>
            <w:r w:rsidR="00B8058F">
              <w:t xml:space="preserve"> </w:t>
            </w:r>
            <w:r w:rsidR="00B8058F" w:rsidRPr="00B8058F">
              <w:rPr>
                <w:rStyle w:val="TabletextChar"/>
              </w:rPr>
              <w:t>determine the probability of events and interpret and compare data sets</w:t>
            </w:r>
            <w:r w:rsidRPr="00DF6E36">
              <w:rPr>
                <w:rStyle w:val="TabletextChar"/>
              </w:rPr>
              <w:t xml:space="preserve">. Students will also apply critical thinking skills when looking at the ethical issues and responsibilities that need to be considered when borrowing money. They will also engage in statistical investigations </w:t>
            </w:r>
            <w:r w:rsidR="00B8058F">
              <w:rPr>
                <w:rStyle w:val="TabletextChar"/>
              </w:rPr>
              <w:t>about</w:t>
            </w:r>
            <w:r w:rsidR="00B8058F" w:rsidRPr="00DF6E36">
              <w:rPr>
                <w:rStyle w:val="TabletextChar"/>
              </w:rPr>
              <w:t xml:space="preserve"> </w:t>
            </w:r>
            <w:r w:rsidRPr="00DF6E36">
              <w:rPr>
                <w:rStyle w:val="TabletextChar"/>
              </w:rPr>
              <w:t xml:space="preserve">the </w:t>
            </w:r>
            <w:r w:rsidR="008E7B57">
              <w:rPr>
                <w:rStyle w:val="TabletextChar"/>
              </w:rPr>
              <w:t>biodiversity changes in Australia over time, and</w:t>
            </w:r>
            <w:r w:rsidR="003D2557">
              <w:rPr>
                <w:rStyle w:val="TabletextChar"/>
              </w:rPr>
              <w:t xml:space="preserve"> about</w:t>
            </w:r>
            <w:r w:rsidR="008E7B57">
              <w:rPr>
                <w:rStyle w:val="TabletextChar"/>
              </w:rPr>
              <w:t xml:space="preserve"> </w:t>
            </w:r>
            <w:r w:rsidR="00F20D1B">
              <w:rPr>
                <w:rStyle w:val="TabletextChar"/>
              </w:rPr>
              <w:t xml:space="preserve">teenage </w:t>
            </w:r>
            <w:r w:rsidR="002312C3">
              <w:rPr>
                <w:rStyle w:val="TabletextChar"/>
              </w:rPr>
              <w:t>health risks</w:t>
            </w:r>
            <w:r w:rsidR="00F20D1B">
              <w:rPr>
                <w:rStyle w:val="TabletextChar"/>
              </w:rPr>
              <w:t>.</w:t>
            </w:r>
            <w:r>
              <w:rPr>
                <w:rStyle w:val="TabletextChar"/>
              </w:rPr>
              <w:br/>
            </w:r>
            <w:r>
              <w:rPr>
                <w:rStyle w:val="TabletextChar"/>
              </w:rPr>
              <w:br/>
            </w:r>
            <w:r w:rsidRPr="00DF6E36">
              <w:rPr>
                <w:rStyle w:val="TabletextChar"/>
                <w:b/>
              </w:rPr>
              <w:t>10A:</w:t>
            </w:r>
            <w:r w:rsidRPr="00DF6E36">
              <w:rPr>
                <w:rStyle w:val="TabletextChar"/>
              </w:rPr>
              <w:t xml:space="preserve"> </w:t>
            </w:r>
            <w:r w:rsidR="001D7954">
              <w:rPr>
                <w:rStyle w:val="TabletextChar"/>
              </w:rPr>
              <w:t>S</w:t>
            </w:r>
            <w:r w:rsidRPr="00DF6E36">
              <w:rPr>
                <w:rStyle w:val="TabletextChar"/>
              </w:rPr>
              <w:t>tudents</w:t>
            </w:r>
            <w:r w:rsidR="001D7954">
              <w:rPr>
                <w:rStyle w:val="TabletextChar"/>
              </w:rPr>
              <w:t xml:space="preserve"> will</w:t>
            </w:r>
            <w:r w:rsidRPr="00DF6E36">
              <w:rPr>
                <w:rStyle w:val="TabletextChar"/>
              </w:rPr>
              <w:t xml:space="preserve"> have the opportunity to extend their knowledge of using the mean and standard deviation to interpret data and investigate different techniques for finding the ‘line of best fit’ in bivariate numerical data sets</w:t>
            </w:r>
            <w:r w:rsidR="002D522C">
              <w:rPr>
                <w:rStyle w:val="TabletextChar"/>
              </w:rPr>
              <w:t>.</w:t>
            </w:r>
          </w:p>
        </w:tc>
      </w:tr>
    </w:tbl>
    <w:p w14:paraId="3E6AC28D" w14:textId="77777777" w:rsidR="00AB580C" w:rsidRPr="00306525" w:rsidRDefault="00DB6943" w:rsidP="006C7755">
      <w:pPr>
        <w:pStyle w:val="Heading1"/>
      </w:pPr>
      <w:r>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rsidRPr="00337583" w14:paraId="6B030B92" w14:textId="77777777" w:rsidTr="00655B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20B683AD" w14:textId="77777777" w:rsidR="00090A56" w:rsidRPr="00337583" w:rsidRDefault="00090A56" w:rsidP="00090A56">
            <w:pPr>
              <w:pStyle w:val="Tableheading"/>
            </w:pPr>
          </w:p>
        </w:tc>
        <w:tc>
          <w:tcPr>
            <w:tcW w:w="0" w:type="dxa"/>
            <w:gridSpan w:val="2"/>
          </w:tcPr>
          <w:p w14:paraId="14E63F45"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1</w:t>
            </w:r>
          </w:p>
        </w:tc>
        <w:tc>
          <w:tcPr>
            <w:tcW w:w="0" w:type="dxa"/>
            <w:gridSpan w:val="2"/>
          </w:tcPr>
          <w:p w14:paraId="6015EF1D"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2</w:t>
            </w:r>
          </w:p>
        </w:tc>
        <w:tc>
          <w:tcPr>
            <w:tcW w:w="0" w:type="dxa"/>
            <w:gridSpan w:val="2"/>
          </w:tcPr>
          <w:p w14:paraId="44831C74"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3</w:t>
            </w:r>
          </w:p>
        </w:tc>
        <w:tc>
          <w:tcPr>
            <w:tcW w:w="0" w:type="dxa"/>
            <w:gridSpan w:val="2"/>
          </w:tcPr>
          <w:p w14:paraId="74E75DB6" w14:textId="77777777" w:rsidR="00090A56" w:rsidRPr="00337583"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37583">
              <w:t>Term 4</w:t>
            </w:r>
          </w:p>
        </w:tc>
      </w:tr>
      <w:tr w:rsidR="000F425C" w:rsidRPr="00337583" w14:paraId="3E60665C" w14:textId="77777777" w:rsidTr="00655B58">
        <w:tc>
          <w:tcPr>
            <w:cnfStyle w:val="001000000000" w:firstRow="0" w:lastRow="0" w:firstColumn="1" w:lastColumn="0" w:oddVBand="0" w:evenVBand="0" w:oddHBand="0" w:evenHBand="0" w:firstRowFirstColumn="0" w:firstRowLastColumn="0" w:lastRowFirstColumn="0" w:lastRowLastColumn="0"/>
            <w:tcW w:w="0" w:type="dxa"/>
            <w:tcBorders>
              <w:top w:val="nil"/>
              <w:left w:val="nil"/>
            </w:tcBorders>
            <w:shd w:val="clear" w:color="auto" w:fill="auto"/>
          </w:tcPr>
          <w:p w14:paraId="6EDFD500" w14:textId="77777777" w:rsidR="000F425C" w:rsidRPr="00337583" w:rsidRDefault="000F425C" w:rsidP="00090A56">
            <w:pPr>
              <w:pStyle w:val="Tabletext"/>
            </w:pPr>
          </w:p>
        </w:tc>
        <w:tc>
          <w:tcPr>
            <w:tcW w:w="0" w:type="dxa"/>
          </w:tcPr>
          <w:p w14:paraId="1BFB4FAC" w14:textId="77777777" w:rsidR="000F425C" w:rsidRPr="00337583" w:rsidRDefault="002D522C"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0022393A" w:rsidRPr="00337583">
              <w:t xml:space="preserve"> — </w:t>
            </w:r>
            <w:r w:rsidR="00337583" w:rsidRPr="00337583">
              <w:t>Keeping the balance</w:t>
            </w:r>
          </w:p>
        </w:tc>
        <w:tc>
          <w:tcPr>
            <w:tcW w:w="0" w:type="dxa"/>
          </w:tcPr>
          <w:p w14:paraId="132C37E7" w14:textId="77777777" w:rsidR="000F425C" w:rsidRPr="00337583"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0" w:type="dxa"/>
          </w:tcPr>
          <w:p w14:paraId="22695829" w14:textId="77777777" w:rsidR="000F425C" w:rsidRPr="00337583" w:rsidRDefault="002D522C"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00C4641B" w:rsidRPr="00337583">
              <w:t xml:space="preserve"> — </w:t>
            </w:r>
            <w:r w:rsidR="004A746C" w:rsidRPr="004A746C">
              <w:t>Proving that you are right</w:t>
            </w:r>
          </w:p>
        </w:tc>
        <w:tc>
          <w:tcPr>
            <w:tcW w:w="0" w:type="dxa"/>
          </w:tcPr>
          <w:p w14:paraId="3E67DC0F"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0" w:type="dxa"/>
          </w:tcPr>
          <w:p w14:paraId="31720A03" w14:textId="77777777" w:rsidR="000F425C" w:rsidRPr="00337583" w:rsidRDefault="002D522C" w:rsidP="0022393A">
            <w:pPr>
              <w:pStyle w:val="Tablesubhead"/>
              <w:cnfStyle w:val="000000000000" w:firstRow="0" w:lastRow="0" w:firstColumn="0" w:lastColumn="0" w:oddVBand="0" w:evenVBand="0" w:oddHBand="0" w:evenHBand="0" w:firstRowFirstColumn="0" w:firstRowLastColumn="0" w:lastRowFirstColumn="0" w:lastRowLastColumn="0"/>
            </w:pPr>
            <w:r>
              <w:t>Unit 3</w:t>
            </w:r>
            <w:r w:rsidR="00C4641B" w:rsidRPr="00337583">
              <w:t xml:space="preserve"> — </w:t>
            </w:r>
            <w:r w:rsidR="004A746C" w:rsidRPr="004A746C">
              <w:t>Nothing in the world exists without a shape or a pattern</w:t>
            </w:r>
          </w:p>
        </w:tc>
        <w:tc>
          <w:tcPr>
            <w:tcW w:w="0" w:type="dxa"/>
          </w:tcPr>
          <w:p w14:paraId="7EF6D167"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c>
          <w:tcPr>
            <w:tcW w:w="0" w:type="dxa"/>
          </w:tcPr>
          <w:p w14:paraId="5DCC6516" w14:textId="77777777" w:rsidR="000F425C" w:rsidRPr="00337583" w:rsidRDefault="002D522C" w:rsidP="0022393A">
            <w:pPr>
              <w:pStyle w:val="Tablesubhead"/>
              <w:cnfStyle w:val="000000000000" w:firstRow="0" w:lastRow="0" w:firstColumn="0" w:lastColumn="0" w:oddVBand="0" w:evenVBand="0" w:oddHBand="0" w:evenHBand="0" w:firstRowFirstColumn="0" w:firstRowLastColumn="0" w:lastRowFirstColumn="0" w:lastRowLastColumn="0"/>
            </w:pPr>
            <w:r>
              <w:t>Unit 4</w:t>
            </w:r>
            <w:r w:rsidR="00C4641B" w:rsidRPr="00337583">
              <w:t xml:space="preserve"> — </w:t>
            </w:r>
            <w:r w:rsidR="004A746C" w:rsidRPr="004A746C">
              <w:t>Be careful making claims</w:t>
            </w:r>
          </w:p>
        </w:tc>
        <w:tc>
          <w:tcPr>
            <w:tcW w:w="0" w:type="dxa"/>
          </w:tcPr>
          <w:p w14:paraId="054EE2D3" w14:textId="77777777" w:rsidR="000F425C" w:rsidRPr="00337583"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37583">
              <w:t>Week/s</w:t>
            </w:r>
          </w:p>
        </w:tc>
      </w:tr>
      <w:tr w:rsidR="000F425C" w:rsidRPr="00337583" w14:paraId="458701F7" w14:textId="77777777" w:rsidTr="00655B58">
        <w:trPr>
          <w:cantSplit/>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1343A99F" w14:textId="77777777" w:rsidR="000F425C" w:rsidRPr="00337583" w:rsidRDefault="009D30E3" w:rsidP="009D30E3">
            <w:pPr>
              <w:pStyle w:val="Tablesubhead"/>
              <w:ind w:left="113" w:right="113"/>
              <w:jc w:val="center"/>
            </w:pPr>
            <w:r w:rsidRPr="00337583">
              <w:t>Assessment</w:t>
            </w:r>
          </w:p>
        </w:tc>
        <w:tc>
          <w:tcPr>
            <w:tcW w:w="0" w:type="dxa"/>
          </w:tcPr>
          <w:p w14:paraId="25CEF634" w14:textId="77777777" w:rsidR="00AD0573" w:rsidRDefault="00AD057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Technique: Examination</w:t>
            </w:r>
          </w:p>
          <w:p w14:paraId="0FC800A3" w14:textId="77777777" w:rsidR="00DB16D7" w:rsidRDefault="00DB16D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06CD153B" w14:textId="77777777" w:rsidR="00AD0573" w:rsidRDefault="009C493D"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w:t>
            </w:r>
            <w:r w:rsidRPr="00337583">
              <w:rPr>
                <w:rStyle w:val="TabletextChar"/>
              </w:rPr>
              <w:t xml:space="preserve"> </w:t>
            </w:r>
            <w:r w:rsidR="00337583" w:rsidRPr="00337583">
              <w:rPr>
                <w:rStyle w:val="TabletextChar"/>
              </w:rPr>
              <w:t>examination</w:t>
            </w:r>
            <w:r>
              <w:rPr>
                <w:rStyle w:val="TabletextChar"/>
              </w:rPr>
              <w:t xml:space="preserve">, </w:t>
            </w:r>
            <w:r w:rsidR="00337583" w:rsidRPr="00337583">
              <w:rPr>
                <w:rStyle w:val="TabletextChar"/>
              </w:rPr>
              <w:t xml:space="preserve">students </w:t>
            </w:r>
            <w:r>
              <w:rPr>
                <w:rStyle w:val="TabletextChar"/>
              </w:rPr>
              <w:t>will</w:t>
            </w:r>
            <w:r w:rsidRPr="00337583">
              <w:rPr>
                <w:rStyle w:val="TabletextChar"/>
              </w:rPr>
              <w:t xml:space="preserve"> </w:t>
            </w:r>
            <w:r w:rsidR="00337583" w:rsidRPr="00337583">
              <w:rPr>
                <w:rStyle w:val="TabletextChar"/>
              </w:rPr>
              <w:t>answer short response questions that focus on the mathematical concepts of algebra and linear relationships.</w:t>
            </w:r>
          </w:p>
          <w:p w14:paraId="04B42BC3" w14:textId="77777777" w:rsidR="00164B98" w:rsidRDefault="00164B98"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0EFF9B94" w14:textId="77777777" w:rsidR="00164B98" w:rsidRDefault="00164B98"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Format: Written</w:t>
            </w:r>
          </w:p>
          <w:p w14:paraId="7F003808" w14:textId="77777777" w:rsidR="00AD0573" w:rsidRPr="00655B58" w:rsidRDefault="00337583"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A </w:t>
            </w:r>
            <w:r w:rsidR="009C493D" w:rsidRPr="00655B58">
              <w:rPr>
                <w:rStyle w:val="TabletextChar"/>
                <w:szCs w:val="24"/>
                <w14:numForm w14:val="default"/>
              </w:rPr>
              <w:t xml:space="preserve">— </w:t>
            </w:r>
            <w:r w:rsidRPr="00655B58">
              <w:rPr>
                <w:rStyle w:val="TabletextChar"/>
                <w:szCs w:val="24"/>
                <w14:numForm w14:val="default"/>
              </w:rPr>
              <w:t>60% simple familiar</w:t>
            </w:r>
            <w:r w:rsidR="00164B98" w:rsidRPr="00655B58">
              <w:rPr>
                <w:rStyle w:val="TabletextChar"/>
                <w:szCs w:val="24"/>
                <w14:numForm w14:val="default"/>
              </w:rPr>
              <w:t xml:space="preserve"> questions</w:t>
            </w:r>
          </w:p>
          <w:p w14:paraId="46727EBF" w14:textId="77777777" w:rsidR="002D522C" w:rsidRPr="00655B58" w:rsidRDefault="00337583"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B </w:t>
            </w:r>
            <w:r w:rsidR="009C493D" w:rsidRPr="00655B58">
              <w:rPr>
                <w:rStyle w:val="TabletextChar"/>
                <w:szCs w:val="24"/>
                <w14:numForm w14:val="default"/>
              </w:rPr>
              <w:t xml:space="preserve">— </w:t>
            </w:r>
            <w:r w:rsidRPr="00655B58">
              <w:rPr>
                <w:rStyle w:val="TabletextChar"/>
                <w:szCs w:val="24"/>
                <w14:numForm w14:val="default"/>
              </w:rPr>
              <w:t xml:space="preserve">20% </w:t>
            </w:r>
            <w:r w:rsidR="00164B98" w:rsidRPr="00655B58">
              <w:rPr>
                <w:rStyle w:val="TabletextChar"/>
                <w:szCs w:val="24"/>
                <w14:numForm w14:val="default"/>
              </w:rPr>
              <w:t>c</w:t>
            </w:r>
            <w:r w:rsidRPr="00655B58">
              <w:rPr>
                <w:rStyle w:val="TabletextChar"/>
                <w:szCs w:val="24"/>
                <w14:numForm w14:val="default"/>
              </w:rPr>
              <w:t xml:space="preserve">omplex familiar and 20% </w:t>
            </w:r>
            <w:r w:rsidR="00164B98" w:rsidRPr="00655B58">
              <w:rPr>
                <w:rStyle w:val="TabletextChar"/>
                <w:szCs w:val="24"/>
                <w14:numForm w14:val="default"/>
              </w:rPr>
              <w:t>u</w:t>
            </w:r>
            <w:r w:rsidRPr="00655B58">
              <w:rPr>
                <w:rStyle w:val="TabletextChar"/>
                <w:szCs w:val="24"/>
                <w14:numForm w14:val="default"/>
              </w:rPr>
              <w:t>nfamiliar</w:t>
            </w:r>
            <w:r w:rsidR="00164B98" w:rsidRPr="00655B58">
              <w:rPr>
                <w:rStyle w:val="TabletextChar"/>
                <w:szCs w:val="24"/>
                <w14:numForm w14:val="default"/>
              </w:rPr>
              <w:t xml:space="preserve"> questions</w:t>
            </w:r>
          </w:p>
          <w:p w14:paraId="31753855" w14:textId="77777777" w:rsidR="00BF20BD" w:rsidRPr="00337583" w:rsidRDefault="00337583" w:rsidP="00337583">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37583">
              <w:rPr>
                <w:rStyle w:val="TabletextChar"/>
              </w:rPr>
              <w:br/>
            </w:r>
            <w:r w:rsidR="002D522C" w:rsidRPr="00337583">
              <w:rPr>
                <w:rStyle w:val="TabletextChar"/>
              </w:rPr>
              <w:t>Conditions:</w:t>
            </w:r>
            <w:r w:rsidR="002925CE">
              <w:rPr>
                <w:rStyle w:val="TabletextChar"/>
              </w:rPr>
              <w:t xml:space="preserve"> </w:t>
            </w:r>
            <w:r w:rsidR="002D522C" w:rsidRPr="00337583">
              <w:rPr>
                <w:rStyle w:val="TabletextChar"/>
              </w:rPr>
              <w:t xml:space="preserve">60 minutes including </w:t>
            </w:r>
            <w:r w:rsidR="00AD0573">
              <w:rPr>
                <w:rStyle w:val="TabletextChar"/>
              </w:rPr>
              <w:t xml:space="preserve">10 minutes </w:t>
            </w:r>
            <w:r w:rsidR="002D522C" w:rsidRPr="00337583">
              <w:rPr>
                <w:rStyle w:val="TabletextChar"/>
              </w:rPr>
              <w:t>perusal</w:t>
            </w:r>
            <w:r w:rsidRPr="00337583">
              <w:rPr>
                <w:rStyle w:val="TabletextChar"/>
              </w:rPr>
              <w:br/>
            </w:r>
          </w:p>
          <w:p w14:paraId="78FEF1A3" w14:textId="77777777" w:rsidR="00FA21B5" w:rsidRPr="00337583" w:rsidRDefault="00FA21B5" w:rsidP="00BF20BD">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6788F578" w14:textId="77777777" w:rsidR="000F425C" w:rsidRPr="00337583" w:rsidRDefault="00337583" w:rsidP="003D666C">
            <w:pPr>
              <w:pStyle w:val="Tabletext"/>
              <w:cnfStyle w:val="000000000000" w:firstRow="0" w:lastRow="0" w:firstColumn="0" w:lastColumn="0" w:oddVBand="0" w:evenVBand="0" w:oddHBand="0" w:evenHBand="0" w:firstRowFirstColumn="0" w:firstRowLastColumn="0" w:lastRowFirstColumn="0" w:lastRowLastColumn="0"/>
            </w:pPr>
            <w:r w:rsidRPr="00337583">
              <w:t>9</w:t>
            </w:r>
          </w:p>
        </w:tc>
        <w:tc>
          <w:tcPr>
            <w:tcW w:w="0" w:type="dxa"/>
          </w:tcPr>
          <w:p w14:paraId="0C3DF528" w14:textId="77777777" w:rsidR="00AD0573" w:rsidRDefault="00AD057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Technique: Project</w:t>
            </w:r>
          </w:p>
          <w:p w14:paraId="3FF2BCF9" w14:textId="77777777" w:rsidR="00DB16D7" w:rsidRDefault="00DB16D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5E487432" w14:textId="77777777" w:rsidR="00164B98" w:rsidRDefault="00831C1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w:t>
            </w:r>
            <w:r w:rsidRPr="004A746C">
              <w:rPr>
                <w:rStyle w:val="TabletextChar"/>
              </w:rPr>
              <w:t xml:space="preserve"> </w:t>
            </w:r>
            <w:r w:rsidR="004A746C" w:rsidRPr="004A746C">
              <w:rPr>
                <w:rStyle w:val="TabletextChar"/>
              </w:rPr>
              <w:t>problem</w:t>
            </w:r>
            <w:r w:rsidR="002925CE">
              <w:rPr>
                <w:rStyle w:val="TabletextChar"/>
              </w:rPr>
              <w:t>-</w:t>
            </w:r>
            <w:r w:rsidR="004A746C" w:rsidRPr="004A746C">
              <w:rPr>
                <w:rStyle w:val="TabletextChar"/>
              </w:rPr>
              <w:t>solving and modelling task</w:t>
            </w:r>
            <w:r>
              <w:rPr>
                <w:rStyle w:val="TabletextChar"/>
              </w:rPr>
              <w:t xml:space="preserve">, </w:t>
            </w:r>
            <w:r w:rsidR="004A746C" w:rsidRPr="004A746C">
              <w:rPr>
                <w:rStyle w:val="TabletextChar"/>
              </w:rPr>
              <w:t>students</w:t>
            </w:r>
            <w:r>
              <w:rPr>
                <w:rStyle w:val="TabletextChar"/>
              </w:rPr>
              <w:t xml:space="preserve"> will</w:t>
            </w:r>
            <w:r w:rsidR="004A746C" w:rsidRPr="004A746C">
              <w:rPr>
                <w:rStyle w:val="TabletextChar"/>
              </w:rPr>
              <w:t xml:space="preserve"> use trigonometry and geometric reasoning to determine the length of the proposed pedestrian bridge between two school buildings.</w:t>
            </w:r>
            <w:r w:rsidR="004A746C">
              <w:rPr>
                <w:rStyle w:val="TabletextChar"/>
              </w:rPr>
              <w:br/>
            </w:r>
            <w:r w:rsidR="004A746C">
              <w:rPr>
                <w:rStyle w:val="TabletextChar"/>
              </w:rPr>
              <w:br/>
            </w:r>
            <w:r w:rsidR="00164B98">
              <w:rPr>
                <w:rStyle w:val="TabletextChar"/>
              </w:rPr>
              <w:t>Format: Written</w:t>
            </w:r>
          </w:p>
          <w:p w14:paraId="1C9E96E8" w14:textId="77777777" w:rsidR="00164B98" w:rsidRDefault="00164B98"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0B0FF59C" w14:textId="77777777" w:rsidR="002925CE" w:rsidRDefault="004A746C"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sidRPr="004A746C">
              <w:rPr>
                <w:rStyle w:val="TabletextChar"/>
              </w:rPr>
              <w:t>Conditions:</w:t>
            </w:r>
          </w:p>
          <w:p w14:paraId="7E4E2567" w14:textId="77777777" w:rsidR="002925CE" w:rsidRPr="00655B58" w:rsidRDefault="004A746C" w:rsidP="002925CE">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14:numForm w14:val="default"/>
              </w:rPr>
            </w:pPr>
            <w:r w:rsidRPr="004A746C">
              <w:rPr>
                <w:rStyle w:val="TabletextChar"/>
              </w:rPr>
              <w:t>4 weeks</w:t>
            </w:r>
          </w:p>
          <w:p w14:paraId="16FDE86A" w14:textId="77777777" w:rsidR="007F5EDE" w:rsidRPr="00337583" w:rsidRDefault="004A746C" w:rsidP="00655B58">
            <w:pPr>
              <w:pStyle w:val="TableBulle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4A746C">
              <w:rPr>
                <w:rStyle w:val="TabletextChar"/>
              </w:rPr>
              <w:t>600–800 words, excluding appendixes</w:t>
            </w:r>
            <w:r>
              <w:rPr>
                <w:rStyle w:val="TabletextChar"/>
              </w:rPr>
              <w:br/>
            </w:r>
          </w:p>
          <w:p w14:paraId="25C9F80F" w14:textId="77777777" w:rsidR="000F425C" w:rsidRPr="00337583" w:rsidRDefault="000F425C" w:rsidP="007F5EDE">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503E3136" w14:textId="77777777" w:rsidR="000F425C" w:rsidRPr="00337583" w:rsidRDefault="004A746C" w:rsidP="003D666C">
            <w:pPr>
              <w:pStyle w:val="Tabletext"/>
              <w:cnfStyle w:val="000000000000" w:firstRow="0" w:lastRow="0" w:firstColumn="0" w:lastColumn="0" w:oddVBand="0" w:evenVBand="0" w:oddHBand="0" w:evenHBand="0" w:firstRowFirstColumn="0" w:firstRowLastColumn="0" w:lastRowFirstColumn="0" w:lastRowLastColumn="0"/>
            </w:pPr>
            <w:r>
              <w:t>9</w:t>
            </w:r>
          </w:p>
        </w:tc>
        <w:tc>
          <w:tcPr>
            <w:tcW w:w="0" w:type="dxa"/>
          </w:tcPr>
          <w:p w14:paraId="7CF2D5AE" w14:textId="77777777" w:rsidR="00AD0573" w:rsidRDefault="00AD057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Technique: Examination</w:t>
            </w:r>
          </w:p>
          <w:p w14:paraId="0AFC7817" w14:textId="77777777" w:rsidR="00DB16D7" w:rsidRDefault="00DB16D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1297B1D9" w14:textId="77777777" w:rsidR="00955A59" w:rsidRDefault="00831C1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w:t>
            </w:r>
            <w:r w:rsidRPr="004A746C">
              <w:rPr>
                <w:rStyle w:val="TabletextChar"/>
              </w:rPr>
              <w:t xml:space="preserve"> </w:t>
            </w:r>
            <w:r w:rsidR="004A746C" w:rsidRPr="004A746C">
              <w:rPr>
                <w:rStyle w:val="TabletextChar"/>
              </w:rPr>
              <w:t>examination</w:t>
            </w:r>
            <w:r>
              <w:rPr>
                <w:rStyle w:val="TabletextChar"/>
              </w:rPr>
              <w:t xml:space="preserve">, </w:t>
            </w:r>
            <w:r w:rsidR="004A746C" w:rsidRPr="004A746C">
              <w:rPr>
                <w:rStyle w:val="TabletextChar"/>
              </w:rPr>
              <w:t xml:space="preserve">students </w:t>
            </w:r>
            <w:r>
              <w:rPr>
                <w:rStyle w:val="TabletextChar"/>
              </w:rPr>
              <w:t>will</w:t>
            </w:r>
            <w:r w:rsidR="004A746C" w:rsidRPr="004A746C">
              <w:rPr>
                <w:rStyle w:val="TabletextChar"/>
              </w:rPr>
              <w:t xml:space="preserve"> answer short response questions </w:t>
            </w:r>
            <w:r w:rsidR="00B8249B" w:rsidRPr="004A746C">
              <w:rPr>
                <w:rStyle w:val="TabletextChar"/>
              </w:rPr>
              <w:t>that focus</w:t>
            </w:r>
            <w:r w:rsidR="004A746C" w:rsidRPr="004A746C">
              <w:rPr>
                <w:rStyle w:val="TabletextChar"/>
              </w:rPr>
              <w:t xml:space="preserve"> on the mathematical concepts of algebra, non</w:t>
            </w:r>
            <w:r>
              <w:rPr>
                <w:rStyle w:val="TabletextChar"/>
              </w:rPr>
              <w:noBreakHyphen/>
            </w:r>
            <w:r w:rsidR="004A746C" w:rsidRPr="004A746C">
              <w:rPr>
                <w:rStyle w:val="TabletextChar"/>
              </w:rPr>
              <w:t>linear relationships, volume and area.</w:t>
            </w:r>
            <w:r w:rsidR="00955A59">
              <w:rPr>
                <w:rStyle w:val="TabletextChar"/>
              </w:rPr>
              <w:t xml:space="preserve"> </w:t>
            </w:r>
          </w:p>
          <w:p w14:paraId="608E7ABE" w14:textId="77777777" w:rsidR="00164B98" w:rsidRDefault="00164B98"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5507AB9B" w14:textId="77777777" w:rsidR="00164B98" w:rsidRDefault="00164B98"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Format: Written</w:t>
            </w:r>
          </w:p>
          <w:p w14:paraId="224F3852" w14:textId="77777777" w:rsidR="00955A59" w:rsidRPr="00655B58" w:rsidRDefault="004A746C"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A </w:t>
            </w:r>
            <w:r w:rsidR="009C493D">
              <w:rPr>
                <w:rStyle w:val="TabletextChar"/>
                <w:szCs w:val="24"/>
                <w14:numForm w14:val="default"/>
              </w:rPr>
              <w:t>—</w:t>
            </w:r>
            <w:r w:rsidR="009C493D" w:rsidRPr="00655B58">
              <w:rPr>
                <w:rStyle w:val="TabletextChar"/>
                <w:szCs w:val="24"/>
                <w14:numForm w14:val="default"/>
              </w:rPr>
              <w:t xml:space="preserve"> </w:t>
            </w:r>
            <w:r w:rsidRPr="00655B58">
              <w:rPr>
                <w:rStyle w:val="TabletextChar"/>
                <w:szCs w:val="24"/>
                <w14:numForm w14:val="default"/>
              </w:rPr>
              <w:t>60% simple familiar</w:t>
            </w:r>
            <w:r w:rsidR="00164B98" w:rsidRPr="00655B58">
              <w:rPr>
                <w:rStyle w:val="TabletextChar"/>
                <w:szCs w:val="24"/>
                <w14:numForm w14:val="default"/>
              </w:rPr>
              <w:t xml:space="preserve"> questions</w:t>
            </w:r>
          </w:p>
          <w:p w14:paraId="5430618D" w14:textId="77777777" w:rsidR="00955A59" w:rsidRPr="00655B58" w:rsidRDefault="004A746C"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B </w:t>
            </w:r>
            <w:r w:rsidR="009C493D">
              <w:rPr>
                <w:rStyle w:val="TabletextChar"/>
                <w:szCs w:val="24"/>
                <w14:numForm w14:val="default"/>
              </w:rPr>
              <w:t>—</w:t>
            </w:r>
            <w:r w:rsidR="009C493D" w:rsidRPr="00655B58">
              <w:rPr>
                <w:rStyle w:val="TabletextChar"/>
                <w:szCs w:val="24"/>
                <w14:numForm w14:val="default"/>
              </w:rPr>
              <w:t xml:space="preserve"> </w:t>
            </w:r>
            <w:r w:rsidRPr="00655B58">
              <w:rPr>
                <w:rStyle w:val="TabletextChar"/>
                <w:szCs w:val="24"/>
                <w14:numForm w14:val="default"/>
              </w:rPr>
              <w:t>20% complex familiar and 20%</w:t>
            </w:r>
            <w:r w:rsidR="009C493D">
              <w:rPr>
                <w:rStyle w:val="TabletextChar"/>
                <w:szCs w:val="24"/>
                <w14:numForm w14:val="default"/>
              </w:rPr>
              <w:t xml:space="preserve"> </w:t>
            </w:r>
            <w:r w:rsidR="00873F23" w:rsidRPr="00655B58">
              <w:rPr>
                <w:rStyle w:val="TabletextChar"/>
                <w:szCs w:val="24"/>
                <w14:numForm w14:val="default"/>
              </w:rPr>
              <w:t>u</w:t>
            </w:r>
            <w:r w:rsidRPr="00655B58">
              <w:rPr>
                <w:rStyle w:val="TabletextChar"/>
                <w:szCs w:val="24"/>
                <w14:numForm w14:val="default"/>
              </w:rPr>
              <w:t>nfamiliar</w:t>
            </w:r>
            <w:r w:rsidR="00164B98" w:rsidRPr="00655B58">
              <w:rPr>
                <w:rStyle w:val="TabletextChar"/>
                <w:szCs w:val="24"/>
                <w14:numForm w14:val="default"/>
              </w:rPr>
              <w:t xml:space="preserve"> questions</w:t>
            </w:r>
          </w:p>
          <w:p w14:paraId="5F1B4E2A" w14:textId="77777777" w:rsidR="000F425C" w:rsidRPr="004A746C" w:rsidRDefault="004A746C" w:rsidP="00F4713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Pr>
                <w:rStyle w:val="TabletextChar"/>
              </w:rPr>
              <w:br/>
            </w:r>
            <w:r w:rsidR="00955A59" w:rsidRPr="004A746C">
              <w:rPr>
                <w:rStyle w:val="TabletextChar"/>
              </w:rPr>
              <w:t>Conditions:</w:t>
            </w:r>
            <w:r w:rsidR="00831C17">
              <w:rPr>
                <w:rStyle w:val="TabletextChar"/>
              </w:rPr>
              <w:t xml:space="preserve"> </w:t>
            </w:r>
            <w:r w:rsidR="00955A59" w:rsidRPr="004A746C">
              <w:rPr>
                <w:rStyle w:val="TabletextChar"/>
              </w:rPr>
              <w:t xml:space="preserve">70 minutes including </w:t>
            </w:r>
            <w:r w:rsidR="00955A59">
              <w:rPr>
                <w:rStyle w:val="TabletextChar"/>
              </w:rPr>
              <w:t xml:space="preserve">10 minutes </w:t>
            </w:r>
            <w:r w:rsidR="00955A59" w:rsidRPr="004A746C">
              <w:rPr>
                <w:rStyle w:val="TabletextChar"/>
              </w:rPr>
              <w:t>perusal</w:t>
            </w:r>
          </w:p>
        </w:tc>
        <w:tc>
          <w:tcPr>
            <w:tcW w:w="0" w:type="dxa"/>
          </w:tcPr>
          <w:p w14:paraId="35928956" w14:textId="77777777" w:rsidR="000F425C" w:rsidRPr="00337583" w:rsidRDefault="004A746C" w:rsidP="003D666C">
            <w:pPr>
              <w:pStyle w:val="Tabletext"/>
              <w:cnfStyle w:val="000000000000" w:firstRow="0" w:lastRow="0" w:firstColumn="0" w:lastColumn="0" w:oddVBand="0" w:evenVBand="0" w:oddHBand="0" w:evenHBand="0" w:firstRowFirstColumn="0" w:firstRowLastColumn="0" w:lastRowFirstColumn="0" w:lastRowLastColumn="0"/>
            </w:pPr>
            <w:r>
              <w:t>9</w:t>
            </w:r>
          </w:p>
        </w:tc>
        <w:tc>
          <w:tcPr>
            <w:tcW w:w="0" w:type="dxa"/>
          </w:tcPr>
          <w:p w14:paraId="51AB672E" w14:textId="77777777" w:rsidR="00AD0573" w:rsidRDefault="00AD057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Technique: Examination</w:t>
            </w:r>
          </w:p>
          <w:p w14:paraId="37A23FBB" w14:textId="77777777" w:rsidR="00DB16D7" w:rsidRDefault="00DB16D7"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6673B19D" w14:textId="77777777" w:rsidR="004B0792" w:rsidRDefault="009049DE"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In this</w:t>
            </w:r>
            <w:r w:rsidR="004A746C" w:rsidRPr="004A746C">
              <w:rPr>
                <w:rStyle w:val="TabletextChar"/>
              </w:rPr>
              <w:t xml:space="preserve"> examination</w:t>
            </w:r>
            <w:r>
              <w:rPr>
                <w:rStyle w:val="TabletextChar"/>
              </w:rPr>
              <w:t>, students</w:t>
            </w:r>
            <w:r w:rsidR="004A746C" w:rsidRPr="004A746C">
              <w:rPr>
                <w:rStyle w:val="TabletextChar"/>
              </w:rPr>
              <w:t xml:space="preserve"> will answer short response questions that focus on the mathematical concepts of financial mathematics, chance, data representation and interpretation.</w:t>
            </w:r>
            <w:r w:rsidR="004B0792">
              <w:rPr>
                <w:rStyle w:val="TabletextChar"/>
              </w:rPr>
              <w:t xml:space="preserve"> </w:t>
            </w:r>
          </w:p>
          <w:p w14:paraId="7F71B537" w14:textId="77777777" w:rsidR="00873F23" w:rsidRDefault="00873F2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p w14:paraId="4841EF5F" w14:textId="77777777" w:rsidR="00873F23" w:rsidRDefault="00873F23"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Format: Written</w:t>
            </w:r>
          </w:p>
          <w:p w14:paraId="2488FB09" w14:textId="77777777" w:rsidR="004B0792" w:rsidRPr="00655B58" w:rsidRDefault="004A746C"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A </w:t>
            </w:r>
            <w:r w:rsidR="002925CE" w:rsidRPr="00655B58">
              <w:rPr>
                <w:rStyle w:val="TabletextChar"/>
                <w:szCs w:val="24"/>
                <w14:numForm w14:val="default"/>
              </w:rPr>
              <w:t xml:space="preserve">— </w:t>
            </w:r>
            <w:r w:rsidRPr="00655B58">
              <w:rPr>
                <w:rStyle w:val="TabletextChar"/>
                <w:szCs w:val="24"/>
                <w14:numForm w14:val="default"/>
              </w:rPr>
              <w:t>60% simple familiar</w:t>
            </w:r>
            <w:r w:rsidR="00873F23" w:rsidRPr="00655B58">
              <w:rPr>
                <w:rStyle w:val="TabletextChar"/>
                <w:szCs w:val="24"/>
                <w14:numForm w14:val="default"/>
              </w:rPr>
              <w:t xml:space="preserve"> questions</w:t>
            </w:r>
            <w:r w:rsidR="004B0792" w:rsidRPr="00655B58">
              <w:rPr>
                <w:rStyle w:val="TabletextChar"/>
                <w:szCs w:val="24"/>
                <w14:numForm w14:val="default"/>
              </w:rPr>
              <w:t xml:space="preserve"> </w:t>
            </w:r>
          </w:p>
          <w:p w14:paraId="361354D9" w14:textId="77777777" w:rsidR="004B0792" w:rsidRPr="00655B58" w:rsidRDefault="004A746C"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655B58">
              <w:rPr>
                <w:rStyle w:val="TabletextChar"/>
                <w:szCs w:val="24"/>
                <w14:numForm w14:val="default"/>
              </w:rPr>
              <w:t xml:space="preserve">Part B </w:t>
            </w:r>
            <w:r w:rsidR="002925CE" w:rsidRPr="00655B58">
              <w:rPr>
                <w:rStyle w:val="TabletextChar"/>
                <w:szCs w:val="24"/>
                <w14:numForm w14:val="default"/>
              </w:rPr>
              <w:t xml:space="preserve">— </w:t>
            </w:r>
            <w:r w:rsidRPr="00655B58">
              <w:rPr>
                <w:rStyle w:val="TabletextChar"/>
                <w:szCs w:val="24"/>
                <w14:numForm w14:val="default"/>
              </w:rPr>
              <w:t>20% complex familiar and 20%</w:t>
            </w:r>
            <w:r w:rsidR="002925CE" w:rsidRPr="00655B58">
              <w:rPr>
                <w:rStyle w:val="TabletextChar"/>
                <w:szCs w:val="24"/>
                <w14:numForm w14:val="default"/>
              </w:rPr>
              <w:t xml:space="preserve"> </w:t>
            </w:r>
            <w:r w:rsidR="00873F23" w:rsidRPr="00655B58">
              <w:rPr>
                <w:rStyle w:val="TabletextChar"/>
                <w:szCs w:val="24"/>
                <w14:numForm w14:val="default"/>
              </w:rPr>
              <w:t>u</w:t>
            </w:r>
            <w:r w:rsidRPr="00655B58">
              <w:rPr>
                <w:rStyle w:val="TabletextChar"/>
                <w:szCs w:val="24"/>
                <w14:numForm w14:val="default"/>
              </w:rPr>
              <w:t>nfamiliar</w:t>
            </w:r>
            <w:r w:rsidR="00873F23" w:rsidRPr="00655B58">
              <w:rPr>
                <w:rStyle w:val="TabletextChar"/>
                <w:szCs w:val="24"/>
                <w14:numForm w14:val="default"/>
              </w:rPr>
              <w:t xml:space="preserve"> questions</w:t>
            </w:r>
          </w:p>
          <w:p w14:paraId="1EAAD4BD" w14:textId="77777777" w:rsidR="004B0792" w:rsidRPr="004A746C" w:rsidRDefault="004A746C" w:rsidP="004B079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br/>
            </w:r>
            <w:r w:rsidR="004B0792" w:rsidRPr="004A746C">
              <w:rPr>
                <w:rStyle w:val="TabletextChar"/>
              </w:rPr>
              <w:t>Conditions:</w:t>
            </w:r>
          </w:p>
          <w:p w14:paraId="1AB00A37" w14:textId="77777777" w:rsidR="004B0792" w:rsidRDefault="00F47130" w:rsidP="00655B58">
            <w:pPr>
              <w:pStyle w:val="TableBulle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T</w:t>
            </w:r>
            <w:r w:rsidR="004B0792" w:rsidRPr="004A746C">
              <w:rPr>
                <w:rStyle w:val="TabletextChar"/>
              </w:rPr>
              <w:t>ime</w:t>
            </w:r>
            <w:r w:rsidR="004B0792">
              <w:rPr>
                <w:rStyle w:val="TabletextChar"/>
              </w:rPr>
              <w:t>:</w:t>
            </w:r>
            <w:r w:rsidR="004B0792" w:rsidRPr="004A746C">
              <w:rPr>
                <w:rStyle w:val="TabletextChar"/>
              </w:rPr>
              <w:t xml:space="preserve"> 70 minutes including </w:t>
            </w:r>
            <w:r w:rsidR="004B0792">
              <w:rPr>
                <w:rStyle w:val="TabletextChar"/>
              </w:rPr>
              <w:t xml:space="preserve">10 minutes </w:t>
            </w:r>
            <w:r w:rsidR="004B0792" w:rsidRPr="004A746C">
              <w:rPr>
                <w:rStyle w:val="TabletextChar"/>
              </w:rPr>
              <w:t>perusal</w:t>
            </w:r>
          </w:p>
          <w:p w14:paraId="6E849241" w14:textId="77777777" w:rsidR="00193962" w:rsidRPr="00655B58" w:rsidRDefault="004A746C" w:rsidP="00193962">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14:numForm w14:val="default"/>
              </w:rPr>
            </w:pPr>
            <w:r w:rsidRPr="004A746C">
              <w:rPr>
                <w:rStyle w:val="TabletextChar"/>
              </w:rPr>
              <w:t>Use of technology is required</w:t>
            </w:r>
          </w:p>
          <w:p w14:paraId="6EEBC33E" w14:textId="77777777" w:rsidR="00193962" w:rsidRPr="00655B58" w:rsidRDefault="004A746C" w:rsidP="00193962">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shd w:val="clear" w:color="auto" w:fill="F7EA9F" w:themeFill="accent6"/>
                <w14:numForm w14:val="default"/>
              </w:rPr>
            </w:pPr>
            <w:r w:rsidRPr="004A746C">
              <w:rPr>
                <w:rStyle w:val="TabletextChar"/>
              </w:rPr>
              <w:t xml:space="preserve">Formula sheet </w:t>
            </w:r>
            <w:r w:rsidR="00193962">
              <w:rPr>
                <w:rStyle w:val="TabletextChar"/>
              </w:rPr>
              <w:t xml:space="preserve">is </w:t>
            </w:r>
            <w:r w:rsidRPr="004A746C">
              <w:rPr>
                <w:rStyle w:val="TabletextChar"/>
              </w:rPr>
              <w:t>provided</w:t>
            </w:r>
          </w:p>
          <w:p w14:paraId="65AE16A2" w14:textId="77777777" w:rsidR="000F425C" w:rsidRPr="004A746C" w:rsidRDefault="004A746C" w:rsidP="00655B58">
            <w:pPr>
              <w:pStyle w:val="TableBulle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4A746C">
              <w:rPr>
                <w:rStyle w:val="TabletextChar"/>
              </w:rPr>
              <w:t>Notes are not permitted</w:t>
            </w:r>
          </w:p>
        </w:tc>
        <w:tc>
          <w:tcPr>
            <w:tcW w:w="0" w:type="dxa"/>
          </w:tcPr>
          <w:p w14:paraId="62A74175" w14:textId="77777777" w:rsidR="000F425C" w:rsidRPr="00337583" w:rsidRDefault="004A746C" w:rsidP="003D666C">
            <w:pPr>
              <w:pStyle w:val="Tabletext"/>
              <w:cnfStyle w:val="000000000000" w:firstRow="0" w:lastRow="0" w:firstColumn="0" w:lastColumn="0" w:oddVBand="0" w:evenVBand="0" w:oddHBand="0" w:evenHBand="0" w:firstRowFirstColumn="0" w:firstRowLastColumn="0" w:lastRowFirstColumn="0" w:lastRowLastColumn="0"/>
            </w:pPr>
            <w:r>
              <w:t>8</w:t>
            </w:r>
          </w:p>
        </w:tc>
      </w:tr>
      <w:tr w:rsidR="004929B2" w:rsidRPr="00337583" w14:paraId="78283775" w14:textId="77777777" w:rsidTr="000A64FB">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763401D" w14:textId="77777777" w:rsidR="004929B2" w:rsidRPr="00337583" w:rsidRDefault="004929B2" w:rsidP="009D30E3">
            <w:pPr>
              <w:pStyle w:val="Tablesubhead"/>
              <w:ind w:left="113" w:right="113"/>
              <w:jc w:val="center"/>
            </w:pPr>
            <w:r w:rsidRPr="00337583">
              <w:t>Achievement standard</w:t>
            </w:r>
          </w:p>
        </w:tc>
        <w:tc>
          <w:tcPr>
            <w:tcW w:w="4144" w:type="dxa"/>
          </w:tcPr>
          <w:p w14:paraId="659F7B24" w14:textId="77777777" w:rsidR="004929B2" w:rsidRDefault="004929B2" w:rsidP="004929B2">
            <w:pPr>
              <w:pStyle w:val="Tabletext"/>
              <w:widowControl w:val="0"/>
              <w:cnfStyle w:val="000000000000" w:firstRow="0" w:lastRow="0" w:firstColumn="0" w:lastColumn="0" w:oddVBand="0" w:evenVBand="0" w:oddHBand="0" w:evenHBand="0" w:firstRowFirstColumn="0" w:firstRowLastColumn="0" w:lastRowFirstColumn="0" w:lastRowLastColumn="0"/>
            </w:pPr>
            <w:r>
              <w:t xml:space="preserve">By the end of Year 10, </w:t>
            </w:r>
            <w:r w:rsidRPr="00083403">
              <w:t>students</w:t>
            </w:r>
            <w:r>
              <w:t xml:space="preserve"> recognise the connection between simple and compound interest. </w:t>
            </w:r>
            <w:r w:rsidRPr="00083403">
              <w:rPr>
                <w:rStyle w:val="Shading1"/>
              </w:rPr>
              <w:t xml:space="preserve">They </w:t>
            </w:r>
            <w:r w:rsidRPr="00D30DF2">
              <w:rPr>
                <w:rStyle w:val="Shading1"/>
              </w:rPr>
              <w:t>solve problems involving linear equations and inequalities</w:t>
            </w:r>
            <w:r>
              <w:t xml:space="preserve">. They make the connections between algebraic and graphical representations of relations. Students solve surface area and volume problems relating to composite solids. </w:t>
            </w:r>
            <w:r w:rsidRPr="00D30DF2">
              <w:rPr>
                <w:rStyle w:val="Shading1"/>
              </w:rPr>
              <w:t>They recognise the relationships between parallel and perpendicular lines</w:t>
            </w:r>
            <w:r w:rsidRPr="00D26084">
              <w:t xml:space="preserve">. </w:t>
            </w:r>
            <w:r>
              <w:t>Students apply deductive reasoning to proofs and numerical exercises involving plane shapes. They compare data sets by referring to the shapes of the various data displays. They describe bivariate data where the independent variable is time. Students describe statistical relationships between two continuous variables. They evaluate statistical reports.</w:t>
            </w:r>
          </w:p>
          <w:p w14:paraId="3243EF6B" w14:textId="77777777" w:rsidR="004929B2" w:rsidRDefault="004929B2"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tc>
        <w:tc>
          <w:tcPr>
            <w:tcW w:w="907" w:type="dxa"/>
          </w:tcPr>
          <w:p w14:paraId="73449F74" w14:textId="77777777" w:rsidR="004929B2" w:rsidRPr="00337583" w:rsidRDefault="004929B2" w:rsidP="003D666C">
            <w:pPr>
              <w:pStyle w:val="Tabletext"/>
              <w:cnfStyle w:val="000000000000" w:firstRow="0" w:lastRow="0" w:firstColumn="0" w:lastColumn="0" w:oddVBand="0" w:evenVBand="0" w:oddHBand="0" w:evenHBand="0" w:firstRowFirstColumn="0" w:firstRowLastColumn="0" w:lastRowFirstColumn="0" w:lastRowLastColumn="0"/>
            </w:pPr>
          </w:p>
        </w:tc>
        <w:tc>
          <w:tcPr>
            <w:tcW w:w="4144" w:type="dxa"/>
          </w:tcPr>
          <w:p w14:paraId="2AA61F33" w14:textId="77777777" w:rsidR="004929B2" w:rsidRDefault="004929B2" w:rsidP="004929B2">
            <w:pPr>
              <w:pStyle w:val="Tabletext"/>
              <w:widowControl w:val="0"/>
              <w:cnfStyle w:val="000000000000" w:firstRow="0" w:lastRow="0" w:firstColumn="0" w:lastColumn="0" w:oddVBand="0" w:evenVBand="0" w:oddHBand="0" w:evenHBand="0" w:firstRowFirstColumn="0" w:firstRowLastColumn="0" w:lastRowFirstColumn="0" w:lastRowLastColumn="0"/>
            </w:pPr>
            <w:r>
              <w:t xml:space="preserve">By the end of Year 10, students recognise the connection between simple and compound interest. They solve problems involving linear equations and inequalities. They make the connections between algebraic and graphical representations of relations. Students solve surface area and volume problems relating to composite solids. They recognise the relationships between parallel and perpendicular lines. </w:t>
            </w:r>
            <w:r w:rsidRPr="00D30DF2">
              <w:rPr>
                <w:rStyle w:val="Shading1"/>
              </w:rPr>
              <w:t>Students apply deductive reasoning to proofs and numerical exercises involving plane shapes.</w:t>
            </w:r>
            <w:r>
              <w:t xml:space="preserve"> They compare data sets by referring to the shapes of the various data displays. They describe bivariate data where the independent variable is time. Students describe statistical relationships between two continuous variables. They evaluate statistical reports.</w:t>
            </w:r>
          </w:p>
          <w:p w14:paraId="4207BD52" w14:textId="77777777" w:rsidR="004929B2" w:rsidRDefault="004929B2"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tc>
        <w:tc>
          <w:tcPr>
            <w:tcW w:w="907" w:type="dxa"/>
          </w:tcPr>
          <w:p w14:paraId="3DF6CBCE" w14:textId="77777777" w:rsidR="004929B2" w:rsidRDefault="004929B2" w:rsidP="003D666C">
            <w:pPr>
              <w:pStyle w:val="Tabletext"/>
              <w:cnfStyle w:val="000000000000" w:firstRow="0" w:lastRow="0" w:firstColumn="0" w:lastColumn="0" w:oddVBand="0" w:evenVBand="0" w:oddHBand="0" w:evenHBand="0" w:firstRowFirstColumn="0" w:firstRowLastColumn="0" w:lastRowFirstColumn="0" w:lastRowLastColumn="0"/>
            </w:pPr>
          </w:p>
        </w:tc>
        <w:tc>
          <w:tcPr>
            <w:tcW w:w="4144" w:type="dxa"/>
          </w:tcPr>
          <w:p w14:paraId="3FF56F95" w14:textId="77777777" w:rsidR="004929B2" w:rsidRDefault="004929B2" w:rsidP="004929B2">
            <w:pPr>
              <w:pStyle w:val="Tabletext"/>
              <w:widowControl w:val="0"/>
              <w:cnfStyle w:val="000000000000" w:firstRow="0" w:lastRow="0" w:firstColumn="0" w:lastColumn="0" w:oddVBand="0" w:evenVBand="0" w:oddHBand="0" w:evenHBand="0" w:firstRowFirstColumn="0" w:firstRowLastColumn="0" w:lastRowFirstColumn="0" w:lastRowLastColumn="0"/>
            </w:pPr>
            <w:r>
              <w:t xml:space="preserve">By the end of Year 10, </w:t>
            </w:r>
            <w:r w:rsidRPr="00083403">
              <w:t>students</w:t>
            </w:r>
            <w:r>
              <w:t xml:space="preserve"> recognise the connection between simple and compound interest. They solve problems involving linear equations and inequalities. </w:t>
            </w:r>
            <w:r w:rsidRPr="00083403">
              <w:rPr>
                <w:rStyle w:val="Shading1"/>
              </w:rPr>
              <w:t xml:space="preserve">They </w:t>
            </w:r>
            <w:r w:rsidRPr="00D30DF2">
              <w:rPr>
                <w:rStyle w:val="Shading1"/>
              </w:rPr>
              <w:t>make the connections between algebraic and graphical representations of relations. Students solve surface area and volume problems relating to composite solids.</w:t>
            </w:r>
            <w:r>
              <w:t xml:space="preserve"> They recognise the relationships between parallel and perpendicular lines. Students apply deductive reasoning to proofs and numerical exercises involving plane shapes. They compare data sets by referring to the shapes of the various data displays. They describe bivariate data where the independent variable is time. Students describe statistical relationships between two continuous variables. They evaluate statistical reports.</w:t>
            </w:r>
          </w:p>
          <w:p w14:paraId="45C6877D" w14:textId="77777777" w:rsidR="004929B2" w:rsidRDefault="004929B2"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tc>
        <w:tc>
          <w:tcPr>
            <w:tcW w:w="907" w:type="dxa"/>
          </w:tcPr>
          <w:p w14:paraId="6C489083" w14:textId="77777777" w:rsidR="004929B2" w:rsidRDefault="004929B2" w:rsidP="003D666C">
            <w:pPr>
              <w:pStyle w:val="Tabletext"/>
              <w:cnfStyle w:val="000000000000" w:firstRow="0" w:lastRow="0" w:firstColumn="0" w:lastColumn="0" w:oddVBand="0" w:evenVBand="0" w:oddHBand="0" w:evenHBand="0" w:firstRowFirstColumn="0" w:firstRowLastColumn="0" w:lastRowFirstColumn="0" w:lastRowLastColumn="0"/>
            </w:pPr>
          </w:p>
        </w:tc>
        <w:tc>
          <w:tcPr>
            <w:tcW w:w="4144" w:type="dxa"/>
          </w:tcPr>
          <w:p w14:paraId="36DCE415" w14:textId="77777777" w:rsidR="004929B2" w:rsidRDefault="004929B2" w:rsidP="004929B2">
            <w:pPr>
              <w:pStyle w:val="Tabletext"/>
              <w:widowControl w:val="0"/>
              <w:cnfStyle w:val="000000000000" w:firstRow="0" w:lastRow="0" w:firstColumn="0" w:lastColumn="0" w:oddVBand="0" w:evenVBand="0" w:oddHBand="0" w:evenHBand="0" w:firstRowFirstColumn="0" w:firstRowLastColumn="0" w:lastRowFirstColumn="0" w:lastRowLastColumn="0"/>
            </w:pPr>
            <w:r>
              <w:t>By the end of Year 10</w:t>
            </w:r>
            <w:r w:rsidRPr="00D26084">
              <w:t xml:space="preserve">, </w:t>
            </w:r>
            <w:r w:rsidRPr="00D30DF2">
              <w:rPr>
                <w:rStyle w:val="Shading1"/>
              </w:rPr>
              <w:t>students recognise the connection between simple and compound interest</w:t>
            </w:r>
            <w:r w:rsidRPr="00D26084">
              <w:rPr>
                <w:rStyle w:val="Shading1"/>
              </w:rPr>
              <w:t>.</w:t>
            </w:r>
            <w:r>
              <w:t xml:space="preserve"> They solve problems involving linear equations and inequalities. They make the connections between algebraic and graphical representations of relations. Students solve surface area and volume problems relating to composite solids. They recognise the relationships between parallel and perpendicular lines. Students apply deductive reasoning to proofs and numerical exercises involving plane shapes. </w:t>
            </w:r>
            <w:r w:rsidRPr="00D30DF2">
              <w:rPr>
                <w:rStyle w:val="Shading1"/>
              </w:rPr>
              <w:t>They compare data sets by referring to the shapes of the various data displays. They describe bivariate data where the independent variable is time. Students describe statistical relationships between two continuous variables. They evaluate statistical reports.</w:t>
            </w:r>
          </w:p>
          <w:p w14:paraId="5326C215" w14:textId="77777777" w:rsidR="004929B2" w:rsidRDefault="004929B2" w:rsidP="00DB16D7">
            <w:pPr>
              <w:pStyle w:val="Tabletext"/>
              <w:contextualSpacing/>
              <w:cnfStyle w:val="000000000000" w:firstRow="0" w:lastRow="0" w:firstColumn="0" w:lastColumn="0" w:oddVBand="0" w:evenVBand="0" w:oddHBand="0" w:evenHBand="0" w:firstRowFirstColumn="0" w:firstRowLastColumn="0" w:lastRowFirstColumn="0" w:lastRowLastColumn="0"/>
              <w:rPr>
                <w:rStyle w:val="TabletextChar"/>
              </w:rPr>
            </w:pPr>
          </w:p>
        </w:tc>
        <w:tc>
          <w:tcPr>
            <w:tcW w:w="907" w:type="dxa"/>
          </w:tcPr>
          <w:p w14:paraId="10F09246" w14:textId="77777777" w:rsidR="004929B2" w:rsidRDefault="004929B2" w:rsidP="003D666C">
            <w:pPr>
              <w:pStyle w:val="Tabletext"/>
              <w:cnfStyle w:val="000000000000" w:firstRow="0" w:lastRow="0" w:firstColumn="0" w:lastColumn="0" w:oddVBand="0" w:evenVBand="0" w:oddHBand="0" w:evenHBand="0" w:firstRowFirstColumn="0" w:firstRowLastColumn="0" w:lastRowFirstColumn="0" w:lastRowLastColumn="0"/>
            </w:pPr>
          </w:p>
        </w:tc>
      </w:tr>
      <w:tr w:rsidR="000F425C" w:rsidRPr="00337583" w14:paraId="52405A82" w14:textId="77777777" w:rsidTr="00D26084">
        <w:trPr>
          <w:cantSplit/>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39E46DE7" w14:textId="77777777" w:rsidR="000F425C" w:rsidRPr="00337583" w:rsidRDefault="000F425C" w:rsidP="000A64FB">
            <w:pPr>
              <w:pStyle w:val="Tablesubhead"/>
              <w:widowControl w:val="0"/>
              <w:ind w:left="113" w:right="113"/>
              <w:jc w:val="center"/>
            </w:pPr>
          </w:p>
        </w:tc>
        <w:tc>
          <w:tcPr>
            <w:tcW w:w="0" w:type="dxa"/>
          </w:tcPr>
          <w:p w14:paraId="0B590E10" w14:textId="77777777" w:rsidR="00194EA7" w:rsidRPr="00337583" w:rsidRDefault="006C7755" w:rsidP="000A64FB">
            <w:pPr>
              <w:pStyle w:val="Tabletext"/>
              <w:widowControl w:val="0"/>
              <w:cnfStyle w:val="000000000000" w:firstRow="0" w:lastRow="0" w:firstColumn="0" w:lastColumn="0" w:oddVBand="0" w:evenVBand="0" w:oddHBand="0" w:evenHBand="0" w:firstRowFirstColumn="0" w:firstRowLastColumn="0" w:lastRowFirstColumn="0" w:lastRowLastColumn="0"/>
            </w:pPr>
            <w:bookmarkStart w:id="3" w:name="_Hlk67578420"/>
            <w:r>
              <w:t xml:space="preserve">Students expand binomial expressions and factorise monic quadratic expressions. </w:t>
            </w:r>
            <w:r w:rsidRPr="00D30DF2">
              <w:rPr>
                <w:rStyle w:val="Shading1"/>
              </w:rPr>
              <w:t>They find unknown values after substitution into formulas. They perform the four operations with simple algebraic fractions. Students solve</w:t>
            </w:r>
            <w:r>
              <w:t xml:space="preserve"> simple quadratic equations and </w:t>
            </w:r>
            <w:r w:rsidRPr="00D30DF2">
              <w:rPr>
                <w:rStyle w:val="Shading1"/>
              </w:rPr>
              <w:t xml:space="preserve">pairs of simultaneous </w:t>
            </w:r>
            <w:r w:rsidRPr="009C2EBA">
              <w:rPr>
                <w:rStyle w:val="Shading1"/>
              </w:rPr>
              <w:t>equations.</w:t>
            </w:r>
            <w:r>
              <w:t xml:space="preserve"> They use triangle and angle properties to prove congruence and similarity. Students use trigonometry to calculate unknown angles in right-angled triangles. Students list outcomes for multi-step chance experiments and assign probabilities for these experiments. They calculate quartiles and inter-quartile ranges</w:t>
            </w:r>
            <w:bookmarkEnd w:id="3"/>
          </w:p>
        </w:tc>
        <w:tc>
          <w:tcPr>
            <w:tcW w:w="0" w:type="dxa"/>
          </w:tcPr>
          <w:p w14:paraId="727D38CD" w14:textId="77777777" w:rsidR="000F425C" w:rsidRPr="00337583" w:rsidRDefault="000F425C" w:rsidP="000F425C">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48F90B21" w14:textId="77777777" w:rsidR="000F425C" w:rsidRPr="00337583" w:rsidRDefault="006C7755" w:rsidP="000A64FB">
            <w:pPr>
              <w:pStyle w:val="Tabletext"/>
              <w:widowControl w:val="0"/>
              <w:cnfStyle w:val="000000000000" w:firstRow="0" w:lastRow="0" w:firstColumn="0" w:lastColumn="0" w:oddVBand="0" w:evenVBand="0" w:oddHBand="0" w:evenHBand="0" w:firstRowFirstColumn="0" w:firstRowLastColumn="0" w:lastRowFirstColumn="0" w:lastRowLastColumn="0"/>
            </w:pPr>
            <w:r>
              <w:t xml:space="preserve">Students expand binomial expressions and factorise monic quadratic expressions. They find unknown values after substitution into formulas. They perform the four operations with simple algebraic fractions. Students solve simple quadratic equations and pairs of simultaneous equations. </w:t>
            </w:r>
            <w:r w:rsidRPr="00D30DF2">
              <w:rPr>
                <w:rStyle w:val="Shading1"/>
              </w:rPr>
              <w:t>They use triangle and angle properties to prove congruence and similarity. Students use trigonometry to calculate unknown angles in right-angled triangles.</w:t>
            </w:r>
            <w:r>
              <w:t xml:space="preserve"> Students list outcomes for multi-step chance experiments and assign probabilities for these experiments. They calculate quartiles and inter-quartile ranges.</w:t>
            </w:r>
          </w:p>
        </w:tc>
        <w:tc>
          <w:tcPr>
            <w:tcW w:w="0" w:type="dxa"/>
          </w:tcPr>
          <w:p w14:paraId="152CD82B" w14:textId="77777777" w:rsidR="000F425C" w:rsidRPr="00337583" w:rsidRDefault="000F425C" w:rsidP="000A64FB">
            <w:pPr>
              <w:pStyle w:val="Tabletext"/>
              <w:widowControl w:val="0"/>
              <w:cnfStyle w:val="000000000000" w:firstRow="0" w:lastRow="0" w:firstColumn="0" w:lastColumn="0" w:oddVBand="0" w:evenVBand="0" w:oddHBand="0" w:evenHBand="0" w:firstRowFirstColumn="0" w:firstRowLastColumn="0" w:lastRowFirstColumn="0" w:lastRowLastColumn="0"/>
            </w:pPr>
          </w:p>
        </w:tc>
        <w:tc>
          <w:tcPr>
            <w:tcW w:w="0" w:type="dxa"/>
          </w:tcPr>
          <w:p w14:paraId="746DA1AA" w14:textId="77777777" w:rsidR="000F425C" w:rsidRPr="00337583" w:rsidRDefault="006C7755" w:rsidP="000A64FB">
            <w:pPr>
              <w:pStyle w:val="Tabletext"/>
              <w:widowControl w:val="0"/>
              <w:cnfStyle w:val="000000000000" w:firstRow="0" w:lastRow="0" w:firstColumn="0" w:lastColumn="0" w:oddVBand="0" w:evenVBand="0" w:oddHBand="0" w:evenHBand="0" w:firstRowFirstColumn="0" w:firstRowLastColumn="0" w:lastRowFirstColumn="0" w:lastRowLastColumn="0"/>
            </w:pPr>
            <w:r w:rsidRPr="00D30DF2">
              <w:rPr>
                <w:rStyle w:val="Shading1"/>
              </w:rPr>
              <w:t>Students expand binomial expressions and factorise monic quadratic expressions.</w:t>
            </w:r>
            <w:r>
              <w:t xml:space="preserve"> They find unknown values after substitution into formulas. They perform the four operations with simple algebraic fractions. </w:t>
            </w:r>
            <w:r w:rsidRPr="00D30DF2">
              <w:rPr>
                <w:rStyle w:val="Shading1"/>
              </w:rPr>
              <w:t>Students solve simple quadratic equations and pairs of simultaneous equation</w:t>
            </w:r>
            <w:r w:rsidRPr="009C2EBA">
              <w:rPr>
                <w:rStyle w:val="Shading1"/>
              </w:rPr>
              <w:t>s.</w:t>
            </w:r>
            <w:r>
              <w:t xml:space="preserve"> They use triangle and angle properties to prove congruence and similarity. Students use trigonometry to calculate unknown angles in right-angled triangles. Students list outcomes for multi-step chance experiments and assign probabilities for these experiments. They calculate quartiles and inter-quartile ranges.</w:t>
            </w:r>
          </w:p>
        </w:tc>
        <w:tc>
          <w:tcPr>
            <w:tcW w:w="0" w:type="dxa"/>
          </w:tcPr>
          <w:p w14:paraId="2CDFF1DE" w14:textId="77777777" w:rsidR="000F425C" w:rsidRPr="00337583" w:rsidRDefault="000F425C" w:rsidP="000F425C">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264E95E9" w14:textId="77777777" w:rsidR="000F425C" w:rsidRPr="00337583" w:rsidRDefault="006C7755" w:rsidP="000A64FB">
            <w:pPr>
              <w:pStyle w:val="Tabletext"/>
              <w:widowControl w:val="0"/>
              <w:cnfStyle w:val="000000000000" w:firstRow="0" w:lastRow="0" w:firstColumn="0" w:lastColumn="0" w:oddVBand="0" w:evenVBand="0" w:oddHBand="0" w:evenHBand="0" w:firstRowFirstColumn="0" w:firstRowLastColumn="0" w:lastRowFirstColumn="0" w:lastRowLastColumn="0"/>
            </w:pPr>
            <w:r>
              <w:t xml:space="preserve">Students expand binomial expressions and factorise monic quadratic expressions. They find unknown values after substitution into formulas. They perform the four operations with simple algebraic fractions. Students solve simple quadratic equations and pairs of simultaneous equations. They use triangle and angle properties to prove congruence and similarity. Students use trigonometry to calculate unknown angles in right-angled triangles. </w:t>
            </w:r>
            <w:r w:rsidRPr="00D30DF2">
              <w:rPr>
                <w:rStyle w:val="Shading1"/>
              </w:rPr>
              <w:t>Students list outcomes for multi-step chance experiments and assign probabilities for these experiments. They calculate quartiles and inter-quartile ranges.</w:t>
            </w:r>
          </w:p>
        </w:tc>
        <w:tc>
          <w:tcPr>
            <w:tcW w:w="0" w:type="dxa"/>
          </w:tcPr>
          <w:p w14:paraId="2FD9D154" w14:textId="77777777" w:rsidR="000F425C" w:rsidRPr="00337583" w:rsidRDefault="000F425C" w:rsidP="000F425C">
            <w:pPr>
              <w:pStyle w:val="Tabletext"/>
              <w:cnfStyle w:val="000000000000" w:firstRow="0" w:lastRow="0" w:firstColumn="0" w:lastColumn="0" w:oddVBand="0" w:evenVBand="0" w:oddHBand="0" w:evenHBand="0" w:firstRowFirstColumn="0" w:firstRowLastColumn="0" w:lastRowFirstColumn="0" w:lastRowLastColumn="0"/>
            </w:pPr>
          </w:p>
        </w:tc>
      </w:tr>
      <w:tr w:rsidR="000F425C" w:rsidRPr="00337583" w14:paraId="7EFDD8BF" w14:textId="77777777" w:rsidTr="00D26084">
        <w:trPr>
          <w:cantSplit/>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09DD02A6" w14:textId="77777777" w:rsidR="000F425C" w:rsidRPr="00337583" w:rsidRDefault="009D30E3" w:rsidP="000A64FB">
            <w:pPr>
              <w:pStyle w:val="Tablesubhead"/>
              <w:widowControl w:val="0"/>
              <w:ind w:left="113" w:right="113"/>
              <w:jc w:val="center"/>
            </w:pPr>
            <w:r w:rsidRPr="00337583">
              <w:t>Moderation</w:t>
            </w:r>
          </w:p>
        </w:tc>
        <w:tc>
          <w:tcPr>
            <w:tcW w:w="0" w:type="dxa"/>
            <w:gridSpan w:val="2"/>
          </w:tcPr>
          <w:p w14:paraId="7EBB5079"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Calibration: A facilitating teacher will select samples representing each grade on the five-point scale described in the task-specific standards from each class to use in the calibration process.  </w:t>
            </w:r>
          </w:p>
          <w:p w14:paraId="730B3EAB"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p>
          <w:p w14:paraId="11702B1F" w14:textId="77777777" w:rsidR="007823CA" w:rsidRPr="00337583"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pPr>
            <w:r>
              <w:rPr>
                <w:rStyle w:val="TabletextChar"/>
              </w:rPr>
              <w:t>After the calibration process, the class teacher will grade their students’ responses, applying the shared understanding they have gained.</w:t>
            </w:r>
          </w:p>
        </w:tc>
        <w:tc>
          <w:tcPr>
            <w:tcW w:w="0" w:type="dxa"/>
            <w:gridSpan w:val="2"/>
          </w:tcPr>
          <w:p w14:paraId="173307A0"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Conferencing: The class teacher will grade all student responses using the task-specific standards. They will select samples representing each grade on the five-point scale described in the task-specific standards to use in the conferencing process.</w:t>
            </w:r>
          </w:p>
          <w:p w14:paraId="1BB843EB"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p>
          <w:p w14:paraId="07124A18" w14:textId="77777777" w:rsidR="000F425C" w:rsidRPr="00EA3B1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14:numForm w14:val="lining"/>
              </w:rPr>
            </w:pPr>
            <w:r>
              <w:rPr>
                <w:rStyle w:val="TabletextChar"/>
              </w:rPr>
              <w:t xml:space="preserve">After the conferencing process, the class teacher will apply their shared understanding of the standards to review their students’ responses and grades. </w:t>
            </w:r>
          </w:p>
        </w:tc>
        <w:tc>
          <w:tcPr>
            <w:tcW w:w="0" w:type="dxa"/>
            <w:gridSpan w:val="2"/>
          </w:tcPr>
          <w:p w14:paraId="63B12547"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 xml:space="preserve">Calibration: A facilitating teacher will select samples representing each grade on the five-point scale described in the task-specific standards from each class to use in the calibration process.  </w:t>
            </w:r>
          </w:p>
          <w:p w14:paraId="1DEFF53A"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p>
          <w:p w14:paraId="199F8325" w14:textId="77777777" w:rsidR="000F425C" w:rsidRPr="00337583"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pPr>
            <w:r>
              <w:rPr>
                <w:rStyle w:val="TabletextChar"/>
              </w:rPr>
              <w:t>After the calibration process, the class teacher will grade their students’ responses, applying the shared understanding they have gained.</w:t>
            </w:r>
          </w:p>
        </w:tc>
        <w:tc>
          <w:tcPr>
            <w:tcW w:w="0" w:type="dxa"/>
            <w:gridSpan w:val="2"/>
          </w:tcPr>
          <w:p w14:paraId="1776EA73"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Expert: The class teacher will select samples representing each grade on the five-point scale described in the task</w:t>
            </w:r>
            <w:r>
              <w:rPr>
                <w:rStyle w:val="TabletextChar"/>
              </w:rPr>
              <w:noBreakHyphen/>
              <w:t>specific standards and submit these to the HOD. The HOD will mark the samples using the task-specific standards and compare their judgment with the grade awarded by the class teacher.</w:t>
            </w:r>
          </w:p>
          <w:p w14:paraId="480D069C" w14:textId="77777777" w:rsidR="00B80332"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rPr>
                <w:rStyle w:val="TabletextChar"/>
              </w:rPr>
            </w:pPr>
          </w:p>
          <w:p w14:paraId="36C3576E" w14:textId="77777777" w:rsidR="000F425C" w:rsidRPr="00337583" w:rsidRDefault="00B80332" w:rsidP="000A64FB">
            <w:pPr>
              <w:pStyle w:val="Tabletext"/>
              <w:widowControl w:val="0"/>
              <w:cnfStyle w:val="000000000000" w:firstRow="0" w:lastRow="0" w:firstColumn="0" w:lastColumn="0" w:oddVBand="0" w:evenVBand="0" w:oddHBand="0" w:evenHBand="0" w:firstRowFirstColumn="0" w:firstRowLastColumn="0" w:lastRowFirstColumn="0" w:lastRowLastColumn="0"/>
            </w:pPr>
            <w:r>
              <w:rPr>
                <w:rStyle w:val="TabletextChar"/>
              </w:rPr>
              <w:t>The class teacher will use the HOD's advice to review their students’ responses and grades, applying the shared understanding they have gained.</w:t>
            </w:r>
          </w:p>
        </w:tc>
      </w:tr>
    </w:tbl>
    <w:p w14:paraId="6B7103A8" w14:textId="77777777" w:rsidR="006904F7" w:rsidRDefault="006904F7" w:rsidP="007C57C2">
      <w:pPr>
        <w:pStyle w:val="Heading1"/>
      </w:pPr>
      <w:r>
        <w:t>Teaching and learning focus</w:t>
      </w:r>
    </w:p>
    <w:p w14:paraId="69A63000" w14:textId="77777777" w:rsidR="00854881" w:rsidRPr="00094E5E" w:rsidRDefault="00094E5E" w:rsidP="00EA3B12">
      <w:pPr>
        <w:pStyle w:val="BodyText"/>
        <w:rPr>
          <w:i/>
          <w:u w:val="single"/>
        </w:rPr>
      </w:pPr>
      <w:r w:rsidRPr="00D26084">
        <w:rPr>
          <w:b/>
          <w:bCs/>
        </w:rPr>
        <w:t>Key</w:t>
      </w:r>
      <w:r w:rsidR="00EA3B12" w:rsidRPr="00D26084">
        <w:rPr>
          <w:b/>
          <w:bCs/>
        </w:rPr>
        <w:t>:</w:t>
      </w:r>
      <w:r w:rsidR="00EA3B12">
        <w:t xml:space="preserve"> </w:t>
      </w:r>
      <w:r w:rsidR="00EA3B12" w:rsidRPr="00DB19BE">
        <w:rPr>
          <w:rStyle w:val="Shading2"/>
        </w:rPr>
        <w:t xml:space="preserve">10A content descriptions </w:t>
      </w:r>
    </w:p>
    <w:tbl>
      <w:tblPr>
        <w:tblStyle w:val="QCAAtablestyle14"/>
        <w:tblW w:w="20978" w:type="dxa"/>
        <w:tblInd w:w="0" w:type="dxa"/>
        <w:tblLayout w:type="fixed"/>
        <w:tblLook w:val="04A0" w:firstRow="1" w:lastRow="0" w:firstColumn="1" w:lastColumn="0" w:noHBand="0" w:noVBand="1"/>
      </w:tblPr>
      <w:tblGrid>
        <w:gridCol w:w="4517"/>
        <w:gridCol w:w="628"/>
        <w:gridCol w:w="589"/>
        <w:gridCol w:w="640"/>
        <w:gridCol w:w="620"/>
        <w:gridCol w:w="4479"/>
        <w:gridCol w:w="630"/>
        <w:gridCol w:w="672"/>
        <w:gridCol w:w="602"/>
        <w:gridCol w:w="602"/>
        <w:gridCol w:w="4619"/>
        <w:gridCol w:w="602"/>
        <w:gridCol w:w="602"/>
        <w:gridCol w:w="588"/>
        <w:gridCol w:w="588"/>
      </w:tblGrid>
      <w:tr w:rsidR="00854881" w:rsidRPr="00993C3B" w14:paraId="50439D60" w14:textId="77777777" w:rsidTr="00655B58">
        <w:trPr>
          <w:cnfStyle w:val="100000000000" w:firstRow="1" w:lastRow="0" w:firstColumn="0" w:lastColumn="0" w:oddVBand="0" w:evenVBand="0" w:oddHBand="0" w:evenHBand="0" w:firstRowFirstColumn="0" w:firstRowLastColumn="0" w:lastRowFirstColumn="0" w:lastRowLastColumn="0"/>
          <w:trHeight w:val="253"/>
        </w:trPr>
        <w:tc>
          <w:tcPr>
            <w:tcW w:w="20978" w:type="dxa"/>
            <w:gridSpan w:val="15"/>
          </w:tcPr>
          <w:p w14:paraId="278C6677" w14:textId="77777777" w:rsidR="00854881" w:rsidRPr="00993C3B" w:rsidRDefault="00854881" w:rsidP="00955A59">
            <w:pPr>
              <w:rPr>
                <w:b/>
              </w:rPr>
            </w:pPr>
            <w:r w:rsidRPr="00993C3B">
              <w:rPr>
                <w:b/>
              </w:rPr>
              <w:t>Content descriptions</w:t>
            </w:r>
          </w:p>
        </w:tc>
      </w:tr>
      <w:tr w:rsidR="006765E9" w:rsidRPr="00993C3B" w14:paraId="4029F92A" w14:textId="77777777" w:rsidTr="0066557E">
        <w:trPr>
          <w:trHeight w:val="241"/>
        </w:trPr>
        <w:tc>
          <w:tcPr>
            <w:tcW w:w="4517" w:type="dxa"/>
            <w:shd w:val="clear" w:color="auto" w:fill="E6E6E6" w:themeFill="background2"/>
          </w:tcPr>
          <w:p w14:paraId="4CF943EA" w14:textId="77777777" w:rsidR="00562FD1" w:rsidRPr="00993C3B" w:rsidRDefault="00562FD1" w:rsidP="006765E9">
            <w:pPr>
              <w:pStyle w:val="Tablesubhead"/>
              <w:jc w:val="center"/>
            </w:pPr>
            <w:r w:rsidRPr="00993C3B">
              <w:t>Number and Algebra</w:t>
            </w:r>
          </w:p>
        </w:tc>
        <w:tc>
          <w:tcPr>
            <w:tcW w:w="628" w:type="dxa"/>
            <w:shd w:val="clear" w:color="auto" w:fill="E6E6E6" w:themeFill="background2"/>
            <w:vAlign w:val="center"/>
          </w:tcPr>
          <w:p w14:paraId="11AF5242" w14:textId="77777777" w:rsidR="00562FD1" w:rsidRPr="00993C3B" w:rsidRDefault="00562FD1" w:rsidP="006765E9">
            <w:pPr>
              <w:pStyle w:val="Tablesubhead"/>
              <w:jc w:val="center"/>
            </w:pPr>
            <w:r w:rsidRPr="00993C3B">
              <w:t>Unit 1</w:t>
            </w:r>
          </w:p>
        </w:tc>
        <w:tc>
          <w:tcPr>
            <w:tcW w:w="589" w:type="dxa"/>
            <w:shd w:val="clear" w:color="auto" w:fill="E6E6E6" w:themeFill="background2"/>
            <w:vAlign w:val="center"/>
          </w:tcPr>
          <w:p w14:paraId="0DF3772F" w14:textId="77777777" w:rsidR="00562FD1" w:rsidRPr="00993C3B" w:rsidRDefault="00562FD1" w:rsidP="006765E9">
            <w:pPr>
              <w:pStyle w:val="Tablesubhead"/>
              <w:jc w:val="center"/>
            </w:pPr>
            <w:r w:rsidRPr="00993C3B">
              <w:t>Unit 2</w:t>
            </w:r>
          </w:p>
        </w:tc>
        <w:tc>
          <w:tcPr>
            <w:tcW w:w="640" w:type="dxa"/>
            <w:shd w:val="clear" w:color="auto" w:fill="E6E6E6" w:themeFill="background2"/>
            <w:vAlign w:val="center"/>
          </w:tcPr>
          <w:p w14:paraId="50300B4F" w14:textId="77777777" w:rsidR="00562FD1" w:rsidRPr="00993C3B" w:rsidRDefault="00562FD1" w:rsidP="006765E9">
            <w:pPr>
              <w:pStyle w:val="Tablesubhead"/>
              <w:jc w:val="center"/>
            </w:pPr>
            <w:r w:rsidRPr="00993C3B">
              <w:t>Unit 3</w:t>
            </w:r>
          </w:p>
        </w:tc>
        <w:tc>
          <w:tcPr>
            <w:tcW w:w="620" w:type="dxa"/>
            <w:shd w:val="clear" w:color="auto" w:fill="E6E6E6" w:themeFill="background2"/>
            <w:vAlign w:val="center"/>
          </w:tcPr>
          <w:p w14:paraId="5E2EA93E" w14:textId="77777777" w:rsidR="00562FD1" w:rsidRPr="00993C3B" w:rsidRDefault="00562FD1" w:rsidP="006765E9">
            <w:pPr>
              <w:pStyle w:val="Tablesubhead"/>
              <w:jc w:val="center"/>
            </w:pPr>
            <w:r w:rsidRPr="00993C3B">
              <w:t>Unit 4</w:t>
            </w:r>
          </w:p>
        </w:tc>
        <w:tc>
          <w:tcPr>
            <w:tcW w:w="4479" w:type="dxa"/>
            <w:shd w:val="clear" w:color="auto" w:fill="E6E6E6" w:themeFill="background2"/>
          </w:tcPr>
          <w:p w14:paraId="3F1F9DAB" w14:textId="77777777" w:rsidR="00562FD1" w:rsidRPr="00993C3B" w:rsidRDefault="00562FD1" w:rsidP="006765E9">
            <w:pPr>
              <w:pStyle w:val="Tablesubhead"/>
              <w:jc w:val="center"/>
            </w:pPr>
            <w:r w:rsidRPr="00993C3B">
              <w:t>Measurement and Geometry</w:t>
            </w:r>
          </w:p>
        </w:tc>
        <w:tc>
          <w:tcPr>
            <w:tcW w:w="630" w:type="dxa"/>
            <w:shd w:val="clear" w:color="auto" w:fill="E6E6E6" w:themeFill="background2"/>
          </w:tcPr>
          <w:p w14:paraId="3AF08369" w14:textId="77777777" w:rsidR="00562FD1" w:rsidRPr="00993C3B" w:rsidRDefault="00562FD1" w:rsidP="006765E9">
            <w:pPr>
              <w:pStyle w:val="Tablesubhead"/>
              <w:jc w:val="center"/>
            </w:pPr>
            <w:r w:rsidRPr="00993C3B">
              <w:t>Unit 1</w:t>
            </w:r>
          </w:p>
        </w:tc>
        <w:tc>
          <w:tcPr>
            <w:tcW w:w="672" w:type="dxa"/>
            <w:shd w:val="clear" w:color="auto" w:fill="E6E6E6" w:themeFill="background2"/>
          </w:tcPr>
          <w:p w14:paraId="37EE2844" w14:textId="77777777" w:rsidR="00562FD1" w:rsidRPr="00993C3B" w:rsidRDefault="00562FD1" w:rsidP="006765E9">
            <w:pPr>
              <w:pStyle w:val="Tablesubhead"/>
              <w:jc w:val="center"/>
            </w:pPr>
            <w:r w:rsidRPr="00993C3B">
              <w:t>Unit 2</w:t>
            </w:r>
          </w:p>
        </w:tc>
        <w:tc>
          <w:tcPr>
            <w:tcW w:w="602" w:type="dxa"/>
            <w:shd w:val="clear" w:color="auto" w:fill="E6E6E6" w:themeFill="background2"/>
          </w:tcPr>
          <w:p w14:paraId="468B795E" w14:textId="77777777" w:rsidR="00562FD1" w:rsidRPr="00993C3B" w:rsidRDefault="00562FD1" w:rsidP="006765E9">
            <w:pPr>
              <w:pStyle w:val="Tablesubhead"/>
              <w:jc w:val="center"/>
            </w:pPr>
            <w:r w:rsidRPr="00993C3B">
              <w:t>Unit 3</w:t>
            </w:r>
          </w:p>
        </w:tc>
        <w:tc>
          <w:tcPr>
            <w:tcW w:w="602" w:type="dxa"/>
            <w:shd w:val="clear" w:color="auto" w:fill="E6E6E6" w:themeFill="background2"/>
          </w:tcPr>
          <w:p w14:paraId="6FBBDB9E" w14:textId="77777777" w:rsidR="00562FD1" w:rsidRPr="00993C3B" w:rsidRDefault="00562FD1" w:rsidP="006765E9">
            <w:pPr>
              <w:pStyle w:val="Tablesubhead"/>
              <w:jc w:val="center"/>
            </w:pPr>
            <w:r w:rsidRPr="00993C3B">
              <w:t>Unit 4</w:t>
            </w:r>
          </w:p>
        </w:tc>
        <w:tc>
          <w:tcPr>
            <w:tcW w:w="4619" w:type="dxa"/>
            <w:shd w:val="clear" w:color="auto" w:fill="E6E6E6" w:themeFill="background2"/>
          </w:tcPr>
          <w:p w14:paraId="14E53FC0" w14:textId="77777777" w:rsidR="00562FD1" w:rsidRPr="00993C3B" w:rsidRDefault="00562FD1" w:rsidP="006765E9">
            <w:pPr>
              <w:pStyle w:val="Tablesubhead"/>
              <w:jc w:val="center"/>
            </w:pPr>
            <w:r w:rsidRPr="00993C3B">
              <w:t>Statistics and Probability</w:t>
            </w:r>
          </w:p>
        </w:tc>
        <w:tc>
          <w:tcPr>
            <w:tcW w:w="602" w:type="dxa"/>
            <w:shd w:val="clear" w:color="auto" w:fill="E6E6E6" w:themeFill="background2"/>
            <w:vAlign w:val="center"/>
          </w:tcPr>
          <w:p w14:paraId="39CB6C43" w14:textId="77777777" w:rsidR="00562FD1" w:rsidRPr="00993C3B" w:rsidRDefault="00562FD1" w:rsidP="006765E9">
            <w:pPr>
              <w:pStyle w:val="Tablesubhead"/>
              <w:jc w:val="center"/>
            </w:pPr>
            <w:r w:rsidRPr="00993C3B">
              <w:t>Unit 1</w:t>
            </w:r>
          </w:p>
        </w:tc>
        <w:tc>
          <w:tcPr>
            <w:tcW w:w="602" w:type="dxa"/>
            <w:shd w:val="clear" w:color="auto" w:fill="E6E6E6" w:themeFill="background2"/>
            <w:vAlign w:val="center"/>
          </w:tcPr>
          <w:p w14:paraId="4C051311" w14:textId="77777777" w:rsidR="00562FD1" w:rsidRPr="00993C3B" w:rsidRDefault="00562FD1" w:rsidP="006765E9">
            <w:pPr>
              <w:pStyle w:val="Tablesubhead"/>
              <w:jc w:val="center"/>
            </w:pPr>
            <w:r w:rsidRPr="00993C3B">
              <w:t>Unit 2</w:t>
            </w:r>
          </w:p>
        </w:tc>
        <w:tc>
          <w:tcPr>
            <w:tcW w:w="588" w:type="dxa"/>
            <w:shd w:val="clear" w:color="auto" w:fill="E6E6E6" w:themeFill="background2"/>
            <w:vAlign w:val="center"/>
          </w:tcPr>
          <w:p w14:paraId="79B94D03" w14:textId="77777777" w:rsidR="00562FD1" w:rsidRPr="00993C3B" w:rsidRDefault="00562FD1" w:rsidP="006765E9">
            <w:pPr>
              <w:pStyle w:val="Tablesubhead"/>
              <w:jc w:val="center"/>
            </w:pPr>
            <w:r w:rsidRPr="00993C3B">
              <w:t>Unit 3</w:t>
            </w:r>
          </w:p>
        </w:tc>
        <w:tc>
          <w:tcPr>
            <w:tcW w:w="588" w:type="dxa"/>
            <w:shd w:val="clear" w:color="auto" w:fill="E6E6E6" w:themeFill="background2"/>
            <w:vAlign w:val="center"/>
          </w:tcPr>
          <w:p w14:paraId="54CC6420" w14:textId="77777777" w:rsidR="00562FD1" w:rsidRPr="00993C3B" w:rsidRDefault="00562FD1" w:rsidP="006765E9">
            <w:pPr>
              <w:pStyle w:val="Tablesubhead"/>
              <w:jc w:val="center"/>
            </w:pPr>
            <w:r w:rsidRPr="00993C3B">
              <w:t>Unit 4</w:t>
            </w:r>
          </w:p>
        </w:tc>
      </w:tr>
      <w:tr w:rsidR="006765E9" w:rsidRPr="00993C3B" w14:paraId="51DEB894" w14:textId="77777777" w:rsidTr="00DB19BE">
        <w:trPr>
          <w:trHeight w:val="253"/>
        </w:trPr>
        <w:tc>
          <w:tcPr>
            <w:tcW w:w="4517" w:type="dxa"/>
            <w:tcBorders>
              <w:bottom w:val="single" w:sz="4" w:space="0" w:color="A6A8AB"/>
            </w:tcBorders>
            <w:shd w:val="clear" w:color="auto" w:fill="FFFFFF" w:themeFill="background1"/>
          </w:tcPr>
          <w:p w14:paraId="25489C6C" w14:textId="77777777" w:rsidR="00562FD1" w:rsidRDefault="00562FD1" w:rsidP="00DB19BE">
            <w:pPr>
              <w:pStyle w:val="Tablesubhead"/>
            </w:pPr>
            <w:r w:rsidRPr="00993C3B">
              <w:t>Money and financial mathematics</w:t>
            </w:r>
          </w:p>
          <w:p w14:paraId="6DA59EBE" w14:textId="77777777" w:rsidR="00562FD1" w:rsidRPr="00993C3B" w:rsidRDefault="00562FD1" w:rsidP="005F4BC2">
            <w:pPr>
              <w:pStyle w:val="Tabletext"/>
            </w:pPr>
            <w:r w:rsidRPr="00993C3B">
              <w:t>Connect the compound interest formula to repeated applications of simple interest using appropriate digital technologies </w:t>
            </w:r>
          </w:p>
        </w:tc>
        <w:tc>
          <w:tcPr>
            <w:tcW w:w="628" w:type="dxa"/>
            <w:tcBorders>
              <w:bottom w:val="single" w:sz="4" w:space="0" w:color="A6A8AB"/>
            </w:tcBorders>
            <w:shd w:val="clear" w:color="auto" w:fill="FFFFFF" w:themeFill="background1"/>
          </w:tcPr>
          <w:p w14:paraId="05C7D21E" w14:textId="77777777" w:rsidR="00562FD1" w:rsidRPr="00993C3B" w:rsidRDefault="00562FD1" w:rsidP="0098055F">
            <w:pPr>
              <w:jc w:val="center"/>
              <w:rPr>
                <w:sz w:val="18"/>
                <w:szCs w:val="18"/>
              </w:rPr>
            </w:pPr>
          </w:p>
        </w:tc>
        <w:tc>
          <w:tcPr>
            <w:tcW w:w="589" w:type="dxa"/>
            <w:tcBorders>
              <w:bottom w:val="single" w:sz="4" w:space="0" w:color="A6A8AB"/>
            </w:tcBorders>
            <w:shd w:val="clear" w:color="auto" w:fill="FFFFFF" w:themeFill="background1"/>
          </w:tcPr>
          <w:p w14:paraId="5DD47C5F" w14:textId="77777777" w:rsidR="00562FD1" w:rsidRPr="00993C3B" w:rsidRDefault="00562FD1" w:rsidP="00DB19BE">
            <w:pPr>
              <w:jc w:val="center"/>
              <w:rPr>
                <w:sz w:val="18"/>
                <w:szCs w:val="18"/>
              </w:rPr>
            </w:pPr>
          </w:p>
        </w:tc>
        <w:tc>
          <w:tcPr>
            <w:tcW w:w="640" w:type="dxa"/>
            <w:tcBorders>
              <w:bottom w:val="single" w:sz="4" w:space="0" w:color="A6A8AB"/>
            </w:tcBorders>
            <w:shd w:val="clear" w:color="auto" w:fill="FFFFFF" w:themeFill="background1"/>
          </w:tcPr>
          <w:p w14:paraId="3BB4408C" w14:textId="77777777" w:rsidR="00562FD1" w:rsidRPr="00993C3B" w:rsidRDefault="00562FD1" w:rsidP="00DB19BE">
            <w:pPr>
              <w:jc w:val="center"/>
              <w:rPr>
                <w:sz w:val="18"/>
                <w:szCs w:val="18"/>
              </w:rPr>
            </w:pPr>
          </w:p>
        </w:tc>
        <w:tc>
          <w:tcPr>
            <w:tcW w:w="620" w:type="dxa"/>
            <w:tcBorders>
              <w:bottom w:val="single" w:sz="4" w:space="0" w:color="A6A8AB"/>
            </w:tcBorders>
            <w:shd w:val="clear" w:color="auto" w:fill="FFFFFF" w:themeFill="background1"/>
          </w:tcPr>
          <w:p w14:paraId="0D1D1441" w14:textId="77777777" w:rsidR="00562FD1" w:rsidRPr="00993C3B" w:rsidRDefault="00562FD1" w:rsidP="00DB19BE">
            <w:pPr>
              <w:jc w:val="center"/>
              <w:rPr>
                <w:sz w:val="18"/>
                <w:szCs w:val="18"/>
              </w:rPr>
            </w:pPr>
            <w:r w:rsidRPr="00993C3B">
              <w:rPr>
                <w:sz w:val="18"/>
                <w:szCs w:val="18"/>
              </w:rPr>
              <w:sym w:font="Wingdings" w:char="F0FC"/>
            </w:r>
          </w:p>
        </w:tc>
        <w:tc>
          <w:tcPr>
            <w:tcW w:w="4479" w:type="dxa"/>
            <w:shd w:val="clear" w:color="auto" w:fill="FFFFFF" w:themeFill="background1"/>
          </w:tcPr>
          <w:p w14:paraId="2F9EA97A" w14:textId="77777777" w:rsidR="00562FD1" w:rsidRDefault="00562FD1" w:rsidP="00DB19BE">
            <w:pPr>
              <w:pStyle w:val="Tablesubhead"/>
            </w:pPr>
            <w:r w:rsidRPr="00993C3B">
              <w:t xml:space="preserve">Using units of measure </w:t>
            </w:r>
          </w:p>
          <w:p w14:paraId="74D87912" w14:textId="77777777" w:rsidR="00562FD1" w:rsidRPr="00993C3B" w:rsidRDefault="00562FD1" w:rsidP="005F4BC2">
            <w:pPr>
              <w:pStyle w:val="Tabletext"/>
            </w:pPr>
            <w:r w:rsidRPr="00993C3B">
              <w:t>Solve problems involving surface area and volume for a range of prisms, cylinders and composite solids</w:t>
            </w:r>
          </w:p>
        </w:tc>
        <w:tc>
          <w:tcPr>
            <w:tcW w:w="630" w:type="dxa"/>
            <w:shd w:val="clear" w:color="auto" w:fill="FFFFFF" w:themeFill="background1"/>
          </w:tcPr>
          <w:p w14:paraId="2FA999E2" w14:textId="77777777" w:rsidR="00562FD1" w:rsidRPr="00993C3B" w:rsidRDefault="00562FD1" w:rsidP="0098055F">
            <w:pPr>
              <w:jc w:val="center"/>
              <w:rPr>
                <w:sz w:val="18"/>
                <w:szCs w:val="18"/>
              </w:rPr>
            </w:pPr>
          </w:p>
        </w:tc>
        <w:tc>
          <w:tcPr>
            <w:tcW w:w="672" w:type="dxa"/>
            <w:shd w:val="clear" w:color="auto" w:fill="FFFFFF" w:themeFill="background1"/>
          </w:tcPr>
          <w:p w14:paraId="18812DC6" w14:textId="77777777" w:rsidR="00562FD1" w:rsidRPr="00993C3B" w:rsidRDefault="00562FD1" w:rsidP="00DB19BE">
            <w:pPr>
              <w:jc w:val="center"/>
              <w:rPr>
                <w:sz w:val="18"/>
                <w:szCs w:val="18"/>
              </w:rPr>
            </w:pPr>
          </w:p>
        </w:tc>
        <w:tc>
          <w:tcPr>
            <w:tcW w:w="602" w:type="dxa"/>
            <w:shd w:val="clear" w:color="auto" w:fill="FFFFFF" w:themeFill="background1"/>
          </w:tcPr>
          <w:p w14:paraId="2EC5C106" w14:textId="77777777" w:rsidR="00562FD1" w:rsidRPr="00993C3B" w:rsidRDefault="00562FD1" w:rsidP="00DB19BE">
            <w:pPr>
              <w:jc w:val="center"/>
              <w:rPr>
                <w:sz w:val="18"/>
                <w:szCs w:val="18"/>
              </w:rPr>
            </w:pPr>
            <w:r w:rsidRPr="00993C3B">
              <w:rPr>
                <w:sz w:val="18"/>
                <w:szCs w:val="18"/>
              </w:rPr>
              <w:sym w:font="Wingdings" w:char="F0FC"/>
            </w:r>
          </w:p>
        </w:tc>
        <w:tc>
          <w:tcPr>
            <w:tcW w:w="602" w:type="dxa"/>
            <w:shd w:val="clear" w:color="auto" w:fill="FFFFFF" w:themeFill="background1"/>
          </w:tcPr>
          <w:p w14:paraId="738AD094" w14:textId="77777777" w:rsidR="00562FD1" w:rsidRPr="00993C3B" w:rsidRDefault="00562FD1" w:rsidP="00DB19BE">
            <w:pPr>
              <w:jc w:val="center"/>
              <w:rPr>
                <w:sz w:val="18"/>
                <w:szCs w:val="18"/>
              </w:rPr>
            </w:pPr>
          </w:p>
        </w:tc>
        <w:tc>
          <w:tcPr>
            <w:tcW w:w="4619" w:type="dxa"/>
            <w:shd w:val="clear" w:color="auto" w:fill="FFFFFF" w:themeFill="background1"/>
          </w:tcPr>
          <w:p w14:paraId="2F70AFF5" w14:textId="77777777" w:rsidR="00562FD1" w:rsidRDefault="00562FD1" w:rsidP="00DB19BE">
            <w:pPr>
              <w:pStyle w:val="Tablesubhead"/>
            </w:pPr>
            <w:r w:rsidRPr="00993C3B">
              <w:t xml:space="preserve">Chance </w:t>
            </w:r>
          </w:p>
          <w:p w14:paraId="111B1CF4" w14:textId="77777777" w:rsidR="00562FD1" w:rsidRPr="00993C3B" w:rsidRDefault="00562FD1" w:rsidP="005F4BC2">
            <w:pPr>
              <w:pStyle w:val="Tabletext"/>
            </w:pPr>
            <w:r w:rsidRPr="00993C3B">
              <w:t>Describe the results of two- and three-step chance experiments, both with and without replacements, assign probabilities to outcomes and determine probabilities of events. Investigate the concept of independence</w:t>
            </w:r>
          </w:p>
        </w:tc>
        <w:tc>
          <w:tcPr>
            <w:tcW w:w="602" w:type="dxa"/>
            <w:shd w:val="clear" w:color="auto" w:fill="FFFFFF" w:themeFill="background1"/>
          </w:tcPr>
          <w:p w14:paraId="5832730A" w14:textId="77777777" w:rsidR="00562FD1" w:rsidRPr="00993C3B" w:rsidRDefault="00562FD1" w:rsidP="0098055F">
            <w:pPr>
              <w:jc w:val="center"/>
              <w:rPr>
                <w:sz w:val="18"/>
                <w:szCs w:val="18"/>
              </w:rPr>
            </w:pPr>
          </w:p>
        </w:tc>
        <w:tc>
          <w:tcPr>
            <w:tcW w:w="602" w:type="dxa"/>
            <w:shd w:val="clear" w:color="auto" w:fill="FFFFFF" w:themeFill="background1"/>
          </w:tcPr>
          <w:p w14:paraId="22741B87" w14:textId="77777777" w:rsidR="00562FD1" w:rsidRPr="00993C3B" w:rsidRDefault="00562FD1" w:rsidP="00DB19BE">
            <w:pPr>
              <w:jc w:val="center"/>
              <w:rPr>
                <w:sz w:val="18"/>
                <w:szCs w:val="18"/>
              </w:rPr>
            </w:pPr>
          </w:p>
        </w:tc>
        <w:tc>
          <w:tcPr>
            <w:tcW w:w="588" w:type="dxa"/>
            <w:shd w:val="clear" w:color="auto" w:fill="FFFFFF" w:themeFill="background1"/>
          </w:tcPr>
          <w:p w14:paraId="5B50DC2A" w14:textId="77777777" w:rsidR="00562FD1" w:rsidRPr="00993C3B" w:rsidRDefault="00562FD1" w:rsidP="00DB19BE">
            <w:pPr>
              <w:jc w:val="center"/>
              <w:rPr>
                <w:sz w:val="18"/>
                <w:szCs w:val="18"/>
              </w:rPr>
            </w:pPr>
          </w:p>
        </w:tc>
        <w:tc>
          <w:tcPr>
            <w:tcW w:w="588" w:type="dxa"/>
            <w:shd w:val="clear" w:color="auto" w:fill="FFFFFF" w:themeFill="background1"/>
          </w:tcPr>
          <w:p w14:paraId="481B1418"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2D339D4D" w14:textId="77777777" w:rsidTr="00DB19BE">
        <w:trPr>
          <w:trHeight w:val="253"/>
        </w:trPr>
        <w:tc>
          <w:tcPr>
            <w:tcW w:w="4517" w:type="dxa"/>
            <w:shd w:val="clear" w:color="auto" w:fill="auto"/>
          </w:tcPr>
          <w:p w14:paraId="685BFA21" w14:textId="77777777" w:rsidR="00562FD1" w:rsidRDefault="00562FD1" w:rsidP="00DB19BE">
            <w:pPr>
              <w:pStyle w:val="Tablesubhead"/>
              <w:rPr>
                <w:rStyle w:val="Shading2"/>
              </w:rPr>
            </w:pPr>
            <w:r w:rsidRPr="00A058A1">
              <w:rPr>
                <w:rStyle w:val="Shading2"/>
              </w:rPr>
              <w:t xml:space="preserve">Real numbers </w:t>
            </w:r>
          </w:p>
          <w:p w14:paraId="2B97A133" w14:textId="77777777" w:rsidR="00562FD1" w:rsidRPr="00094E5E" w:rsidRDefault="00562FD1" w:rsidP="00844C7E">
            <w:pPr>
              <w:pStyle w:val="Tabletext"/>
              <w:rPr>
                <w:rStyle w:val="Shading2"/>
              </w:rPr>
            </w:pPr>
            <w:r w:rsidRPr="00DB19BE">
              <w:rPr>
                <w:rStyle w:val="Shading2"/>
              </w:rPr>
              <w:t xml:space="preserve">Define rational and irrational numbers and perform operations with surds and fractional indices </w:t>
            </w:r>
          </w:p>
        </w:tc>
        <w:tc>
          <w:tcPr>
            <w:tcW w:w="628" w:type="dxa"/>
            <w:shd w:val="clear" w:color="auto" w:fill="auto"/>
          </w:tcPr>
          <w:p w14:paraId="730FF9DD" w14:textId="77777777" w:rsidR="00562FD1" w:rsidRPr="00094E5E" w:rsidRDefault="00562FD1" w:rsidP="00DB19BE">
            <w:pPr>
              <w:pStyle w:val="Tabletext"/>
              <w:jc w:val="center"/>
              <w:rPr>
                <w:rStyle w:val="Shading2"/>
                <w:b/>
                <w:bCs/>
              </w:rPr>
            </w:pPr>
            <w:r w:rsidRPr="007C6B57">
              <w:sym w:font="Wingdings" w:char="F0FC"/>
            </w:r>
          </w:p>
        </w:tc>
        <w:tc>
          <w:tcPr>
            <w:tcW w:w="589" w:type="dxa"/>
            <w:shd w:val="clear" w:color="auto" w:fill="auto"/>
          </w:tcPr>
          <w:p w14:paraId="46F19968" w14:textId="77777777" w:rsidR="00562FD1" w:rsidRPr="0098055F" w:rsidRDefault="00562FD1" w:rsidP="00DB19BE">
            <w:pPr>
              <w:pStyle w:val="Tablesubhead"/>
              <w:jc w:val="center"/>
              <w:rPr>
                <w:rStyle w:val="Shading2"/>
              </w:rPr>
            </w:pPr>
          </w:p>
        </w:tc>
        <w:tc>
          <w:tcPr>
            <w:tcW w:w="640" w:type="dxa"/>
            <w:shd w:val="clear" w:color="auto" w:fill="auto"/>
          </w:tcPr>
          <w:p w14:paraId="3D970A04" w14:textId="77777777" w:rsidR="00562FD1" w:rsidRPr="00DB19BE" w:rsidRDefault="00562FD1" w:rsidP="00DB19BE">
            <w:pPr>
              <w:pStyle w:val="Tablesubhead"/>
              <w:jc w:val="center"/>
              <w:rPr>
                <w:rStyle w:val="Shading2"/>
              </w:rPr>
            </w:pPr>
          </w:p>
        </w:tc>
        <w:tc>
          <w:tcPr>
            <w:tcW w:w="620" w:type="dxa"/>
            <w:shd w:val="clear" w:color="auto" w:fill="auto"/>
          </w:tcPr>
          <w:p w14:paraId="6668101F" w14:textId="77777777" w:rsidR="00562FD1" w:rsidRPr="00DB19BE" w:rsidRDefault="00562FD1" w:rsidP="00DB19BE">
            <w:pPr>
              <w:pStyle w:val="Tablesubhead"/>
              <w:jc w:val="center"/>
              <w:rPr>
                <w:rStyle w:val="Shading2"/>
              </w:rPr>
            </w:pPr>
          </w:p>
        </w:tc>
        <w:tc>
          <w:tcPr>
            <w:tcW w:w="4479" w:type="dxa"/>
            <w:tcBorders>
              <w:bottom w:val="single" w:sz="4" w:space="0" w:color="A6A8AB"/>
            </w:tcBorders>
            <w:shd w:val="clear" w:color="auto" w:fill="FFFFFF" w:themeFill="background1"/>
          </w:tcPr>
          <w:p w14:paraId="413F58D7" w14:textId="77777777" w:rsidR="00562FD1" w:rsidRPr="00DB19BE" w:rsidRDefault="00562FD1" w:rsidP="00844C7E">
            <w:pPr>
              <w:pStyle w:val="Tabletext"/>
              <w:rPr>
                <w:rStyle w:val="Shading2"/>
              </w:rPr>
            </w:pPr>
            <w:r w:rsidRPr="00DB19BE">
              <w:rPr>
                <w:rStyle w:val="Shading2"/>
              </w:rPr>
              <w:t xml:space="preserve">Solve problems involving surface area and volume of right pyramids, right cones, spheres and related composite solids </w:t>
            </w:r>
          </w:p>
        </w:tc>
        <w:tc>
          <w:tcPr>
            <w:tcW w:w="630" w:type="dxa"/>
            <w:tcBorders>
              <w:bottom w:val="single" w:sz="4" w:space="0" w:color="A6A8AB"/>
            </w:tcBorders>
            <w:shd w:val="clear" w:color="auto" w:fill="FFFFFF" w:themeFill="background1"/>
          </w:tcPr>
          <w:p w14:paraId="3640194E" w14:textId="77777777" w:rsidR="00562FD1" w:rsidRPr="00993C3B" w:rsidRDefault="00562FD1" w:rsidP="0098055F">
            <w:pPr>
              <w:jc w:val="center"/>
              <w:rPr>
                <w:sz w:val="18"/>
                <w:szCs w:val="18"/>
              </w:rPr>
            </w:pPr>
          </w:p>
        </w:tc>
        <w:tc>
          <w:tcPr>
            <w:tcW w:w="672" w:type="dxa"/>
            <w:tcBorders>
              <w:bottom w:val="single" w:sz="4" w:space="0" w:color="A6A8AB"/>
            </w:tcBorders>
            <w:shd w:val="clear" w:color="auto" w:fill="FFFFFF" w:themeFill="background1"/>
          </w:tcPr>
          <w:p w14:paraId="5417A013" w14:textId="77777777" w:rsidR="00562FD1" w:rsidRPr="00993C3B" w:rsidRDefault="00562FD1" w:rsidP="00DB19BE">
            <w:pPr>
              <w:jc w:val="center"/>
              <w:rPr>
                <w:sz w:val="18"/>
                <w:szCs w:val="18"/>
              </w:rPr>
            </w:pPr>
          </w:p>
        </w:tc>
        <w:tc>
          <w:tcPr>
            <w:tcW w:w="602" w:type="dxa"/>
            <w:tcBorders>
              <w:bottom w:val="single" w:sz="4" w:space="0" w:color="A6A8AB"/>
            </w:tcBorders>
            <w:shd w:val="clear" w:color="auto" w:fill="FFFFFF" w:themeFill="background1"/>
          </w:tcPr>
          <w:p w14:paraId="2964D178" w14:textId="77777777" w:rsidR="00562FD1" w:rsidRPr="00993C3B" w:rsidRDefault="00562FD1" w:rsidP="00DB19BE">
            <w:pPr>
              <w:jc w:val="center"/>
              <w:rPr>
                <w:sz w:val="18"/>
                <w:szCs w:val="18"/>
              </w:rPr>
            </w:pPr>
            <w:r w:rsidRPr="00993C3B">
              <w:rPr>
                <w:sz w:val="18"/>
                <w:szCs w:val="18"/>
              </w:rPr>
              <w:sym w:font="Wingdings" w:char="F0FC"/>
            </w:r>
          </w:p>
        </w:tc>
        <w:tc>
          <w:tcPr>
            <w:tcW w:w="602" w:type="dxa"/>
            <w:tcBorders>
              <w:bottom w:val="single" w:sz="4" w:space="0" w:color="A6A8AB"/>
            </w:tcBorders>
            <w:shd w:val="clear" w:color="auto" w:fill="FFFFFF" w:themeFill="background1"/>
          </w:tcPr>
          <w:p w14:paraId="1BC4B6E5" w14:textId="77777777" w:rsidR="00562FD1" w:rsidRPr="00993C3B" w:rsidRDefault="00562FD1" w:rsidP="00DB19BE">
            <w:pPr>
              <w:jc w:val="center"/>
              <w:rPr>
                <w:sz w:val="18"/>
                <w:szCs w:val="18"/>
              </w:rPr>
            </w:pPr>
          </w:p>
        </w:tc>
        <w:tc>
          <w:tcPr>
            <w:tcW w:w="4619" w:type="dxa"/>
            <w:shd w:val="clear" w:color="auto" w:fill="FFFFFF" w:themeFill="background1"/>
          </w:tcPr>
          <w:p w14:paraId="64A941E9" w14:textId="77777777" w:rsidR="00562FD1" w:rsidRPr="00993C3B" w:rsidRDefault="00562FD1" w:rsidP="00844C7E">
            <w:pPr>
              <w:rPr>
                <w:sz w:val="18"/>
                <w:szCs w:val="18"/>
              </w:rPr>
            </w:pPr>
            <w:r w:rsidRPr="005F4BC2">
              <w:rPr>
                <w:sz w:val="19"/>
              </w:rPr>
              <w:t>Use the language of ‘if ...then, ‘given’, ‘of’, ‘knowing that’ to investigate conditional statements and identify common mistakes in interpreting such language</w:t>
            </w:r>
            <w:r w:rsidRPr="00993C3B">
              <w:rPr>
                <w:sz w:val="18"/>
                <w:szCs w:val="18"/>
              </w:rPr>
              <w:t xml:space="preserve"> </w:t>
            </w:r>
          </w:p>
        </w:tc>
        <w:tc>
          <w:tcPr>
            <w:tcW w:w="602" w:type="dxa"/>
            <w:shd w:val="clear" w:color="auto" w:fill="FFFFFF" w:themeFill="background1"/>
          </w:tcPr>
          <w:p w14:paraId="4C5275DD" w14:textId="77777777" w:rsidR="00562FD1" w:rsidRPr="00993C3B" w:rsidRDefault="00562FD1" w:rsidP="0098055F">
            <w:pPr>
              <w:jc w:val="center"/>
              <w:rPr>
                <w:sz w:val="18"/>
                <w:szCs w:val="18"/>
              </w:rPr>
            </w:pPr>
          </w:p>
        </w:tc>
        <w:tc>
          <w:tcPr>
            <w:tcW w:w="602" w:type="dxa"/>
            <w:shd w:val="clear" w:color="auto" w:fill="FFFFFF" w:themeFill="background1"/>
          </w:tcPr>
          <w:p w14:paraId="1280808C" w14:textId="77777777" w:rsidR="00562FD1" w:rsidRPr="00993C3B" w:rsidRDefault="00562FD1" w:rsidP="00DB19BE">
            <w:pPr>
              <w:jc w:val="center"/>
              <w:rPr>
                <w:sz w:val="18"/>
                <w:szCs w:val="18"/>
              </w:rPr>
            </w:pPr>
          </w:p>
        </w:tc>
        <w:tc>
          <w:tcPr>
            <w:tcW w:w="588" w:type="dxa"/>
            <w:shd w:val="clear" w:color="auto" w:fill="FFFFFF" w:themeFill="background1"/>
          </w:tcPr>
          <w:p w14:paraId="66D0257E" w14:textId="77777777" w:rsidR="00562FD1" w:rsidRPr="00993C3B" w:rsidRDefault="00562FD1" w:rsidP="00DB19BE">
            <w:pPr>
              <w:jc w:val="center"/>
              <w:rPr>
                <w:sz w:val="18"/>
                <w:szCs w:val="18"/>
              </w:rPr>
            </w:pPr>
          </w:p>
        </w:tc>
        <w:tc>
          <w:tcPr>
            <w:tcW w:w="588" w:type="dxa"/>
            <w:shd w:val="clear" w:color="auto" w:fill="FFFFFF" w:themeFill="background1"/>
          </w:tcPr>
          <w:p w14:paraId="5A3B3A2C"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1840B410" w14:textId="77777777" w:rsidTr="00DB19BE">
        <w:trPr>
          <w:trHeight w:val="253"/>
        </w:trPr>
        <w:tc>
          <w:tcPr>
            <w:tcW w:w="4517" w:type="dxa"/>
            <w:shd w:val="clear" w:color="auto" w:fill="FFFFFF" w:themeFill="background1"/>
          </w:tcPr>
          <w:p w14:paraId="30265B5B" w14:textId="77777777" w:rsidR="00562FD1" w:rsidRPr="00DB19BE" w:rsidRDefault="00562FD1" w:rsidP="00DB19BE">
            <w:pPr>
              <w:pStyle w:val="Tabletext"/>
              <w:rPr>
                <w:rStyle w:val="Shading2"/>
              </w:rPr>
            </w:pPr>
            <w:r w:rsidRPr="00DB19BE">
              <w:rPr>
                <w:rStyle w:val="Shading2"/>
              </w:rPr>
              <w:t>Use the definition of a logarithm to establish and apply the laws of logarithms</w:t>
            </w:r>
          </w:p>
        </w:tc>
        <w:tc>
          <w:tcPr>
            <w:tcW w:w="628" w:type="dxa"/>
            <w:shd w:val="clear" w:color="auto" w:fill="FFFFFF" w:themeFill="background1"/>
          </w:tcPr>
          <w:p w14:paraId="4A8B775E" w14:textId="77777777" w:rsidR="00562FD1" w:rsidRPr="00993C3B" w:rsidRDefault="00562FD1" w:rsidP="00DB19BE">
            <w:pPr>
              <w:jc w:val="center"/>
              <w:rPr>
                <w:color w:val="C00000"/>
                <w:sz w:val="18"/>
                <w:szCs w:val="18"/>
              </w:rPr>
            </w:pPr>
            <w:r w:rsidRPr="00D4753D">
              <w:rPr>
                <w:sz w:val="18"/>
                <w:szCs w:val="18"/>
              </w:rPr>
              <w:sym w:font="Wingdings" w:char="F0FC"/>
            </w:r>
          </w:p>
        </w:tc>
        <w:tc>
          <w:tcPr>
            <w:tcW w:w="589" w:type="dxa"/>
            <w:shd w:val="clear" w:color="auto" w:fill="FFFFFF" w:themeFill="background1"/>
          </w:tcPr>
          <w:p w14:paraId="636F2BA9" w14:textId="77777777" w:rsidR="00562FD1" w:rsidRPr="00D4753D" w:rsidRDefault="00562FD1" w:rsidP="00DB19BE">
            <w:pPr>
              <w:jc w:val="center"/>
              <w:rPr>
                <w:sz w:val="18"/>
                <w:szCs w:val="18"/>
              </w:rPr>
            </w:pPr>
          </w:p>
        </w:tc>
        <w:tc>
          <w:tcPr>
            <w:tcW w:w="640" w:type="dxa"/>
            <w:shd w:val="clear" w:color="auto" w:fill="FFFFFF" w:themeFill="background1"/>
          </w:tcPr>
          <w:p w14:paraId="3AEADC6B" w14:textId="77777777" w:rsidR="00562FD1" w:rsidRPr="00993C3B" w:rsidRDefault="00562FD1" w:rsidP="00DB19BE">
            <w:pPr>
              <w:jc w:val="center"/>
              <w:rPr>
                <w:color w:val="C00000"/>
                <w:sz w:val="18"/>
                <w:szCs w:val="18"/>
              </w:rPr>
            </w:pPr>
          </w:p>
        </w:tc>
        <w:tc>
          <w:tcPr>
            <w:tcW w:w="620" w:type="dxa"/>
            <w:shd w:val="clear" w:color="auto" w:fill="FFFFFF" w:themeFill="background1"/>
          </w:tcPr>
          <w:p w14:paraId="5F16CF88" w14:textId="77777777" w:rsidR="00562FD1" w:rsidRPr="00993C3B" w:rsidRDefault="00562FD1" w:rsidP="00DB19BE">
            <w:pPr>
              <w:jc w:val="center"/>
              <w:rPr>
                <w:color w:val="C00000"/>
                <w:sz w:val="18"/>
                <w:szCs w:val="18"/>
              </w:rPr>
            </w:pPr>
          </w:p>
        </w:tc>
        <w:tc>
          <w:tcPr>
            <w:tcW w:w="4479" w:type="dxa"/>
            <w:shd w:val="clear" w:color="auto" w:fill="auto"/>
          </w:tcPr>
          <w:p w14:paraId="09248C5F" w14:textId="77777777" w:rsidR="00562FD1" w:rsidRDefault="00562FD1" w:rsidP="00844C7E">
            <w:pPr>
              <w:pStyle w:val="Tablesubhead"/>
            </w:pPr>
            <w:r w:rsidRPr="00993C3B">
              <w:t>Geometric reasoning</w:t>
            </w:r>
          </w:p>
          <w:p w14:paraId="5A29C491" w14:textId="77777777" w:rsidR="00562FD1" w:rsidRPr="00993C3B" w:rsidRDefault="00562FD1" w:rsidP="005F4BC2">
            <w:r w:rsidRPr="005F4BC2">
              <w:rPr>
                <w:sz w:val="19"/>
              </w:rPr>
              <w:t>Formulate proofs involving congruent triangles and angle properties</w:t>
            </w:r>
            <w:r w:rsidRPr="00993C3B">
              <w:rPr>
                <w:rFonts w:eastAsia="SimSun"/>
              </w:rPr>
              <w:t> </w:t>
            </w:r>
          </w:p>
        </w:tc>
        <w:tc>
          <w:tcPr>
            <w:tcW w:w="630" w:type="dxa"/>
            <w:shd w:val="clear" w:color="auto" w:fill="auto"/>
          </w:tcPr>
          <w:p w14:paraId="0F66E763" w14:textId="77777777" w:rsidR="00562FD1" w:rsidRPr="00993C3B" w:rsidRDefault="00562FD1" w:rsidP="00DB19BE">
            <w:pPr>
              <w:pStyle w:val="Tabletext"/>
              <w:jc w:val="center"/>
            </w:pPr>
          </w:p>
        </w:tc>
        <w:tc>
          <w:tcPr>
            <w:tcW w:w="672" w:type="dxa"/>
            <w:shd w:val="clear" w:color="auto" w:fill="auto"/>
          </w:tcPr>
          <w:p w14:paraId="79C78C57" w14:textId="77777777" w:rsidR="00562FD1" w:rsidRPr="00993C3B" w:rsidRDefault="00562FD1" w:rsidP="00DB19BE">
            <w:pPr>
              <w:pStyle w:val="Tabletext"/>
              <w:jc w:val="center"/>
            </w:pPr>
            <w:r w:rsidRPr="00993C3B">
              <w:rPr>
                <w:sz w:val="18"/>
                <w:szCs w:val="18"/>
              </w:rPr>
              <w:sym w:font="Wingdings" w:char="F0FC"/>
            </w:r>
          </w:p>
        </w:tc>
        <w:tc>
          <w:tcPr>
            <w:tcW w:w="602" w:type="dxa"/>
            <w:shd w:val="clear" w:color="auto" w:fill="auto"/>
          </w:tcPr>
          <w:p w14:paraId="775FDB77" w14:textId="77777777" w:rsidR="00562FD1" w:rsidRPr="00993C3B" w:rsidRDefault="00562FD1" w:rsidP="00DB19BE">
            <w:pPr>
              <w:pStyle w:val="Tabletext"/>
              <w:jc w:val="center"/>
            </w:pPr>
          </w:p>
        </w:tc>
        <w:tc>
          <w:tcPr>
            <w:tcW w:w="602" w:type="dxa"/>
            <w:shd w:val="clear" w:color="auto" w:fill="auto"/>
          </w:tcPr>
          <w:p w14:paraId="337359CB" w14:textId="77777777" w:rsidR="00562FD1" w:rsidRPr="00993C3B" w:rsidRDefault="00562FD1" w:rsidP="00DB19BE">
            <w:pPr>
              <w:pStyle w:val="Tabletext"/>
              <w:jc w:val="center"/>
            </w:pPr>
          </w:p>
        </w:tc>
        <w:tc>
          <w:tcPr>
            <w:tcW w:w="4619" w:type="dxa"/>
            <w:tcBorders>
              <w:bottom w:val="single" w:sz="4" w:space="0" w:color="A6A8AB"/>
            </w:tcBorders>
            <w:shd w:val="clear" w:color="auto" w:fill="FFFFFF" w:themeFill="background1"/>
          </w:tcPr>
          <w:p w14:paraId="6B489A6F" w14:textId="77777777" w:rsidR="00562FD1" w:rsidRPr="00993C3B" w:rsidRDefault="00562FD1" w:rsidP="00844C7E">
            <w:pPr>
              <w:pStyle w:val="Tabletext"/>
              <w:rPr>
                <w:sz w:val="18"/>
                <w:szCs w:val="18"/>
              </w:rPr>
            </w:pPr>
            <w:r w:rsidRPr="007C6B57">
              <w:rPr>
                <w:rStyle w:val="Shading2"/>
              </w:rPr>
              <w:t>Investigate reports of studies in digital media and elsewhere for information on their planning and implementation</w:t>
            </w:r>
            <w:r w:rsidRPr="00D4753D">
              <w:rPr>
                <w:sz w:val="18"/>
                <w:szCs w:val="18"/>
              </w:rPr>
              <w:t xml:space="preserve"> </w:t>
            </w:r>
          </w:p>
        </w:tc>
        <w:tc>
          <w:tcPr>
            <w:tcW w:w="602" w:type="dxa"/>
            <w:tcBorders>
              <w:bottom w:val="single" w:sz="4" w:space="0" w:color="A6A8AB"/>
            </w:tcBorders>
            <w:shd w:val="clear" w:color="auto" w:fill="FFFFFF" w:themeFill="background1"/>
          </w:tcPr>
          <w:p w14:paraId="5B597E6C" w14:textId="77777777" w:rsidR="00562FD1" w:rsidRPr="00993C3B" w:rsidRDefault="00562FD1" w:rsidP="0098055F">
            <w:pPr>
              <w:jc w:val="center"/>
              <w:rPr>
                <w:sz w:val="18"/>
                <w:szCs w:val="18"/>
              </w:rPr>
            </w:pPr>
          </w:p>
        </w:tc>
        <w:tc>
          <w:tcPr>
            <w:tcW w:w="602" w:type="dxa"/>
            <w:tcBorders>
              <w:bottom w:val="single" w:sz="4" w:space="0" w:color="A6A8AB"/>
            </w:tcBorders>
            <w:shd w:val="clear" w:color="auto" w:fill="FFFFFF" w:themeFill="background1"/>
          </w:tcPr>
          <w:p w14:paraId="1353D6DE" w14:textId="77777777" w:rsidR="00562FD1" w:rsidRPr="00993C3B" w:rsidRDefault="00562FD1" w:rsidP="00DB19BE">
            <w:pPr>
              <w:jc w:val="center"/>
              <w:rPr>
                <w:sz w:val="18"/>
                <w:szCs w:val="18"/>
              </w:rPr>
            </w:pPr>
          </w:p>
        </w:tc>
        <w:tc>
          <w:tcPr>
            <w:tcW w:w="588" w:type="dxa"/>
            <w:tcBorders>
              <w:bottom w:val="single" w:sz="4" w:space="0" w:color="A6A8AB"/>
            </w:tcBorders>
            <w:shd w:val="clear" w:color="auto" w:fill="FFFFFF" w:themeFill="background1"/>
          </w:tcPr>
          <w:p w14:paraId="1266D021" w14:textId="77777777" w:rsidR="00562FD1" w:rsidRPr="00993C3B" w:rsidRDefault="00562FD1" w:rsidP="00DB19BE">
            <w:pPr>
              <w:jc w:val="center"/>
              <w:rPr>
                <w:sz w:val="18"/>
                <w:szCs w:val="18"/>
              </w:rPr>
            </w:pPr>
          </w:p>
        </w:tc>
        <w:tc>
          <w:tcPr>
            <w:tcW w:w="588" w:type="dxa"/>
            <w:tcBorders>
              <w:bottom w:val="single" w:sz="4" w:space="0" w:color="A6A8AB"/>
            </w:tcBorders>
            <w:shd w:val="clear" w:color="auto" w:fill="FFFFFF" w:themeFill="background1"/>
          </w:tcPr>
          <w:p w14:paraId="0D4B2E6D"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085FB795" w14:textId="77777777" w:rsidTr="00DB19BE">
        <w:trPr>
          <w:trHeight w:val="661"/>
        </w:trPr>
        <w:tc>
          <w:tcPr>
            <w:tcW w:w="4517" w:type="dxa"/>
            <w:tcBorders>
              <w:bottom w:val="single" w:sz="4" w:space="0" w:color="A6A8AB"/>
            </w:tcBorders>
            <w:shd w:val="clear" w:color="auto" w:fill="FFFFFF" w:themeFill="background1"/>
          </w:tcPr>
          <w:p w14:paraId="05488097" w14:textId="77777777" w:rsidR="005F4BC2" w:rsidRDefault="00562FD1" w:rsidP="00844C7E">
            <w:pPr>
              <w:pStyle w:val="Tablesubhead"/>
              <w:rPr>
                <w:sz w:val="18"/>
                <w:szCs w:val="18"/>
              </w:rPr>
            </w:pPr>
            <w:r w:rsidRPr="00993C3B">
              <w:t>Patterns and algebra</w:t>
            </w:r>
            <w:r w:rsidRPr="00993C3B">
              <w:rPr>
                <w:sz w:val="18"/>
                <w:szCs w:val="18"/>
              </w:rPr>
              <w:t xml:space="preserve"> </w:t>
            </w:r>
          </w:p>
          <w:p w14:paraId="4979CBDD" w14:textId="77777777" w:rsidR="00562FD1" w:rsidRPr="00993C3B" w:rsidRDefault="00562FD1" w:rsidP="005F4BC2">
            <w:pPr>
              <w:pStyle w:val="Tabletext"/>
              <w:rPr>
                <w:color w:val="C00000"/>
              </w:rPr>
            </w:pPr>
            <w:r w:rsidRPr="0042305D">
              <w:rPr>
                <w:rStyle w:val="TabletextChar"/>
                <w:bCs/>
              </w:rPr>
              <w:t>Factorise algebraic expressions by taking out a common algebraic factor</w:t>
            </w:r>
          </w:p>
        </w:tc>
        <w:tc>
          <w:tcPr>
            <w:tcW w:w="628" w:type="dxa"/>
            <w:tcBorders>
              <w:bottom w:val="single" w:sz="4" w:space="0" w:color="A6A8AB"/>
            </w:tcBorders>
            <w:shd w:val="clear" w:color="auto" w:fill="FFFFFF" w:themeFill="background1"/>
          </w:tcPr>
          <w:p w14:paraId="608EC12A" w14:textId="77777777" w:rsidR="00562FD1" w:rsidRPr="00993C3B" w:rsidRDefault="00562FD1" w:rsidP="0098055F">
            <w:pPr>
              <w:jc w:val="center"/>
              <w:rPr>
                <w:color w:val="C00000"/>
                <w:sz w:val="18"/>
                <w:szCs w:val="18"/>
              </w:rPr>
            </w:pPr>
            <w:r w:rsidRPr="00993C3B">
              <w:rPr>
                <w:sz w:val="18"/>
                <w:szCs w:val="18"/>
              </w:rPr>
              <w:sym w:font="Wingdings" w:char="F0FC"/>
            </w:r>
          </w:p>
        </w:tc>
        <w:tc>
          <w:tcPr>
            <w:tcW w:w="589" w:type="dxa"/>
            <w:tcBorders>
              <w:bottom w:val="single" w:sz="4" w:space="0" w:color="A6A8AB"/>
            </w:tcBorders>
            <w:shd w:val="clear" w:color="auto" w:fill="FFFFFF" w:themeFill="background1"/>
          </w:tcPr>
          <w:p w14:paraId="5F9546F7" w14:textId="77777777" w:rsidR="00562FD1" w:rsidRPr="00D4753D" w:rsidRDefault="00562FD1" w:rsidP="00DB19BE">
            <w:pPr>
              <w:jc w:val="center"/>
              <w:rPr>
                <w:sz w:val="18"/>
                <w:szCs w:val="18"/>
              </w:rPr>
            </w:pPr>
          </w:p>
        </w:tc>
        <w:tc>
          <w:tcPr>
            <w:tcW w:w="640" w:type="dxa"/>
            <w:tcBorders>
              <w:bottom w:val="single" w:sz="4" w:space="0" w:color="A6A8AB"/>
            </w:tcBorders>
            <w:shd w:val="clear" w:color="auto" w:fill="FFFFFF" w:themeFill="background1"/>
          </w:tcPr>
          <w:p w14:paraId="7CD06258" w14:textId="77777777" w:rsidR="00562FD1" w:rsidRPr="00993C3B" w:rsidRDefault="00562FD1" w:rsidP="00DB19BE">
            <w:pPr>
              <w:jc w:val="center"/>
              <w:rPr>
                <w:color w:val="C00000"/>
                <w:sz w:val="18"/>
                <w:szCs w:val="18"/>
              </w:rPr>
            </w:pPr>
          </w:p>
        </w:tc>
        <w:tc>
          <w:tcPr>
            <w:tcW w:w="620" w:type="dxa"/>
            <w:tcBorders>
              <w:bottom w:val="single" w:sz="4" w:space="0" w:color="A6A8AB"/>
            </w:tcBorders>
            <w:shd w:val="clear" w:color="auto" w:fill="FFFFFF" w:themeFill="background1"/>
          </w:tcPr>
          <w:p w14:paraId="6159CA65" w14:textId="77777777" w:rsidR="00562FD1" w:rsidRPr="00993C3B" w:rsidRDefault="00562FD1" w:rsidP="00DB19BE">
            <w:pPr>
              <w:jc w:val="center"/>
              <w:rPr>
                <w:color w:val="C00000"/>
                <w:sz w:val="18"/>
                <w:szCs w:val="18"/>
              </w:rPr>
            </w:pPr>
          </w:p>
        </w:tc>
        <w:tc>
          <w:tcPr>
            <w:tcW w:w="4479" w:type="dxa"/>
            <w:shd w:val="clear" w:color="auto" w:fill="FFFFFF" w:themeFill="background1"/>
          </w:tcPr>
          <w:p w14:paraId="4CB66B6B" w14:textId="77777777" w:rsidR="00562FD1" w:rsidRPr="00993C3B" w:rsidRDefault="00562FD1" w:rsidP="00844C7E">
            <w:pPr>
              <w:pStyle w:val="Tabletext"/>
            </w:pPr>
            <w:r w:rsidRPr="005F4BC2">
              <w:t>Apply logical reasoning, including the use of congruence and similarity, to proofs and numerical exercises involving plane shapes</w:t>
            </w:r>
          </w:p>
        </w:tc>
        <w:tc>
          <w:tcPr>
            <w:tcW w:w="630" w:type="dxa"/>
            <w:shd w:val="clear" w:color="auto" w:fill="FFFFFF" w:themeFill="background1"/>
          </w:tcPr>
          <w:p w14:paraId="0D43C2D6" w14:textId="77777777" w:rsidR="00562FD1" w:rsidRPr="00993C3B" w:rsidRDefault="00562FD1" w:rsidP="0098055F">
            <w:pPr>
              <w:jc w:val="center"/>
              <w:rPr>
                <w:sz w:val="18"/>
                <w:szCs w:val="18"/>
              </w:rPr>
            </w:pPr>
          </w:p>
        </w:tc>
        <w:tc>
          <w:tcPr>
            <w:tcW w:w="672" w:type="dxa"/>
            <w:shd w:val="clear" w:color="auto" w:fill="FFFFFF" w:themeFill="background1"/>
          </w:tcPr>
          <w:p w14:paraId="7B9652D9" w14:textId="77777777" w:rsidR="00562FD1" w:rsidRPr="00993C3B" w:rsidRDefault="00562FD1" w:rsidP="00DB19BE">
            <w:pPr>
              <w:jc w:val="center"/>
              <w:rPr>
                <w:sz w:val="18"/>
                <w:szCs w:val="18"/>
              </w:rPr>
            </w:pPr>
            <w:r w:rsidRPr="00993C3B">
              <w:rPr>
                <w:sz w:val="18"/>
                <w:szCs w:val="18"/>
              </w:rPr>
              <w:sym w:font="Wingdings" w:char="F0FC"/>
            </w:r>
          </w:p>
        </w:tc>
        <w:tc>
          <w:tcPr>
            <w:tcW w:w="602" w:type="dxa"/>
            <w:shd w:val="clear" w:color="auto" w:fill="FFFFFF" w:themeFill="background1"/>
          </w:tcPr>
          <w:p w14:paraId="50F53722" w14:textId="77777777" w:rsidR="00562FD1" w:rsidRPr="00993C3B" w:rsidRDefault="00562FD1" w:rsidP="00DB19BE">
            <w:pPr>
              <w:jc w:val="center"/>
              <w:rPr>
                <w:sz w:val="18"/>
                <w:szCs w:val="18"/>
              </w:rPr>
            </w:pPr>
          </w:p>
        </w:tc>
        <w:tc>
          <w:tcPr>
            <w:tcW w:w="602" w:type="dxa"/>
            <w:shd w:val="clear" w:color="auto" w:fill="FFFFFF" w:themeFill="background1"/>
          </w:tcPr>
          <w:p w14:paraId="6A50E732" w14:textId="77777777" w:rsidR="00562FD1" w:rsidRPr="00993C3B" w:rsidRDefault="00562FD1" w:rsidP="00DB19BE">
            <w:pPr>
              <w:jc w:val="center"/>
              <w:rPr>
                <w:sz w:val="18"/>
                <w:szCs w:val="18"/>
              </w:rPr>
            </w:pPr>
          </w:p>
        </w:tc>
        <w:tc>
          <w:tcPr>
            <w:tcW w:w="4619" w:type="dxa"/>
            <w:shd w:val="clear" w:color="auto" w:fill="auto"/>
          </w:tcPr>
          <w:p w14:paraId="3CC24CD2" w14:textId="77777777" w:rsidR="00562FD1" w:rsidRDefault="00562FD1" w:rsidP="00844C7E">
            <w:pPr>
              <w:pStyle w:val="Tablesubhead"/>
            </w:pPr>
            <w:r w:rsidRPr="00993C3B">
              <w:t>Data representations and interpretation</w:t>
            </w:r>
          </w:p>
          <w:p w14:paraId="0509DE19" w14:textId="77777777" w:rsidR="00562FD1" w:rsidRPr="00993C3B" w:rsidRDefault="00562FD1" w:rsidP="005F4BC2">
            <w:pPr>
              <w:pStyle w:val="Tabletext"/>
              <w:rPr>
                <w:sz w:val="18"/>
                <w:szCs w:val="18"/>
              </w:rPr>
            </w:pPr>
            <w:r w:rsidRPr="005F4BC2">
              <w:t>Determine quartiles and interquartile range</w:t>
            </w:r>
            <w:r w:rsidRPr="00993C3B">
              <w:rPr>
                <w:sz w:val="18"/>
                <w:szCs w:val="18"/>
              </w:rPr>
              <w:t xml:space="preserve"> </w:t>
            </w:r>
          </w:p>
        </w:tc>
        <w:tc>
          <w:tcPr>
            <w:tcW w:w="602" w:type="dxa"/>
            <w:shd w:val="clear" w:color="auto" w:fill="auto"/>
          </w:tcPr>
          <w:p w14:paraId="669A1555" w14:textId="77777777" w:rsidR="00562FD1" w:rsidRPr="00993C3B" w:rsidRDefault="00562FD1" w:rsidP="0098055F">
            <w:pPr>
              <w:jc w:val="center"/>
              <w:rPr>
                <w:sz w:val="18"/>
                <w:szCs w:val="18"/>
              </w:rPr>
            </w:pPr>
          </w:p>
        </w:tc>
        <w:tc>
          <w:tcPr>
            <w:tcW w:w="602" w:type="dxa"/>
            <w:shd w:val="clear" w:color="auto" w:fill="auto"/>
          </w:tcPr>
          <w:p w14:paraId="40315D2F" w14:textId="77777777" w:rsidR="00562FD1" w:rsidRPr="00993C3B" w:rsidRDefault="00562FD1" w:rsidP="00DB19BE">
            <w:pPr>
              <w:jc w:val="center"/>
              <w:rPr>
                <w:sz w:val="18"/>
                <w:szCs w:val="18"/>
              </w:rPr>
            </w:pPr>
          </w:p>
        </w:tc>
        <w:tc>
          <w:tcPr>
            <w:tcW w:w="588" w:type="dxa"/>
            <w:shd w:val="clear" w:color="auto" w:fill="auto"/>
          </w:tcPr>
          <w:p w14:paraId="40D09EDA" w14:textId="77777777" w:rsidR="00562FD1" w:rsidRPr="00993C3B" w:rsidRDefault="00562FD1" w:rsidP="00DB19BE">
            <w:pPr>
              <w:jc w:val="center"/>
              <w:rPr>
                <w:sz w:val="18"/>
                <w:szCs w:val="18"/>
              </w:rPr>
            </w:pPr>
          </w:p>
        </w:tc>
        <w:tc>
          <w:tcPr>
            <w:tcW w:w="588" w:type="dxa"/>
            <w:shd w:val="clear" w:color="auto" w:fill="auto"/>
          </w:tcPr>
          <w:p w14:paraId="1E6AF5AD"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71A3713D" w14:textId="77777777" w:rsidTr="00DB19BE">
        <w:trPr>
          <w:trHeight w:val="253"/>
        </w:trPr>
        <w:tc>
          <w:tcPr>
            <w:tcW w:w="4517" w:type="dxa"/>
            <w:shd w:val="clear" w:color="auto" w:fill="auto"/>
          </w:tcPr>
          <w:p w14:paraId="5B12786A" w14:textId="77777777" w:rsidR="00562FD1" w:rsidRPr="00993C3B" w:rsidRDefault="00562FD1" w:rsidP="005F4BC2">
            <w:pPr>
              <w:pStyle w:val="Tabletext"/>
            </w:pPr>
            <w:r w:rsidRPr="00993C3B">
              <w:t>Simplify algebraic products and quotients using index laws </w:t>
            </w:r>
          </w:p>
        </w:tc>
        <w:tc>
          <w:tcPr>
            <w:tcW w:w="628" w:type="dxa"/>
            <w:shd w:val="clear" w:color="auto" w:fill="auto"/>
          </w:tcPr>
          <w:p w14:paraId="6EA25791" w14:textId="77777777" w:rsidR="00562FD1" w:rsidRPr="00993C3B" w:rsidRDefault="00562FD1" w:rsidP="0098055F">
            <w:pPr>
              <w:jc w:val="center"/>
              <w:rPr>
                <w:sz w:val="18"/>
                <w:szCs w:val="18"/>
              </w:rPr>
            </w:pPr>
            <w:r w:rsidRPr="00993C3B">
              <w:rPr>
                <w:sz w:val="18"/>
                <w:szCs w:val="18"/>
              </w:rPr>
              <w:sym w:font="Wingdings" w:char="F0FC"/>
            </w:r>
          </w:p>
        </w:tc>
        <w:tc>
          <w:tcPr>
            <w:tcW w:w="589" w:type="dxa"/>
            <w:shd w:val="clear" w:color="auto" w:fill="auto"/>
          </w:tcPr>
          <w:p w14:paraId="65064671" w14:textId="77777777" w:rsidR="00562FD1" w:rsidRPr="00993C3B" w:rsidRDefault="00562FD1" w:rsidP="00DB19BE">
            <w:pPr>
              <w:jc w:val="center"/>
              <w:rPr>
                <w:sz w:val="18"/>
                <w:szCs w:val="18"/>
              </w:rPr>
            </w:pPr>
          </w:p>
        </w:tc>
        <w:tc>
          <w:tcPr>
            <w:tcW w:w="640" w:type="dxa"/>
            <w:shd w:val="clear" w:color="auto" w:fill="auto"/>
          </w:tcPr>
          <w:p w14:paraId="3CC94520" w14:textId="77777777" w:rsidR="00562FD1" w:rsidRPr="00993C3B" w:rsidRDefault="00562FD1" w:rsidP="00DB19BE">
            <w:pPr>
              <w:jc w:val="center"/>
              <w:rPr>
                <w:sz w:val="18"/>
                <w:szCs w:val="18"/>
              </w:rPr>
            </w:pPr>
          </w:p>
        </w:tc>
        <w:tc>
          <w:tcPr>
            <w:tcW w:w="620" w:type="dxa"/>
            <w:shd w:val="clear" w:color="auto" w:fill="auto"/>
          </w:tcPr>
          <w:p w14:paraId="106DC1EE" w14:textId="77777777" w:rsidR="00562FD1" w:rsidRPr="00993C3B" w:rsidRDefault="00562FD1" w:rsidP="00DB19BE">
            <w:pPr>
              <w:jc w:val="center"/>
              <w:rPr>
                <w:sz w:val="18"/>
                <w:szCs w:val="18"/>
              </w:rPr>
            </w:pPr>
          </w:p>
        </w:tc>
        <w:tc>
          <w:tcPr>
            <w:tcW w:w="4479" w:type="dxa"/>
            <w:shd w:val="clear" w:color="auto" w:fill="FFFFFF" w:themeFill="background1"/>
          </w:tcPr>
          <w:p w14:paraId="5DB5911D" w14:textId="77777777" w:rsidR="00562FD1" w:rsidRPr="00993C3B" w:rsidRDefault="00562FD1" w:rsidP="00844C7E">
            <w:pPr>
              <w:rPr>
                <w:sz w:val="18"/>
                <w:szCs w:val="18"/>
              </w:rPr>
            </w:pPr>
            <w:r w:rsidRPr="007C6B57">
              <w:rPr>
                <w:rStyle w:val="Shading2"/>
                <w:sz w:val="19"/>
              </w:rPr>
              <w:t>Prove and apply angle and chord properties of circles</w:t>
            </w:r>
            <w:r w:rsidRPr="00D4753D">
              <w:rPr>
                <w:i/>
                <w:sz w:val="18"/>
                <w:szCs w:val="18"/>
              </w:rPr>
              <w:t xml:space="preserve"> </w:t>
            </w:r>
          </w:p>
        </w:tc>
        <w:tc>
          <w:tcPr>
            <w:tcW w:w="630" w:type="dxa"/>
            <w:shd w:val="clear" w:color="auto" w:fill="FFFFFF" w:themeFill="background1"/>
          </w:tcPr>
          <w:p w14:paraId="198CF495" w14:textId="77777777" w:rsidR="00562FD1" w:rsidRPr="00993C3B" w:rsidRDefault="00562FD1" w:rsidP="0098055F">
            <w:pPr>
              <w:jc w:val="center"/>
              <w:rPr>
                <w:sz w:val="18"/>
                <w:szCs w:val="18"/>
              </w:rPr>
            </w:pPr>
          </w:p>
        </w:tc>
        <w:tc>
          <w:tcPr>
            <w:tcW w:w="672" w:type="dxa"/>
            <w:shd w:val="clear" w:color="auto" w:fill="FFFFFF" w:themeFill="background1"/>
          </w:tcPr>
          <w:p w14:paraId="4F8FB2F2" w14:textId="77777777" w:rsidR="00562FD1" w:rsidRPr="00993C3B" w:rsidRDefault="00562FD1" w:rsidP="00DB19BE">
            <w:pPr>
              <w:jc w:val="center"/>
              <w:rPr>
                <w:sz w:val="18"/>
                <w:szCs w:val="18"/>
              </w:rPr>
            </w:pPr>
            <w:r w:rsidRPr="00D4753D">
              <w:rPr>
                <w:sz w:val="18"/>
                <w:szCs w:val="18"/>
              </w:rPr>
              <w:sym w:font="Wingdings" w:char="F0FC"/>
            </w:r>
          </w:p>
        </w:tc>
        <w:tc>
          <w:tcPr>
            <w:tcW w:w="602" w:type="dxa"/>
            <w:shd w:val="clear" w:color="auto" w:fill="FFFFFF" w:themeFill="background1"/>
          </w:tcPr>
          <w:p w14:paraId="56D0DE4E" w14:textId="77777777" w:rsidR="00562FD1" w:rsidRPr="00993C3B" w:rsidRDefault="00562FD1" w:rsidP="00DB19BE">
            <w:pPr>
              <w:jc w:val="center"/>
              <w:rPr>
                <w:sz w:val="18"/>
                <w:szCs w:val="18"/>
              </w:rPr>
            </w:pPr>
          </w:p>
        </w:tc>
        <w:tc>
          <w:tcPr>
            <w:tcW w:w="602" w:type="dxa"/>
            <w:shd w:val="clear" w:color="auto" w:fill="FFFFFF" w:themeFill="background1"/>
          </w:tcPr>
          <w:p w14:paraId="25ED41DC" w14:textId="77777777" w:rsidR="00562FD1" w:rsidRPr="00993C3B" w:rsidRDefault="00562FD1" w:rsidP="00DB19BE">
            <w:pPr>
              <w:jc w:val="center"/>
              <w:rPr>
                <w:sz w:val="18"/>
                <w:szCs w:val="18"/>
              </w:rPr>
            </w:pPr>
          </w:p>
        </w:tc>
        <w:tc>
          <w:tcPr>
            <w:tcW w:w="4619" w:type="dxa"/>
            <w:shd w:val="clear" w:color="auto" w:fill="FFFFFF" w:themeFill="background1"/>
          </w:tcPr>
          <w:p w14:paraId="1A046180" w14:textId="77777777" w:rsidR="00562FD1" w:rsidRPr="00993C3B" w:rsidRDefault="00562FD1" w:rsidP="005F4BC2">
            <w:pPr>
              <w:pStyle w:val="Tabletext"/>
              <w:rPr>
                <w:sz w:val="18"/>
                <w:szCs w:val="18"/>
              </w:rPr>
            </w:pPr>
            <w:r w:rsidRPr="005F4BC2">
              <w:t>Construct and interpret box plots and use them to compare data sets </w:t>
            </w:r>
            <w:r w:rsidRPr="005F4BC2">
              <w:tab/>
            </w:r>
          </w:p>
        </w:tc>
        <w:tc>
          <w:tcPr>
            <w:tcW w:w="602" w:type="dxa"/>
            <w:shd w:val="clear" w:color="auto" w:fill="FFFFFF" w:themeFill="background1"/>
          </w:tcPr>
          <w:p w14:paraId="351D3767" w14:textId="77777777" w:rsidR="00562FD1" w:rsidRPr="00993C3B" w:rsidRDefault="00562FD1" w:rsidP="0098055F">
            <w:pPr>
              <w:jc w:val="center"/>
              <w:rPr>
                <w:sz w:val="18"/>
                <w:szCs w:val="18"/>
              </w:rPr>
            </w:pPr>
          </w:p>
        </w:tc>
        <w:tc>
          <w:tcPr>
            <w:tcW w:w="602" w:type="dxa"/>
            <w:shd w:val="clear" w:color="auto" w:fill="FFFFFF" w:themeFill="background1"/>
          </w:tcPr>
          <w:p w14:paraId="3CE34455" w14:textId="77777777" w:rsidR="00562FD1" w:rsidRPr="00993C3B" w:rsidRDefault="00562FD1" w:rsidP="00DB19BE">
            <w:pPr>
              <w:jc w:val="center"/>
              <w:rPr>
                <w:sz w:val="18"/>
                <w:szCs w:val="18"/>
              </w:rPr>
            </w:pPr>
          </w:p>
        </w:tc>
        <w:tc>
          <w:tcPr>
            <w:tcW w:w="588" w:type="dxa"/>
            <w:shd w:val="clear" w:color="auto" w:fill="FFFFFF" w:themeFill="background1"/>
          </w:tcPr>
          <w:p w14:paraId="75C14984" w14:textId="77777777" w:rsidR="00562FD1" w:rsidRPr="00993C3B" w:rsidRDefault="00562FD1" w:rsidP="00DB19BE">
            <w:pPr>
              <w:jc w:val="center"/>
              <w:rPr>
                <w:sz w:val="18"/>
                <w:szCs w:val="18"/>
              </w:rPr>
            </w:pPr>
          </w:p>
        </w:tc>
        <w:tc>
          <w:tcPr>
            <w:tcW w:w="588" w:type="dxa"/>
            <w:shd w:val="clear" w:color="auto" w:fill="FFFFFF" w:themeFill="background1"/>
          </w:tcPr>
          <w:p w14:paraId="132E4896"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38734C31" w14:textId="77777777" w:rsidTr="00DB19BE">
        <w:trPr>
          <w:trHeight w:val="253"/>
        </w:trPr>
        <w:tc>
          <w:tcPr>
            <w:tcW w:w="4517" w:type="dxa"/>
            <w:shd w:val="clear" w:color="auto" w:fill="FFFFFF" w:themeFill="background1"/>
          </w:tcPr>
          <w:p w14:paraId="263C2DB1" w14:textId="77777777" w:rsidR="00562FD1" w:rsidRPr="00993C3B" w:rsidRDefault="00562FD1" w:rsidP="005F4BC2">
            <w:pPr>
              <w:pStyle w:val="Tabletext"/>
              <w:rPr>
                <w:sz w:val="18"/>
                <w:szCs w:val="18"/>
              </w:rPr>
            </w:pPr>
            <w:r w:rsidRPr="00993C3B">
              <w:rPr>
                <w:sz w:val="18"/>
                <w:szCs w:val="18"/>
              </w:rPr>
              <w:lastRenderedPageBreak/>
              <w:t xml:space="preserve">Apply the four operations to simple algebraic fractions with numerical denominators  </w:t>
            </w:r>
          </w:p>
          <w:p w14:paraId="6DB1B4F1" w14:textId="77777777" w:rsidR="00562FD1" w:rsidRPr="00993C3B" w:rsidRDefault="00562FD1" w:rsidP="005F4BC2">
            <w:pPr>
              <w:pStyle w:val="Tabletext"/>
              <w:rPr>
                <w:sz w:val="18"/>
                <w:szCs w:val="18"/>
              </w:rPr>
            </w:pPr>
          </w:p>
        </w:tc>
        <w:tc>
          <w:tcPr>
            <w:tcW w:w="628" w:type="dxa"/>
            <w:shd w:val="clear" w:color="auto" w:fill="FFFFFF" w:themeFill="background1"/>
          </w:tcPr>
          <w:p w14:paraId="557772FE" w14:textId="77777777" w:rsidR="00562FD1" w:rsidRPr="00993C3B" w:rsidRDefault="00562FD1" w:rsidP="0098055F">
            <w:pPr>
              <w:jc w:val="center"/>
              <w:rPr>
                <w:sz w:val="18"/>
                <w:szCs w:val="18"/>
              </w:rPr>
            </w:pPr>
            <w:r w:rsidRPr="00993C3B">
              <w:rPr>
                <w:sz w:val="18"/>
                <w:szCs w:val="18"/>
              </w:rPr>
              <w:sym w:font="Wingdings" w:char="F0FC"/>
            </w:r>
          </w:p>
        </w:tc>
        <w:tc>
          <w:tcPr>
            <w:tcW w:w="589" w:type="dxa"/>
            <w:shd w:val="clear" w:color="auto" w:fill="FFFFFF" w:themeFill="background1"/>
          </w:tcPr>
          <w:p w14:paraId="62835469" w14:textId="77777777" w:rsidR="00562FD1" w:rsidRPr="00993C3B" w:rsidRDefault="00562FD1" w:rsidP="00DB19BE">
            <w:pPr>
              <w:jc w:val="center"/>
              <w:rPr>
                <w:sz w:val="18"/>
                <w:szCs w:val="18"/>
              </w:rPr>
            </w:pPr>
          </w:p>
        </w:tc>
        <w:tc>
          <w:tcPr>
            <w:tcW w:w="640" w:type="dxa"/>
            <w:shd w:val="clear" w:color="auto" w:fill="FFFFFF" w:themeFill="background1"/>
          </w:tcPr>
          <w:p w14:paraId="634A2DB0" w14:textId="77777777" w:rsidR="00562FD1" w:rsidRPr="00993C3B" w:rsidRDefault="00562FD1" w:rsidP="00DB19BE">
            <w:pPr>
              <w:jc w:val="center"/>
              <w:rPr>
                <w:sz w:val="18"/>
                <w:szCs w:val="18"/>
              </w:rPr>
            </w:pPr>
          </w:p>
        </w:tc>
        <w:tc>
          <w:tcPr>
            <w:tcW w:w="620" w:type="dxa"/>
            <w:shd w:val="clear" w:color="auto" w:fill="FFFFFF" w:themeFill="background1"/>
          </w:tcPr>
          <w:p w14:paraId="2FC7A835" w14:textId="77777777" w:rsidR="00562FD1" w:rsidRPr="00993C3B" w:rsidRDefault="00562FD1" w:rsidP="00DB19BE">
            <w:pPr>
              <w:jc w:val="center"/>
              <w:rPr>
                <w:sz w:val="18"/>
                <w:szCs w:val="18"/>
              </w:rPr>
            </w:pPr>
          </w:p>
        </w:tc>
        <w:tc>
          <w:tcPr>
            <w:tcW w:w="4479" w:type="dxa"/>
            <w:tcBorders>
              <w:bottom w:val="single" w:sz="4" w:space="0" w:color="A6A8AB"/>
            </w:tcBorders>
            <w:shd w:val="clear" w:color="auto" w:fill="FFFFFF" w:themeFill="background1"/>
          </w:tcPr>
          <w:p w14:paraId="198CC8FB" w14:textId="77777777" w:rsidR="00562FD1" w:rsidRDefault="00562FD1" w:rsidP="00BC7014">
            <w:pPr>
              <w:pStyle w:val="Tablesubhead"/>
              <w:keepNext/>
            </w:pPr>
            <w:r w:rsidRPr="00993C3B">
              <w:t xml:space="preserve">Pythagoras and trigonometry </w:t>
            </w:r>
          </w:p>
          <w:p w14:paraId="490702D9" w14:textId="77777777" w:rsidR="00562FD1" w:rsidRPr="00993C3B" w:rsidRDefault="00562FD1" w:rsidP="00562FD1">
            <w:pPr>
              <w:pStyle w:val="Tabletext"/>
              <w:rPr>
                <w:sz w:val="18"/>
                <w:szCs w:val="18"/>
              </w:rPr>
            </w:pPr>
            <w:r w:rsidRPr="00993C3B">
              <w:t>Solve right-angled triangle problems including those involving direction and angles of elevation and depression </w:t>
            </w:r>
          </w:p>
        </w:tc>
        <w:tc>
          <w:tcPr>
            <w:tcW w:w="630" w:type="dxa"/>
            <w:tcBorders>
              <w:bottom w:val="single" w:sz="4" w:space="0" w:color="A6A8AB"/>
            </w:tcBorders>
            <w:shd w:val="clear" w:color="auto" w:fill="FFFFFF" w:themeFill="background1"/>
          </w:tcPr>
          <w:p w14:paraId="2D052B7B" w14:textId="77777777" w:rsidR="00562FD1" w:rsidRPr="00993C3B" w:rsidRDefault="00562FD1" w:rsidP="0098055F">
            <w:pPr>
              <w:jc w:val="center"/>
              <w:rPr>
                <w:sz w:val="18"/>
                <w:szCs w:val="18"/>
              </w:rPr>
            </w:pPr>
          </w:p>
        </w:tc>
        <w:tc>
          <w:tcPr>
            <w:tcW w:w="672" w:type="dxa"/>
            <w:tcBorders>
              <w:bottom w:val="single" w:sz="4" w:space="0" w:color="A6A8AB"/>
            </w:tcBorders>
            <w:shd w:val="clear" w:color="auto" w:fill="FFFFFF" w:themeFill="background1"/>
          </w:tcPr>
          <w:p w14:paraId="3A61CFB2" w14:textId="77777777" w:rsidR="00562FD1" w:rsidRPr="00993C3B" w:rsidRDefault="00562FD1" w:rsidP="00DB19BE">
            <w:pPr>
              <w:jc w:val="center"/>
              <w:rPr>
                <w:sz w:val="18"/>
                <w:szCs w:val="18"/>
              </w:rPr>
            </w:pPr>
            <w:r w:rsidRPr="00993C3B">
              <w:rPr>
                <w:sz w:val="18"/>
                <w:szCs w:val="18"/>
              </w:rPr>
              <w:sym w:font="Wingdings" w:char="F0FC"/>
            </w:r>
          </w:p>
        </w:tc>
        <w:tc>
          <w:tcPr>
            <w:tcW w:w="602" w:type="dxa"/>
            <w:tcBorders>
              <w:bottom w:val="single" w:sz="4" w:space="0" w:color="A6A8AB"/>
            </w:tcBorders>
            <w:shd w:val="clear" w:color="auto" w:fill="FFFFFF" w:themeFill="background1"/>
          </w:tcPr>
          <w:p w14:paraId="5569BA7A" w14:textId="77777777" w:rsidR="00562FD1" w:rsidRPr="00993C3B" w:rsidRDefault="00562FD1" w:rsidP="00DB19BE">
            <w:pPr>
              <w:jc w:val="center"/>
              <w:rPr>
                <w:sz w:val="18"/>
                <w:szCs w:val="18"/>
              </w:rPr>
            </w:pPr>
          </w:p>
        </w:tc>
        <w:tc>
          <w:tcPr>
            <w:tcW w:w="602" w:type="dxa"/>
            <w:tcBorders>
              <w:bottom w:val="single" w:sz="4" w:space="0" w:color="A6A8AB"/>
            </w:tcBorders>
            <w:shd w:val="clear" w:color="auto" w:fill="FFFFFF" w:themeFill="background1"/>
          </w:tcPr>
          <w:p w14:paraId="5423B9DA" w14:textId="77777777" w:rsidR="00562FD1" w:rsidRPr="00993C3B" w:rsidRDefault="00562FD1" w:rsidP="00DB19BE">
            <w:pPr>
              <w:jc w:val="center"/>
              <w:rPr>
                <w:sz w:val="18"/>
                <w:szCs w:val="18"/>
              </w:rPr>
            </w:pPr>
          </w:p>
        </w:tc>
        <w:tc>
          <w:tcPr>
            <w:tcW w:w="4619" w:type="dxa"/>
            <w:shd w:val="clear" w:color="auto" w:fill="FFFFFF" w:themeFill="background1"/>
          </w:tcPr>
          <w:p w14:paraId="799DD0BC" w14:textId="77777777" w:rsidR="00562FD1" w:rsidRPr="00993C3B" w:rsidRDefault="00562FD1" w:rsidP="005F4BC2">
            <w:pPr>
              <w:pStyle w:val="Tabletext"/>
            </w:pPr>
            <w:r w:rsidRPr="00993C3B">
              <w:t>Compare shapes of box plots to corresponding histograms and dot plots</w:t>
            </w:r>
            <w:r w:rsidRPr="00993C3B">
              <w:rPr>
                <w:rFonts w:eastAsia="SimSun"/>
              </w:rPr>
              <w:t> </w:t>
            </w:r>
          </w:p>
        </w:tc>
        <w:tc>
          <w:tcPr>
            <w:tcW w:w="602" w:type="dxa"/>
            <w:shd w:val="clear" w:color="auto" w:fill="FFFFFF" w:themeFill="background1"/>
          </w:tcPr>
          <w:p w14:paraId="365DB5C2" w14:textId="77777777" w:rsidR="00562FD1" w:rsidRPr="00993C3B" w:rsidRDefault="00562FD1" w:rsidP="0098055F">
            <w:pPr>
              <w:jc w:val="center"/>
              <w:rPr>
                <w:sz w:val="18"/>
                <w:szCs w:val="18"/>
              </w:rPr>
            </w:pPr>
          </w:p>
        </w:tc>
        <w:tc>
          <w:tcPr>
            <w:tcW w:w="602" w:type="dxa"/>
            <w:shd w:val="clear" w:color="auto" w:fill="FFFFFF" w:themeFill="background1"/>
          </w:tcPr>
          <w:p w14:paraId="441297E3" w14:textId="77777777" w:rsidR="00562FD1" w:rsidRPr="00993C3B" w:rsidRDefault="00562FD1" w:rsidP="00DB19BE">
            <w:pPr>
              <w:jc w:val="center"/>
              <w:rPr>
                <w:sz w:val="18"/>
                <w:szCs w:val="18"/>
              </w:rPr>
            </w:pPr>
          </w:p>
        </w:tc>
        <w:tc>
          <w:tcPr>
            <w:tcW w:w="588" w:type="dxa"/>
            <w:shd w:val="clear" w:color="auto" w:fill="FFFFFF" w:themeFill="background1"/>
          </w:tcPr>
          <w:p w14:paraId="1859B316" w14:textId="77777777" w:rsidR="00562FD1" w:rsidRPr="00993C3B" w:rsidRDefault="00562FD1" w:rsidP="00DB19BE">
            <w:pPr>
              <w:jc w:val="center"/>
              <w:rPr>
                <w:sz w:val="18"/>
                <w:szCs w:val="18"/>
              </w:rPr>
            </w:pPr>
          </w:p>
        </w:tc>
        <w:tc>
          <w:tcPr>
            <w:tcW w:w="588" w:type="dxa"/>
            <w:shd w:val="clear" w:color="auto" w:fill="FFFFFF" w:themeFill="background1"/>
          </w:tcPr>
          <w:p w14:paraId="443821BE"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30F4733D" w14:textId="77777777" w:rsidTr="00DB19BE">
        <w:trPr>
          <w:trHeight w:val="253"/>
        </w:trPr>
        <w:tc>
          <w:tcPr>
            <w:tcW w:w="4517" w:type="dxa"/>
            <w:shd w:val="clear" w:color="auto" w:fill="FFFFFF" w:themeFill="background1"/>
          </w:tcPr>
          <w:p w14:paraId="3A3EC94B" w14:textId="77777777" w:rsidR="00562FD1" w:rsidRPr="00993C3B" w:rsidRDefault="00562FD1" w:rsidP="005F4BC2">
            <w:pPr>
              <w:pStyle w:val="Tabletext"/>
            </w:pPr>
            <w:r w:rsidRPr="00993C3B">
              <w:t>Expand binomial products and factorise monic quadratic expressions using a variety of strategies</w:t>
            </w:r>
          </w:p>
        </w:tc>
        <w:tc>
          <w:tcPr>
            <w:tcW w:w="628" w:type="dxa"/>
            <w:shd w:val="clear" w:color="auto" w:fill="FFFFFF" w:themeFill="background1"/>
          </w:tcPr>
          <w:p w14:paraId="15BD25C1" w14:textId="77777777" w:rsidR="00562FD1" w:rsidRPr="00993C3B" w:rsidRDefault="00562FD1" w:rsidP="0098055F">
            <w:pPr>
              <w:jc w:val="center"/>
              <w:rPr>
                <w:sz w:val="18"/>
                <w:szCs w:val="18"/>
              </w:rPr>
            </w:pPr>
          </w:p>
        </w:tc>
        <w:tc>
          <w:tcPr>
            <w:tcW w:w="589" w:type="dxa"/>
            <w:shd w:val="clear" w:color="auto" w:fill="FFFFFF" w:themeFill="background1"/>
          </w:tcPr>
          <w:p w14:paraId="145E18FC" w14:textId="77777777" w:rsidR="00562FD1" w:rsidRPr="00993C3B" w:rsidRDefault="00562FD1" w:rsidP="00DB19BE">
            <w:pPr>
              <w:jc w:val="center"/>
              <w:rPr>
                <w:sz w:val="18"/>
                <w:szCs w:val="18"/>
              </w:rPr>
            </w:pPr>
          </w:p>
        </w:tc>
        <w:tc>
          <w:tcPr>
            <w:tcW w:w="640" w:type="dxa"/>
            <w:shd w:val="clear" w:color="auto" w:fill="FFFFFF" w:themeFill="background1"/>
          </w:tcPr>
          <w:p w14:paraId="78F1340A" w14:textId="77777777" w:rsidR="00562FD1" w:rsidRPr="00993C3B" w:rsidRDefault="00562FD1" w:rsidP="00DB19BE">
            <w:pPr>
              <w:jc w:val="center"/>
              <w:rPr>
                <w:sz w:val="18"/>
                <w:szCs w:val="18"/>
              </w:rPr>
            </w:pPr>
            <w:r w:rsidRPr="00993C3B">
              <w:rPr>
                <w:sz w:val="18"/>
                <w:szCs w:val="18"/>
              </w:rPr>
              <w:sym w:font="Wingdings" w:char="F0FC"/>
            </w:r>
          </w:p>
        </w:tc>
        <w:tc>
          <w:tcPr>
            <w:tcW w:w="620" w:type="dxa"/>
            <w:shd w:val="clear" w:color="auto" w:fill="FFFFFF" w:themeFill="background1"/>
          </w:tcPr>
          <w:p w14:paraId="5866622F" w14:textId="77777777" w:rsidR="00562FD1" w:rsidRPr="00993C3B" w:rsidRDefault="00562FD1" w:rsidP="00DB19BE">
            <w:pPr>
              <w:jc w:val="center"/>
              <w:rPr>
                <w:sz w:val="18"/>
                <w:szCs w:val="18"/>
              </w:rPr>
            </w:pPr>
          </w:p>
        </w:tc>
        <w:tc>
          <w:tcPr>
            <w:tcW w:w="4479" w:type="dxa"/>
            <w:shd w:val="clear" w:color="auto" w:fill="FFFFFF" w:themeFill="background1"/>
          </w:tcPr>
          <w:p w14:paraId="6AD19D55" w14:textId="77777777" w:rsidR="00562FD1" w:rsidRPr="00993C3B" w:rsidRDefault="00562FD1" w:rsidP="00DB19BE">
            <w:pPr>
              <w:pStyle w:val="Tabletext"/>
            </w:pPr>
            <w:r w:rsidRPr="00D56ECF">
              <w:rPr>
                <w:rStyle w:val="Shading2"/>
              </w:rPr>
              <w:t>Establish the sine, cosine and area rules for any triangle and solve related problems </w:t>
            </w:r>
          </w:p>
        </w:tc>
        <w:tc>
          <w:tcPr>
            <w:tcW w:w="630" w:type="dxa"/>
            <w:shd w:val="clear" w:color="auto" w:fill="FFFFFF" w:themeFill="background1"/>
          </w:tcPr>
          <w:p w14:paraId="068DB42D" w14:textId="77777777" w:rsidR="00562FD1" w:rsidRPr="00993C3B" w:rsidRDefault="00562FD1" w:rsidP="00DB19BE">
            <w:pPr>
              <w:jc w:val="center"/>
              <w:rPr>
                <w:sz w:val="18"/>
                <w:szCs w:val="18"/>
              </w:rPr>
            </w:pPr>
          </w:p>
        </w:tc>
        <w:tc>
          <w:tcPr>
            <w:tcW w:w="672" w:type="dxa"/>
            <w:shd w:val="clear" w:color="auto" w:fill="FFFFFF" w:themeFill="background1"/>
          </w:tcPr>
          <w:p w14:paraId="0545E437" w14:textId="77777777" w:rsidR="00562FD1" w:rsidRPr="00993C3B" w:rsidRDefault="00562FD1" w:rsidP="00DB19BE">
            <w:pPr>
              <w:jc w:val="center"/>
              <w:rPr>
                <w:sz w:val="18"/>
                <w:szCs w:val="18"/>
              </w:rPr>
            </w:pPr>
            <w:r w:rsidRPr="00993C3B">
              <w:rPr>
                <w:sz w:val="18"/>
                <w:szCs w:val="18"/>
              </w:rPr>
              <w:sym w:font="Wingdings" w:char="F0FC"/>
            </w:r>
          </w:p>
        </w:tc>
        <w:tc>
          <w:tcPr>
            <w:tcW w:w="602" w:type="dxa"/>
            <w:shd w:val="clear" w:color="auto" w:fill="FFFFFF" w:themeFill="background1"/>
          </w:tcPr>
          <w:p w14:paraId="6550B87E" w14:textId="77777777" w:rsidR="00562FD1" w:rsidRPr="00993C3B" w:rsidRDefault="00562FD1" w:rsidP="00DB19BE">
            <w:pPr>
              <w:jc w:val="center"/>
              <w:rPr>
                <w:sz w:val="18"/>
                <w:szCs w:val="18"/>
              </w:rPr>
            </w:pPr>
          </w:p>
        </w:tc>
        <w:tc>
          <w:tcPr>
            <w:tcW w:w="602" w:type="dxa"/>
            <w:shd w:val="clear" w:color="auto" w:fill="FFFFFF" w:themeFill="background1"/>
          </w:tcPr>
          <w:p w14:paraId="64C2A18C" w14:textId="77777777" w:rsidR="00562FD1" w:rsidRPr="00993C3B" w:rsidRDefault="00562FD1" w:rsidP="00DB19BE">
            <w:pPr>
              <w:jc w:val="center"/>
              <w:rPr>
                <w:sz w:val="18"/>
                <w:szCs w:val="18"/>
              </w:rPr>
            </w:pPr>
          </w:p>
        </w:tc>
        <w:tc>
          <w:tcPr>
            <w:tcW w:w="4619" w:type="dxa"/>
            <w:shd w:val="clear" w:color="auto" w:fill="FFFFFF" w:themeFill="background1"/>
          </w:tcPr>
          <w:p w14:paraId="19BC67A8" w14:textId="77777777" w:rsidR="00562FD1" w:rsidRPr="00993C3B" w:rsidRDefault="00562FD1" w:rsidP="00854881">
            <w:pPr>
              <w:pStyle w:val="Tabletext"/>
            </w:pPr>
            <w:r w:rsidRPr="00993C3B">
              <w:t xml:space="preserve">Use scatter plots to investigate and comment on relationships between two numerical variables </w:t>
            </w:r>
          </w:p>
        </w:tc>
        <w:tc>
          <w:tcPr>
            <w:tcW w:w="602" w:type="dxa"/>
            <w:shd w:val="clear" w:color="auto" w:fill="FFFFFF" w:themeFill="background1"/>
          </w:tcPr>
          <w:p w14:paraId="6BE14BCE" w14:textId="77777777" w:rsidR="00562FD1" w:rsidRPr="00993C3B" w:rsidRDefault="00562FD1" w:rsidP="0098055F">
            <w:pPr>
              <w:jc w:val="center"/>
              <w:rPr>
                <w:sz w:val="18"/>
                <w:szCs w:val="18"/>
              </w:rPr>
            </w:pPr>
          </w:p>
        </w:tc>
        <w:tc>
          <w:tcPr>
            <w:tcW w:w="602" w:type="dxa"/>
            <w:shd w:val="clear" w:color="auto" w:fill="FFFFFF" w:themeFill="background1"/>
          </w:tcPr>
          <w:p w14:paraId="3D260B62" w14:textId="77777777" w:rsidR="00562FD1" w:rsidRPr="00993C3B" w:rsidRDefault="00562FD1" w:rsidP="00DB19BE">
            <w:pPr>
              <w:jc w:val="center"/>
              <w:rPr>
                <w:sz w:val="18"/>
                <w:szCs w:val="18"/>
              </w:rPr>
            </w:pPr>
          </w:p>
        </w:tc>
        <w:tc>
          <w:tcPr>
            <w:tcW w:w="588" w:type="dxa"/>
            <w:shd w:val="clear" w:color="auto" w:fill="FFFFFF" w:themeFill="background1"/>
          </w:tcPr>
          <w:p w14:paraId="778F77A7" w14:textId="77777777" w:rsidR="00562FD1" w:rsidRPr="00993C3B" w:rsidRDefault="00562FD1" w:rsidP="00DB19BE">
            <w:pPr>
              <w:jc w:val="center"/>
              <w:rPr>
                <w:sz w:val="18"/>
                <w:szCs w:val="18"/>
              </w:rPr>
            </w:pPr>
          </w:p>
        </w:tc>
        <w:tc>
          <w:tcPr>
            <w:tcW w:w="588" w:type="dxa"/>
            <w:shd w:val="clear" w:color="auto" w:fill="FFFFFF" w:themeFill="background1"/>
          </w:tcPr>
          <w:p w14:paraId="55EE45B1"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4040E9B9" w14:textId="77777777" w:rsidTr="00DB19BE">
        <w:trPr>
          <w:trHeight w:val="253"/>
        </w:trPr>
        <w:tc>
          <w:tcPr>
            <w:tcW w:w="4517" w:type="dxa"/>
            <w:shd w:val="clear" w:color="auto" w:fill="FFFFFF" w:themeFill="background1"/>
          </w:tcPr>
          <w:p w14:paraId="2CF5C021" w14:textId="77777777" w:rsidR="00562FD1" w:rsidRPr="00993C3B" w:rsidRDefault="00562FD1" w:rsidP="005F4BC2">
            <w:pPr>
              <w:pStyle w:val="Tabletext"/>
            </w:pPr>
            <w:r w:rsidRPr="00993C3B">
              <w:t>Substitute values into formulas to determine an unknown </w:t>
            </w:r>
          </w:p>
          <w:p w14:paraId="6AD88B13" w14:textId="77777777" w:rsidR="00562FD1" w:rsidRPr="00993C3B" w:rsidRDefault="00562FD1" w:rsidP="005F4BC2">
            <w:pPr>
              <w:pStyle w:val="Tabletext"/>
            </w:pPr>
          </w:p>
        </w:tc>
        <w:tc>
          <w:tcPr>
            <w:tcW w:w="628" w:type="dxa"/>
            <w:shd w:val="clear" w:color="auto" w:fill="FFFFFF" w:themeFill="background1"/>
          </w:tcPr>
          <w:p w14:paraId="105C56FC" w14:textId="77777777" w:rsidR="00562FD1" w:rsidRPr="00993C3B" w:rsidRDefault="00562FD1" w:rsidP="0098055F">
            <w:pPr>
              <w:jc w:val="center"/>
              <w:rPr>
                <w:sz w:val="18"/>
                <w:szCs w:val="18"/>
              </w:rPr>
            </w:pPr>
            <w:r w:rsidRPr="00993C3B">
              <w:rPr>
                <w:sz w:val="18"/>
                <w:szCs w:val="18"/>
              </w:rPr>
              <w:sym w:font="Wingdings" w:char="F0FC"/>
            </w:r>
          </w:p>
        </w:tc>
        <w:tc>
          <w:tcPr>
            <w:tcW w:w="589" w:type="dxa"/>
            <w:shd w:val="clear" w:color="auto" w:fill="FFFFFF" w:themeFill="background1"/>
          </w:tcPr>
          <w:p w14:paraId="4181B76C" w14:textId="77777777" w:rsidR="00562FD1" w:rsidRPr="00993C3B" w:rsidRDefault="00562FD1" w:rsidP="00DB19BE">
            <w:pPr>
              <w:jc w:val="center"/>
              <w:rPr>
                <w:sz w:val="18"/>
                <w:szCs w:val="18"/>
              </w:rPr>
            </w:pPr>
          </w:p>
        </w:tc>
        <w:tc>
          <w:tcPr>
            <w:tcW w:w="640" w:type="dxa"/>
            <w:shd w:val="clear" w:color="auto" w:fill="FFFFFF" w:themeFill="background1"/>
          </w:tcPr>
          <w:p w14:paraId="286674B7" w14:textId="77777777" w:rsidR="00562FD1" w:rsidRPr="00993C3B" w:rsidRDefault="00562FD1" w:rsidP="00DB19BE">
            <w:pPr>
              <w:jc w:val="center"/>
              <w:rPr>
                <w:sz w:val="18"/>
                <w:szCs w:val="18"/>
              </w:rPr>
            </w:pPr>
          </w:p>
        </w:tc>
        <w:tc>
          <w:tcPr>
            <w:tcW w:w="620" w:type="dxa"/>
            <w:shd w:val="clear" w:color="auto" w:fill="FFFFFF" w:themeFill="background1"/>
          </w:tcPr>
          <w:p w14:paraId="7D985915" w14:textId="77777777" w:rsidR="00562FD1" w:rsidRPr="00993C3B" w:rsidRDefault="00562FD1" w:rsidP="00DB19BE">
            <w:pPr>
              <w:jc w:val="center"/>
              <w:rPr>
                <w:sz w:val="18"/>
                <w:szCs w:val="18"/>
              </w:rPr>
            </w:pPr>
          </w:p>
        </w:tc>
        <w:tc>
          <w:tcPr>
            <w:tcW w:w="4479" w:type="dxa"/>
            <w:shd w:val="clear" w:color="auto" w:fill="FFFFFF" w:themeFill="background1"/>
          </w:tcPr>
          <w:p w14:paraId="589E7B34" w14:textId="77777777" w:rsidR="00562FD1" w:rsidRPr="00993C3B" w:rsidRDefault="00562FD1" w:rsidP="00DB19BE">
            <w:pPr>
              <w:pStyle w:val="Tabletext"/>
            </w:pPr>
            <w:r w:rsidRPr="00D56ECF">
              <w:rPr>
                <w:rStyle w:val="Shading2"/>
              </w:rPr>
              <w:t>Use the unit circle to define trigonometric functions, and graph them with and without the use of digital technologies </w:t>
            </w:r>
          </w:p>
        </w:tc>
        <w:tc>
          <w:tcPr>
            <w:tcW w:w="630" w:type="dxa"/>
            <w:shd w:val="clear" w:color="auto" w:fill="FFFFFF" w:themeFill="background1"/>
          </w:tcPr>
          <w:p w14:paraId="52E96E67" w14:textId="77777777" w:rsidR="00562FD1" w:rsidRPr="00993C3B" w:rsidRDefault="00562FD1" w:rsidP="00DB19BE">
            <w:pPr>
              <w:jc w:val="center"/>
              <w:rPr>
                <w:sz w:val="18"/>
                <w:szCs w:val="18"/>
              </w:rPr>
            </w:pPr>
          </w:p>
        </w:tc>
        <w:tc>
          <w:tcPr>
            <w:tcW w:w="672" w:type="dxa"/>
            <w:shd w:val="clear" w:color="auto" w:fill="FFFFFF" w:themeFill="background1"/>
          </w:tcPr>
          <w:p w14:paraId="603D5090" w14:textId="77777777" w:rsidR="00562FD1" w:rsidRPr="00993C3B" w:rsidRDefault="00562FD1" w:rsidP="00DB19BE">
            <w:pPr>
              <w:jc w:val="center"/>
              <w:rPr>
                <w:sz w:val="18"/>
                <w:szCs w:val="18"/>
              </w:rPr>
            </w:pPr>
            <w:r w:rsidRPr="00D4753D">
              <w:rPr>
                <w:sz w:val="18"/>
                <w:szCs w:val="18"/>
              </w:rPr>
              <w:sym w:font="Wingdings" w:char="F0FC"/>
            </w:r>
          </w:p>
        </w:tc>
        <w:tc>
          <w:tcPr>
            <w:tcW w:w="602" w:type="dxa"/>
            <w:shd w:val="clear" w:color="auto" w:fill="FFFFFF" w:themeFill="background1"/>
          </w:tcPr>
          <w:p w14:paraId="2B489AC7" w14:textId="77777777" w:rsidR="00562FD1" w:rsidRPr="00993C3B" w:rsidRDefault="00562FD1" w:rsidP="00DB19BE">
            <w:pPr>
              <w:jc w:val="center"/>
              <w:rPr>
                <w:sz w:val="18"/>
                <w:szCs w:val="18"/>
              </w:rPr>
            </w:pPr>
          </w:p>
        </w:tc>
        <w:tc>
          <w:tcPr>
            <w:tcW w:w="602" w:type="dxa"/>
            <w:shd w:val="clear" w:color="auto" w:fill="FFFFFF" w:themeFill="background1"/>
          </w:tcPr>
          <w:p w14:paraId="1B667E71" w14:textId="77777777" w:rsidR="00562FD1" w:rsidRPr="00993C3B" w:rsidRDefault="00562FD1" w:rsidP="00DB19BE">
            <w:pPr>
              <w:jc w:val="center"/>
              <w:rPr>
                <w:sz w:val="18"/>
                <w:szCs w:val="18"/>
              </w:rPr>
            </w:pPr>
          </w:p>
        </w:tc>
        <w:tc>
          <w:tcPr>
            <w:tcW w:w="4619" w:type="dxa"/>
            <w:shd w:val="clear" w:color="auto" w:fill="FFFFFF" w:themeFill="background1"/>
          </w:tcPr>
          <w:p w14:paraId="460D66BA" w14:textId="77777777" w:rsidR="00562FD1" w:rsidRPr="00993C3B" w:rsidRDefault="00562FD1" w:rsidP="00854881">
            <w:pPr>
              <w:pStyle w:val="Tabletext"/>
            </w:pPr>
            <w:r w:rsidRPr="00993C3B">
              <w:t>Investigate and describe</w:t>
            </w:r>
            <w:r w:rsidRPr="00993C3B">
              <w:rPr>
                <w:rFonts w:eastAsia="SimSun"/>
              </w:rPr>
              <w:t> bivariate numerical data</w:t>
            </w:r>
            <w:r w:rsidRPr="00993C3B">
              <w:t xml:space="preserve"> where the</w:t>
            </w:r>
            <w:r w:rsidRPr="00993C3B">
              <w:rPr>
                <w:rFonts w:eastAsia="SimSun"/>
              </w:rPr>
              <w:t> independent variable </w:t>
            </w:r>
            <w:r w:rsidRPr="00993C3B">
              <w:t>is time</w:t>
            </w:r>
          </w:p>
          <w:p w14:paraId="0B2AD7D2" w14:textId="77777777" w:rsidR="00562FD1" w:rsidRPr="00993C3B" w:rsidRDefault="00562FD1" w:rsidP="00854881">
            <w:pPr>
              <w:pStyle w:val="Tabletext"/>
            </w:pPr>
            <w:r w:rsidRPr="00993C3B">
              <w:rPr>
                <w:rFonts w:eastAsia="SimSun"/>
              </w:rPr>
              <w:t> </w:t>
            </w:r>
          </w:p>
        </w:tc>
        <w:tc>
          <w:tcPr>
            <w:tcW w:w="602" w:type="dxa"/>
            <w:shd w:val="clear" w:color="auto" w:fill="FFFFFF" w:themeFill="background1"/>
          </w:tcPr>
          <w:p w14:paraId="05A65C7F" w14:textId="77777777" w:rsidR="00562FD1" w:rsidRPr="00993C3B" w:rsidRDefault="00562FD1" w:rsidP="0098055F">
            <w:pPr>
              <w:jc w:val="center"/>
              <w:rPr>
                <w:sz w:val="18"/>
                <w:szCs w:val="18"/>
              </w:rPr>
            </w:pPr>
          </w:p>
        </w:tc>
        <w:tc>
          <w:tcPr>
            <w:tcW w:w="602" w:type="dxa"/>
            <w:shd w:val="clear" w:color="auto" w:fill="FFFFFF" w:themeFill="background1"/>
          </w:tcPr>
          <w:p w14:paraId="5A37395F" w14:textId="77777777" w:rsidR="00562FD1" w:rsidRPr="00993C3B" w:rsidRDefault="00562FD1" w:rsidP="00DB19BE">
            <w:pPr>
              <w:jc w:val="center"/>
              <w:rPr>
                <w:sz w:val="18"/>
                <w:szCs w:val="18"/>
              </w:rPr>
            </w:pPr>
          </w:p>
        </w:tc>
        <w:tc>
          <w:tcPr>
            <w:tcW w:w="588" w:type="dxa"/>
            <w:shd w:val="clear" w:color="auto" w:fill="FFFFFF" w:themeFill="background1"/>
          </w:tcPr>
          <w:p w14:paraId="13A0C50F" w14:textId="77777777" w:rsidR="00562FD1" w:rsidRPr="00993C3B" w:rsidRDefault="00562FD1" w:rsidP="00DB19BE">
            <w:pPr>
              <w:jc w:val="center"/>
              <w:rPr>
                <w:sz w:val="18"/>
                <w:szCs w:val="18"/>
              </w:rPr>
            </w:pPr>
          </w:p>
        </w:tc>
        <w:tc>
          <w:tcPr>
            <w:tcW w:w="588" w:type="dxa"/>
            <w:shd w:val="clear" w:color="auto" w:fill="FFFFFF" w:themeFill="background1"/>
          </w:tcPr>
          <w:p w14:paraId="19B4983C" w14:textId="77777777" w:rsidR="00562FD1" w:rsidRPr="00993C3B" w:rsidRDefault="00562FD1" w:rsidP="00DB19BE">
            <w:pPr>
              <w:jc w:val="center"/>
              <w:rPr>
                <w:sz w:val="18"/>
                <w:szCs w:val="18"/>
              </w:rPr>
            </w:pPr>
            <w:r w:rsidRPr="00993C3B">
              <w:rPr>
                <w:sz w:val="18"/>
                <w:szCs w:val="18"/>
              </w:rPr>
              <w:sym w:font="Wingdings" w:char="F0FC"/>
            </w:r>
          </w:p>
        </w:tc>
      </w:tr>
      <w:tr w:rsidR="006765E9" w:rsidRPr="00993C3B" w14:paraId="7BEDD9F0" w14:textId="77777777" w:rsidTr="00DB19BE">
        <w:trPr>
          <w:trHeight w:val="253"/>
        </w:trPr>
        <w:tc>
          <w:tcPr>
            <w:tcW w:w="4517" w:type="dxa"/>
            <w:shd w:val="clear" w:color="auto" w:fill="FFFFFF" w:themeFill="background1"/>
          </w:tcPr>
          <w:p w14:paraId="15533354" w14:textId="77777777" w:rsidR="00562FD1" w:rsidRPr="007E6E90" w:rsidRDefault="00562FD1" w:rsidP="00562FD1">
            <w:pPr>
              <w:pStyle w:val="Tabletext"/>
              <w:rPr>
                <w:rStyle w:val="Shading2"/>
              </w:rPr>
            </w:pPr>
            <w:r w:rsidRPr="007E6E90">
              <w:rPr>
                <w:rStyle w:val="Shading2"/>
              </w:rPr>
              <w:t xml:space="preserve">Investigate the concept of a polynomial and apply the factor and remainder theorems to solve problems </w:t>
            </w:r>
          </w:p>
        </w:tc>
        <w:tc>
          <w:tcPr>
            <w:tcW w:w="628" w:type="dxa"/>
            <w:shd w:val="clear" w:color="auto" w:fill="FFFFFF" w:themeFill="background1"/>
          </w:tcPr>
          <w:p w14:paraId="33E4DE2E" w14:textId="77777777" w:rsidR="00562FD1" w:rsidRPr="00993C3B" w:rsidRDefault="00562FD1" w:rsidP="0098055F">
            <w:pPr>
              <w:jc w:val="center"/>
              <w:rPr>
                <w:sz w:val="18"/>
                <w:szCs w:val="18"/>
              </w:rPr>
            </w:pPr>
          </w:p>
        </w:tc>
        <w:tc>
          <w:tcPr>
            <w:tcW w:w="589" w:type="dxa"/>
            <w:shd w:val="clear" w:color="auto" w:fill="FFFFFF" w:themeFill="background1"/>
          </w:tcPr>
          <w:p w14:paraId="6E2C5B2E" w14:textId="77777777" w:rsidR="00562FD1" w:rsidRPr="00993C3B" w:rsidRDefault="00562FD1" w:rsidP="00DB19BE">
            <w:pPr>
              <w:jc w:val="center"/>
              <w:rPr>
                <w:sz w:val="18"/>
                <w:szCs w:val="18"/>
              </w:rPr>
            </w:pPr>
          </w:p>
        </w:tc>
        <w:tc>
          <w:tcPr>
            <w:tcW w:w="640" w:type="dxa"/>
            <w:shd w:val="clear" w:color="auto" w:fill="FFFFFF" w:themeFill="background1"/>
          </w:tcPr>
          <w:p w14:paraId="36B2F710" w14:textId="77777777" w:rsidR="00562FD1" w:rsidRPr="00993C3B" w:rsidRDefault="00562FD1" w:rsidP="00DB19BE">
            <w:pPr>
              <w:jc w:val="center"/>
              <w:rPr>
                <w:sz w:val="18"/>
                <w:szCs w:val="18"/>
              </w:rPr>
            </w:pPr>
            <w:r w:rsidRPr="00D4753D">
              <w:rPr>
                <w:sz w:val="18"/>
                <w:szCs w:val="18"/>
              </w:rPr>
              <w:sym w:font="Wingdings" w:char="F0FC"/>
            </w:r>
          </w:p>
        </w:tc>
        <w:tc>
          <w:tcPr>
            <w:tcW w:w="620" w:type="dxa"/>
            <w:shd w:val="clear" w:color="auto" w:fill="FFFFFF" w:themeFill="background1"/>
          </w:tcPr>
          <w:p w14:paraId="0ABCE454" w14:textId="77777777" w:rsidR="00562FD1" w:rsidRPr="00993C3B" w:rsidRDefault="00562FD1" w:rsidP="00DB19BE">
            <w:pPr>
              <w:jc w:val="center"/>
              <w:rPr>
                <w:sz w:val="18"/>
                <w:szCs w:val="18"/>
              </w:rPr>
            </w:pPr>
          </w:p>
        </w:tc>
        <w:tc>
          <w:tcPr>
            <w:tcW w:w="4479" w:type="dxa"/>
            <w:shd w:val="clear" w:color="auto" w:fill="FFFFFF" w:themeFill="background1"/>
          </w:tcPr>
          <w:p w14:paraId="0B9010E2" w14:textId="77777777" w:rsidR="00562FD1" w:rsidRPr="00993C3B" w:rsidRDefault="00562FD1" w:rsidP="0066557E">
            <w:pPr>
              <w:pStyle w:val="Tabletext"/>
              <w:rPr>
                <w:sz w:val="18"/>
                <w:szCs w:val="18"/>
              </w:rPr>
            </w:pPr>
            <w:r w:rsidRPr="00D56ECF">
              <w:rPr>
                <w:rStyle w:val="Shading2"/>
              </w:rPr>
              <w:t xml:space="preserve">Solve simple trigonometric equations  </w:t>
            </w:r>
          </w:p>
        </w:tc>
        <w:tc>
          <w:tcPr>
            <w:tcW w:w="630" w:type="dxa"/>
            <w:shd w:val="clear" w:color="auto" w:fill="FFFFFF" w:themeFill="background1"/>
          </w:tcPr>
          <w:p w14:paraId="30E46194" w14:textId="77777777" w:rsidR="00562FD1" w:rsidRPr="00993C3B" w:rsidRDefault="00562FD1" w:rsidP="0098055F">
            <w:pPr>
              <w:jc w:val="center"/>
              <w:rPr>
                <w:sz w:val="18"/>
                <w:szCs w:val="18"/>
              </w:rPr>
            </w:pPr>
          </w:p>
        </w:tc>
        <w:tc>
          <w:tcPr>
            <w:tcW w:w="672" w:type="dxa"/>
            <w:shd w:val="clear" w:color="auto" w:fill="FFFFFF" w:themeFill="background1"/>
          </w:tcPr>
          <w:p w14:paraId="44803C70" w14:textId="77777777" w:rsidR="00562FD1" w:rsidRPr="00993C3B" w:rsidRDefault="00562FD1" w:rsidP="00DB19BE">
            <w:pPr>
              <w:jc w:val="center"/>
              <w:rPr>
                <w:sz w:val="18"/>
                <w:szCs w:val="18"/>
              </w:rPr>
            </w:pPr>
            <w:r w:rsidRPr="00993C3B">
              <w:rPr>
                <w:sz w:val="18"/>
                <w:szCs w:val="18"/>
              </w:rPr>
              <w:sym w:font="Wingdings" w:char="F0FC"/>
            </w:r>
          </w:p>
        </w:tc>
        <w:tc>
          <w:tcPr>
            <w:tcW w:w="602" w:type="dxa"/>
            <w:shd w:val="clear" w:color="auto" w:fill="FFFFFF" w:themeFill="background1"/>
          </w:tcPr>
          <w:p w14:paraId="069B6E15" w14:textId="77777777" w:rsidR="00562FD1" w:rsidRPr="00993C3B" w:rsidRDefault="00562FD1" w:rsidP="00DB19BE">
            <w:pPr>
              <w:jc w:val="center"/>
              <w:rPr>
                <w:sz w:val="18"/>
                <w:szCs w:val="18"/>
              </w:rPr>
            </w:pPr>
          </w:p>
        </w:tc>
        <w:tc>
          <w:tcPr>
            <w:tcW w:w="602" w:type="dxa"/>
            <w:shd w:val="clear" w:color="auto" w:fill="FFFFFF" w:themeFill="background1"/>
          </w:tcPr>
          <w:p w14:paraId="13DAC37E" w14:textId="77777777" w:rsidR="00562FD1" w:rsidRPr="00993C3B" w:rsidRDefault="00562FD1" w:rsidP="00DB19BE">
            <w:pPr>
              <w:jc w:val="center"/>
              <w:rPr>
                <w:sz w:val="18"/>
                <w:szCs w:val="18"/>
              </w:rPr>
            </w:pPr>
          </w:p>
        </w:tc>
        <w:tc>
          <w:tcPr>
            <w:tcW w:w="4619" w:type="dxa"/>
            <w:shd w:val="clear" w:color="auto" w:fill="FFFFFF" w:themeFill="background1"/>
          </w:tcPr>
          <w:p w14:paraId="4A8A8487" w14:textId="77777777" w:rsidR="00562FD1" w:rsidRPr="00993C3B" w:rsidRDefault="00562FD1" w:rsidP="00562FD1">
            <w:pPr>
              <w:rPr>
                <w:sz w:val="18"/>
                <w:szCs w:val="18"/>
              </w:rPr>
            </w:pPr>
            <w:r w:rsidRPr="00993C3B">
              <w:rPr>
                <w:sz w:val="18"/>
                <w:szCs w:val="18"/>
              </w:rPr>
              <w:t>Evaluate statistical reports in the media and other places by linking claims to displays, statistics and representative</w:t>
            </w:r>
            <w:r w:rsidRPr="00993C3B">
              <w:rPr>
                <w:rFonts w:eastAsia="SimSun"/>
                <w:sz w:val="18"/>
                <w:szCs w:val="18"/>
              </w:rPr>
              <w:t> data </w:t>
            </w:r>
          </w:p>
        </w:tc>
        <w:tc>
          <w:tcPr>
            <w:tcW w:w="602" w:type="dxa"/>
            <w:shd w:val="clear" w:color="auto" w:fill="FFFFFF" w:themeFill="background1"/>
          </w:tcPr>
          <w:p w14:paraId="3F0AFB05" w14:textId="77777777" w:rsidR="00562FD1" w:rsidRPr="00993C3B" w:rsidRDefault="00562FD1" w:rsidP="0098055F">
            <w:pPr>
              <w:jc w:val="center"/>
              <w:rPr>
                <w:sz w:val="18"/>
                <w:szCs w:val="18"/>
              </w:rPr>
            </w:pPr>
          </w:p>
        </w:tc>
        <w:tc>
          <w:tcPr>
            <w:tcW w:w="602" w:type="dxa"/>
            <w:shd w:val="clear" w:color="auto" w:fill="FFFFFF" w:themeFill="background1"/>
          </w:tcPr>
          <w:p w14:paraId="234CCFB3" w14:textId="77777777" w:rsidR="00562FD1" w:rsidRPr="00993C3B" w:rsidRDefault="00562FD1" w:rsidP="00DB19BE">
            <w:pPr>
              <w:jc w:val="center"/>
              <w:rPr>
                <w:sz w:val="18"/>
                <w:szCs w:val="18"/>
              </w:rPr>
            </w:pPr>
          </w:p>
        </w:tc>
        <w:tc>
          <w:tcPr>
            <w:tcW w:w="588" w:type="dxa"/>
            <w:shd w:val="clear" w:color="auto" w:fill="FFFFFF" w:themeFill="background1"/>
          </w:tcPr>
          <w:p w14:paraId="54C8DA8C" w14:textId="77777777" w:rsidR="00562FD1" w:rsidRPr="00993C3B" w:rsidRDefault="00562FD1" w:rsidP="00DB19BE">
            <w:pPr>
              <w:jc w:val="center"/>
              <w:rPr>
                <w:sz w:val="18"/>
                <w:szCs w:val="18"/>
              </w:rPr>
            </w:pPr>
          </w:p>
        </w:tc>
        <w:tc>
          <w:tcPr>
            <w:tcW w:w="588" w:type="dxa"/>
            <w:shd w:val="clear" w:color="auto" w:fill="FFFFFF" w:themeFill="background1"/>
          </w:tcPr>
          <w:p w14:paraId="38750281" w14:textId="77777777" w:rsidR="00562FD1" w:rsidRPr="00993C3B" w:rsidRDefault="00562FD1" w:rsidP="00DB19BE">
            <w:pPr>
              <w:jc w:val="center"/>
              <w:rPr>
                <w:sz w:val="18"/>
                <w:szCs w:val="18"/>
              </w:rPr>
            </w:pPr>
            <w:r w:rsidRPr="00993C3B">
              <w:rPr>
                <w:sz w:val="18"/>
                <w:szCs w:val="18"/>
              </w:rPr>
              <w:sym w:font="Wingdings" w:char="F0FC"/>
            </w:r>
          </w:p>
        </w:tc>
      </w:tr>
      <w:tr w:rsidR="009E50E5" w:rsidRPr="00993C3B" w14:paraId="4B4473B7" w14:textId="77777777" w:rsidTr="00655B58">
        <w:trPr>
          <w:trHeight w:val="253"/>
        </w:trPr>
        <w:tc>
          <w:tcPr>
            <w:tcW w:w="4517" w:type="dxa"/>
            <w:shd w:val="clear" w:color="auto" w:fill="FFFFFF" w:themeFill="background1"/>
          </w:tcPr>
          <w:p w14:paraId="6ECECC8A" w14:textId="77777777" w:rsidR="009E50E5" w:rsidRDefault="009E50E5" w:rsidP="00DB19BE">
            <w:pPr>
              <w:pStyle w:val="Tablesubhead"/>
            </w:pPr>
            <w:r w:rsidRPr="00993C3B">
              <w:t xml:space="preserve">Linear and non-linear relationships </w:t>
            </w:r>
          </w:p>
          <w:p w14:paraId="0E89A9D2" w14:textId="77777777" w:rsidR="009E50E5" w:rsidRPr="00993C3B" w:rsidRDefault="009E50E5" w:rsidP="00854881">
            <w:pPr>
              <w:pStyle w:val="Tabletext"/>
            </w:pPr>
            <w:r w:rsidRPr="00993C3B">
              <w:t>Solve problems involving linear equations, including those derived from formulas</w:t>
            </w:r>
            <w:r w:rsidRPr="00993C3B">
              <w:rPr>
                <w:rFonts w:eastAsia="SimSun"/>
              </w:rPr>
              <w:t xml:space="preserve">  </w:t>
            </w:r>
          </w:p>
        </w:tc>
        <w:tc>
          <w:tcPr>
            <w:tcW w:w="628" w:type="dxa"/>
            <w:shd w:val="clear" w:color="auto" w:fill="FFFFFF" w:themeFill="background1"/>
          </w:tcPr>
          <w:p w14:paraId="52448F1E" w14:textId="77777777" w:rsidR="009E50E5" w:rsidRPr="00993C3B" w:rsidRDefault="009E50E5" w:rsidP="0098055F">
            <w:pPr>
              <w:jc w:val="center"/>
              <w:rPr>
                <w:sz w:val="18"/>
                <w:szCs w:val="18"/>
              </w:rPr>
            </w:pPr>
            <w:r w:rsidRPr="00993C3B">
              <w:rPr>
                <w:sz w:val="18"/>
                <w:szCs w:val="18"/>
              </w:rPr>
              <w:sym w:font="Wingdings" w:char="F0FC"/>
            </w:r>
          </w:p>
        </w:tc>
        <w:tc>
          <w:tcPr>
            <w:tcW w:w="589" w:type="dxa"/>
            <w:shd w:val="clear" w:color="auto" w:fill="FFFFFF" w:themeFill="background1"/>
          </w:tcPr>
          <w:p w14:paraId="2B3343B9" w14:textId="77777777" w:rsidR="009E50E5" w:rsidRPr="00993C3B" w:rsidRDefault="009E50E5" w:rsidP="00DB19BE">
            <w:pPr>
              <w:jc w:val="center"/>
              <w:rPr>
                <w:sz w:val="18"/>
                <w:szCs w:val="18"/>
              </w:rPr>
            </w:pPr>
          </w:p>
        </w:tc>
        <w:tc>
          <w:tcPr>
            <w:tcW w:w="640" w:type="dxa"/>
            <w:shd w:val="clear" w:color="auto" w:fill="FFFFFF" w:themeFill="background1"/>
          </w:tcPr>
          <w:p w14:paraId="68B9D12B" w14:textId="77777777" w:rsidR="009E50E5" w:rsidRPr="00993C3B" w:rsidRDefault="009E50E5" w:rsidP="0098055F">
            <w:pPr>
              <w:jc w:val="center"/>
              <w:rPr>
                <w:sz w:val="18"/>
                <w:szCs w:val="18"/>
              </w:rPr>
            </w:pPr>
          </w:p>
        </w:tc>
        <w:tc>
          <w:tcPr>
            <w:tcW w:w="620" w:type="dxa"/>
            <w:shd w:val="clear" w:color="auto" w:fill="FFFFFF" w:themeFill="background1"/>
          </w:tcPr>
          <w:p w14:paraId="3B9A4AF8" w14:textId="77777777" w:rsidR="009E50E5" w:rsidRPr="00993C3B" w:rsidRDefault="009E50E5" w:rsidP="0098055F">
            <w:pPr>
              <w:jc w:val="center"/>
              <w:rPr>
                <w:sz w:val="18"/>
                <w:szCs w:val="18"/>
              </w:rPr>
            </w:pPr>
          </w:p>
        </w:tc>
        <w:tc>
          <w:tcPr>
            <w:tcW w:w="4479" w:type="dxa"/>
            <w:vMerge w:val="restart"/>
            <w:shd w:val="clear" w:color="auto" w:fill="FFFFFF" w:themeFill="background1"/>
          </w:tcPr>
          <w:p w14:paraId="293AD899" w14:textId="77777777" w:rsidR="009E50E5" w:rsidRPr="00993C3B" w:rsidRDefault="009E50E5" w:rsidP="0066557E">
            <w:pPr>
              <w:pStyle w:val="Tabletext"/>
              <w:rPr>
                <w:sz w:val="18"/>
                <w:szCs w:val="18"/>
              </w:rPr>
            </w:pPr>
            <w:r w:rsidRPr="00D56ECF">
              <w:rPr>
                <w:rStyle w:val="Shading2"/>
              </w:rPr>
              <w:t>Apply Pythagoras’ theorem and trigonometry to solving three-dimensional problems in right-angled triangles </w:t>
            </w:r>
          </w:p>
        </w:tc>
        <w:tc>
          <w:tcPr>
            <w:tcW w:w="630" w:type="dxa"/>
            <w:vMerge w:val="restart"/>
            <w:shd w:val="clear" w:color="auto" w:fill="FFFFFF" w:themeFill="background1"/>
          </w:tcPr>
          <w:p w14:paraId="51942A84" w14:textId="77777777" w:rsidR="009E50E5" w:rsidRPr="00993C3B" w:rsidRDefault="009E50E5" w:rsidP="0098055F">
            <w:pPr>
              <w:jc w:val="center"/>
              <w:rPr>
                <w:sz w:val="18"/>
                <w:szCs w:val="18"/>
              </w:rPr>
            </w:pPr>
          </w:p>
        </w:tc>
        <w:tc>
          <w:tcPr>
            <w:tcW w:w="672" w:type="dxa"/>
            <w:vMerge w:val="restart"/>
            <w:shd w:val="clear" w:color="auto" w:fill="FFFFFF" w:themeFill="background1"/>
          </w:tcPr>
          <w:p w14:paraId="3C2FE7FD" w14:textId="77777777" w:rsidR="009E50E5" w:rsidRPr="00993C3B" w:rsidRDefault="009E50E5" w:rsidP="0098055F">
            <w:pPr>
              <w:jc w:val="center"/>
              <w:rPr>
                <w:sz w:val="18"/>
                <w:szCs w:val="18"/>
              </w:rPr>
            </w:pPr>
            <w:r w:rsidRPr="00993C3B">
              <w:rPr>
                <w:sz w:val="18"/>
                <w:szCs w:val="18"/>
              </w:rPr>
              <w:sym w:font="Wingdings" w:char="F0FC"/>
            </w:r>
          </w:p>
        </w:tc>
        <w:tc>
          <w:tcPr>
            <w:tcW w:w="602" w:type="dxa"/>
            <w:vMerge w:val="restart"/>
            <w:shd w:val="clear" w:color="auto" w:fill="FFFFFF" w:themeFill="background1"/>
          </w:tcPr>
          <w:p w14:paraId="14E3AD2E" w14:textId="77777777" w:rsidR="009E50E5" w:rsidRPr="00993C3B" w:rsidRDefault="009E50E5" w:rsidP="0098055F">
            <w:pPr>
              <w:jc w:val="center"/>
              <w:rPr>
                <w:sz w:val="18"/>
                <w:szCs w:val="18"/>
              </w:rPr>
            </w:pPr>
          </w:p>
        </w:tc>
        <w:tc>
          <w:tcPr>
            <w:tcW w:w="602" w:type="dxa"/>
            <w:vMerge w:val="restart"/>
            <w:shd w:val="clear" w:color="auto" w:fill="FFFFFF" w:themeFill="background1"/>
          </w:tcPr>
          <w:p w14:paraId="7D777022" w14:textId="77777777" w:rsidR="009E50E5" w:rsidRPr="00D4753D" w:rsidRDefault="009E50E5" w:rsidP="00DB19BE">
            <w:pPr>
              <w:jc w:val="center"/>
              <w:rPr>
                <w:sz w:val="18"/>
                <w:szCs w:val="18"/>
              </w:rPr>
            </w:pPr>
          </w:p>
        </w:tc>
        <w:tc>
          <w:tcPr>
            <w:tcW w:w="4619" w:type="dxa"/>
            <w:shd w:val="clear" w:color="auto" w:fill="FFFFFF" w:themeFill="background1"/>
          </w:tcPr>
          <w:p w14:paraId="6A15D1EB" w14:textId="77777777" w:rsidR="009E50E5" w:rsidRPr="00B31112" w:rsidRDefault="009E50E5" w:rsidP="00562FD1">
            <w:pPr>
              <w:pStyle w:val="Tabletext"/>
              <w:rPr>
                <w:rStyle w:val="Shading2"/>
              </w:rPr>
            </w:pPr>
            <w:r w:rsidRPr="00B31112">
              <w:rPr>
                <w:rStyle w:val="Shading2"/>
              </w:rPr>
              <w:t xml:space="preserve">Calculate and interpret the mean and standard deviation of data and use these to compare data sets </w:t>
            </w:r>
          </w:p>
        </w:tc>
        <w:tc>
          <w:tcPr>
            <w:tcW w:w="602" w:type="dxa"/>
            <w:shd w:val="clear" w:color="auto" w:fill="FFFFFF" w:themeFill="background1"/>
          </w:tcPr>
          <w:p w14:paraId="62231117" w14:textId="77777777" w:rsidR="009E50E5" w:rsidRPr="00993C3B" w:rsidRDefault="009E50E5" w:rsidP="0098055F">
            <w:pPr>
              <w:jc w:val="center"/>
              <w:rPr>
                <w:sz w:val="18"/>
                <w:szCs w:val="18"/>
              </w:rPr>
            </w:pPr>
          </w:p>
        </w:tc>
        <w:tc>
          <w:tcPr>
            <w:tcW w:w="602" w:type="dxa"/>
            <w:shd w:val="clear" w:color="auto" w:fill="FFFFFF" w:themeFill="background1"/>
          </w:tcPr>
          <w:p w14:paraId="76538EB2" w14:textId="77777777" w:rsidR="009E50E5" w:rsidRPr="00993C3B" w:rsidRDefault="009E50E5" w:rsidP="0098055F">
            <w:pPr>
              <w:jc w:val="center"/>
              <w:rPr>
                <w:sz w:val="18"/>
                <w:szCs w:val="18"/>
              </w:rPr>
            </w:pPr>
          </w:p>
        </w:tc>
        <w:tc>
          <w:tcPr>
            <w:tcW w:w="588" w:type="dxa"/>
            <w:shd w:val="clear" w:color="auto" w:fill="FFFFFF" w:themeFill="background1"/>
          </w:tcPr>
          <w:p w14:paraId="7E963FB7" w14:textId="77777777" w:rsidR="009E50E5" w:rsidRPr="00993C3B" w:rsidRDefault="009E50E5" w:rsidP="0098055F">
            <w:pPr>
              <w:jc w:val="center"/>
              <w:rPr>
                <w:sz w:val="18"/>
                <w:szCs w:val="18"/>
              </w:rPr>
            </w:pPr>
          </w:p>
        </w:tc>
        <w:tc>
          <w:tcPr>
            <w:tcW w:w="588" w:type="dxa"/>
            <w:shd w:val="clear" w:color="auto" w:fill="FFFFFF" w:themeFill="background1"/>
          </w:tcPr>
          <w:p w14:paraId="651755D3" w14:textId="77777777" w:rsidR="009E50E5" w:rsidRPr="00993C3B" w:rsidRDefault="009E50E5" w:rsidP="0098055F">
            <w:pPr>
              <w:jc w:val="center"/>
              <w:rPr>
                <w:sz w:val="18"/>
                <w:szCs w:val="18"/>
              </w:rPr>
            </w:pPr>
            <w:r w:rsidRPr="00993C3B">
              <w:rPr>
                <w:sz w:val="18"/>
                <w:szCs w:val="18"/>
              </w:rPr>
              <w:sym w:font="Wingdings" w:char="F0FC"/>
            </w:r>
          </w:p>
        </w:tc>
      </w:tr>
      <w:tr w:rsidR="0098055F" w:rsidRPr="00993C3B" w14:paraId="1C102A90" w14:textId="77777777" w:rsidTr="00655B58">
        <w:trPr>
          <w:trHeight w:val="253"/>
        </w:trPr>
        <w:tc>
          <w:tcPr>
            <w:tcW w:w="4517" w:type="dxa"/>
            <w:shd w:val="clear" w:color="auto" w:fill="FFFFFF" w:themeFill="background1"/>
          </w:tcPr>
          <w:p w14:paraId="1C181B2F" w14:textId="77777777" w:rsidR="0098055F" w:rsidRPr="00993C3B" w:rsidRDefault="0098055F" w:rsidP="00854881">
            <w:pPr>
              <w:pStyle w:val="Tabletext"/>
              <w:rPr>
                <w:sz w:val="18"/>
                <w:szCs w:val="18"/>
              </w:rPr>
            </w:pPr>
            <w:r w:rsidRPr="00993C3B">
              <w:t xml:space="preserve">Solve linear inequalities and graph their solutions on a </w:t>
            </w:r>
            <w:r w:rsidRPr="00993C3B">
              <w:rPr>
                <w:rFonts w:eastAsia="SimSun"/>
              </w:rPr>
              <w:t>number line </w:t>
            </w:r>
          </w:p>
        </w:tc>
        <w:tc>
          <w:tcPr>
            <w:tcW w:w="628" w:type="dxa"/>
            <w:shd w:val="clear" w:color="auto" w:fill="FFFFFF" w:themeFill="background1"/>
          </w:tcPr>
          <w:p w14:paraId="63D79C89" w14:textId="77777777" w:rsidR="0098055F" w:rsidRPr="00993C3B" w:rsidRDefault="0098055F" w:rsidP="0098055F">
            <w:pPr>
              <w:jc w:val="center"/>
              <w:rPr>
                <w:sz w:val="18"/>
                <w:szCs w:val="18"/>
              </w:rPr>
            </w:pPr>
            <w:r w:rsidRPr="00993C3B">
              <w:rPr>
                <w:sz w:val="18"/>
                <w:szCs w:val="18"/>
              </w:rPr>
              <w:sym w:font="Wingdings" w:char="F0FC"/>
            </w:r>
          </w:p>
        </w:tc>
        <w:tc>
          <w:tcPr>
            <w:tcW w:w="589" w:type="dxa"/>
            <w:shd w:val="clear" w:color="auto" w:fill="FFFFFF" w:themeFill="background1"/>
          </w:tcPr>
          <w:p w14:paraId="619D1207" w14:textId="77777777" w:rsidR="0098055F" w:rsidRPr="00993C3B" w:rsidRDefault="0098055F" w:rsidP="0098055F">
            <w:pPr>
              <w:jc w:val="center"/>
              <w:rPr>
                <w:sz w:val="18"/>
                <w:szCs w:val="18"/>
              </w:rPr>
            </w:pPr>
          </w:p>
        </w:tc>
        <w:tc>
          <w:tcPr>
            <w:tcW w:w="640" w:type="dxa"/>
            <w:shd w:val="clear" w:color="auto" w:fill="FFFFFF" w:themeFill="background1"/>
          </w:tcPr>
          <w:p w14:paraId="61C983B6" w14:textId="77777777" w:rsidR="0098055F" w:rsidRPr="00993C3B" w:rsidRDefault="0098055F" w:rsidP="0098055F">
            <w:pPr>
              <w:jc w:val="center"/>
              <w:rPr>
                <w:sz w:val="18"/>
                <w:szCs w:val="18"/>
              </w:rPr>
            </w:pPr>
          </w:p>
        </w:tc>
        <w:tc>
          <w:tcPr>
            <w:tcW w:w="620" w:type="dxa"/>
            <w:shd w:val="clear" w:color="auto" w:fill="FFFFFF" w:themeFill="background1"/>
          </w:tcPr>
          <w:p w14:paraId="0ACECFE9" w14:textId="77777777" w:rsidR="0098055F" w:rsidRPr="00993C3B" w:rsidRDefault="0098055F" w:rsidP="0098055F">
            <w:pPr>
              <w:jc w:val="center"/>
              <w:rPr>
                <w:sz w:val="18"/>
                <w:szCs w:val="18"/>
              </w:rPr>
            </w:pPr>
          </w:p>
        </w:tc>
        <w:tc>
          <w:tcPr>
            <w:tcW w:w="4479" w:type="dxa"/>
            <w:vMerge/>
            <w:shd w:val="clear" w:color="auto" w:fill="FFFFFF" w:themeFill="background1"/>
          </w:tcPr>
          <w:p w14:paraId="3B0ADB9C" w14:textId="77777777" w:rsidR="0098055F" w:rsidRPr="00D56ECF" w:rsidRDefault="0098055F" w:rsidP="00562FD1">
            <w:pPr>
              <w:pStyle w:val="Tabletext"/>
              <w:rPr>
                <w:rStyle w:val="Shading2"/>
              </w:rPr>
            </w:pPr>
          </w:p>
        </w:tc>
        <w:tc>
          <w:tcPr>
            <w:tcW w:w="630" w:type="dxa"/>
            <w:vMerge/>
            <w:shd w:val="clear" w:color="auto" w:fill="FFFFFF" w:themeFill="background1"/>
          </w:tcPr>
          <w:p w14:paraId="2A97D1D4" w14:textId="77777777" w:rsidR="0098055F" w:rsidRPr="00D4753D" w:rsidRDefault="0098055F" w:rsidP="00DB19BE">
            <w:pPr>
              <w:jc w:val="center"/>
              <w:rPr>
                <w:sz w:val="18"/>
                <w:szCs w:val="18"/>
              </w:rPr>
            </w:pPr>
          </w:p>
        </w:tc>
        <w:tc>
          <w:tcPr>
            <w:tcW w:w="672" w:type="dxa"/>
            <w:vMerge/>
            <w:shd w:val="clear" w:color="auto" w:fill="FFFFFF" w:themeFill="background1"/>
          </w:tcPr>
          <w:p w14:paraId="1D5989E9" w14:textId="77777777" w:rsidR="0098055F" w:rsidRPr="00993C3B" w:rsidRDefault="0098055F" w:rsidP="00DB19BE">
            <w:pPr>
              <w:jc w:val="center"/>
              <w:rPr>
                <w:sz w:val="18"/>
                <w:szCs w:val="18"/>
              </w:rPr>
            </w:pPr>
          </w:p>
        </w:tc>
        <w:tc>
          <w:tcPr>
            <w:tcW w:w="602" w:type="dxa"/>
            <w:vMerge/>
            <w:shd w:val="clear" w:color="auto" w:fill="FFFFFF" w:themeFill="background1"/>
          </w:tcPr>
          <w:p w14:paraId="0F0C6599" w14:textId="77777777" w:rsidR="0098055F" w:rsidRPr="00993C3B" w:rsidRDefault="0098055F" w:rsidP="00DB19BE">
            <w:pPr>
              <w:jc w:val="center"/>
              <w:rPr>
                <w:sz w:val="18"/>
                <w:szCs w:val="18"/>
              </w:rPr>
            </w:pPr>
          </w:p>
        </w:tc>
        <w:tc>
          <w:tcPr>
            <w:tcW w:w="602" w:type="dxa"/>
            <w:vMerge/>
            <w:shd w:val="clear" w:color="auto" w:fill="FFFFFF" w:themeFill="background1"/>
          </w:tcPr>
          <w:p w14:paraId="69A249AA" w14:textId="77777777" w:rsidR="0098055F" w:rsidRPr="00993C3B" w:rsidRDefault="0098055F" w:rsidP="00DB19BE">
            <w:pPr>
              <w:jc w:val="center"/>
              <w:rPr>
                <w:sz w:val="18"/>
                <w:szCs w:val="18"/>
              </w:rPr>
            </w:pPr>
          </w:p>
        </w:tc>
        <w:tc>
          <w:tcPr>
            <w:tcW w:w="4619" w:type="dxa"/>
            <w:vMerge w:val="restart"/>
            <w:shd w:val="clear" w:color="auto" w:fill="FFFFFF" w:themeFill="background1"/>
          </w:tcPr>
          <w:p w14:paraId="11F0E99C" w14:textId="77777777" w:rsidR="0098055F" w:rsidRPr="00B31112" w:rsidRDefault="0098055F" w:rsidP="00562FD1">
            <w:pPr>
              <w:pStyle w:val="Tabletext"/>
              <w:rPr>
                <w:rStyle w:val="Shading2"/>
              </w:rPr>
            </w:pPr>
            <w:r w:rsidRPr="00B31112">
              <w:rPr>
                <w:rStyle w:val="Shading2"/>
              </w:rPr>
              <w:t xml:space="preserve">Use information technologies to investigate bivariate numerical data sets. Where appropriate use a straight line to describe the relationship allowing for variation </w:t>
            </w:r>
          </w:p>
        </w:tc>
        <w:tc>
          <w:tcPr>
            <w:tcW w:w="602" w:type="dxa"/>
            <w:vMerge w:val="restart"/>
            <w:shd w:val="clear" w:color="auto" w:fill="FFFFFF" w:themeFill="background1"/>
          </w:tcPr>
          <w:p w14:paraId="623EB9E5" w14:textId="77777777" w:rsidR="0098055F" w:rsidRPr="00D4753D" w:rsidRDefault="0098055F" w:rsidP="0098055F">
            <w:pPr>
              <w:jc w:val="center"/>
              <w:rPr>
                <w:sz w:val="18"/>
                <w:szCs w:val="18"/>
              </w:rPr>
            </w:pPr>
          </w:p>
        </w:tc>
        <w:tc>
          <w:tcPr>
            <w:tcW w:w="602" w:type="dxa"/>
            <w:vMerge w:val="restart"/>
            <w:shd w:val="clear" w:color="auto" w:fill="FFFFFF" w:themeFill="background1"/>
          </w:tcPr>
          <w:p w14:paraId="1B6E7730" w14:textId="77777777" w:rsidR="0098055F" w:rsidRPr="00993C3B" w:rsidRDefault="0098055F" w:rsidP="0098055F">
            <w:pPr>
              <w:jc w:val="center"/>
              <w:rPr>
                <w:sz w:val="18"/>
                <w:szCs w:val="18"/>
              </w:rPr>
            </w:pPr>
          </w:p>
        </w:tc>
        <w:tc>
          <w:tcPr>
            <w:tcW w:w="588" w:type="dxa"/>
            <w:vMerge w:val="restart"/>
            <w:shd w:val="clear" w:color="auto" w:fill="FFFFFF" w:themeFill="background1"/>
          </w:tcPr>
          <w:p w14:paraId="77DF1C9D" w14:textId="77777777" w:rsidR="0098055F" w:rsidRPr="00993C3B" w:rsidRDefault="0098055F" w:rsidP="0098055F">
            <w:pPr>
              <w:jc w:val="center"/>
              <w:rPr>
                <w:sz w:val="18"/>
                <w:szCs w:val="18"/>
              </w:rPr>
            </w:pPr>
          </w:p>
        </w:tc>
        <w:tc>
          <w:tcPr>
            <w:tcW w:w="588" w:type="dxa"/>
            <w:vMerge w:val="restart"/>
            <w:shd w:val="clear" w:color="auto" w:fill="FFFFFF" w:themeFill="background1"/>
          </w:tcPr>
          <w:p w14:paraId="4559AB5F" w14:textId="77777777" w:rsidR="0098055F" w:rsidRPr="00993C3B" w:rsidRDefault="0098055F" w:rsidP="0098055F">
            <w:pPr>
              <w:jc w:val="center"/>
              <w:rPr>
                <w:sz w:val="18"/>
                <w:szCs w:val="18"/>
              </w:rPr>
            </w:pPr>
            <w:r w:rsidRPr="00993C3B">
              <w:rPr>
                <w:sz w:val="18"/>
                <w:szCs w:val="18"/>
              </w:rPr>
              <w:sym w:font="Wingdings" w:char="F0FC"/>
            </w:r>
          </w:p>
        </w:tc>
      </w:tr>
      <w:tr w:rsidR="0098055F" w:rsidRPr="00993C3B" w14:paraId="47305963" w14:textId="77777777" w:rsidTr="00655B58">
        <w:trPr>
          <w:trHeight w:val="253"/>
        </w:trPr>
        <w:tc>
          <w:tcPr>
            <w:tcW w:w="4517" w:type="dxa"/>
            <w:shd w:val="clear" w:color="auto" w:fill="FFFFFF" w:themeFill="background1"/>
          </w:tcPr>
          <w:p w14:paraId="333DA1FE" w14:textId="77777777" w:rsidR="0098055F" w:rsidRPr="00993C3B" w:rsidRDefault="0098055F" w:rsidP="00854881">
            <w:pPr>
              <w:pStyle w:val="Tabletext"/>
              <w:rPr>
                <w:sz w:val="18"/>
                <w:szCs w:val="18"/>
              </w:rPr>
            </w:pPr>
            <w:r w:rsidRPr="00993C3B">
              <w:rPr>
                <w:sz w:val="18"/>
                <w:szCs w:val="18"/>
              </w:rPr>
              <w:t>Solve linear simultaneous equations, using algebraic and graphical techniques including using digital technology</w:t>
            </w:r>
            <w:r w:rsidRPr="00993C3B">
              <w:rPr>
                <w:rFonts w:eastAsia="SimSun"/>
                <w:sz w:val="18"/>
                <w:szCs w:val="18"/>
              </w:rPr>
              <w:t> </w:t>
            </w:r>
          </w:p>
        </w:tc>
        <w:tc>
          <w:tcPr>
            <w:tcW w:w="628" w:type="dxa"/>
            <w:shd w:val="clear" w:color="auto" w:fill="FFFFFF" w:themeFill="background1"/>
          </w:tcPr>
          <w:p w14:paraId="5E7C5248" w14:textId="77777777" w:rsidR="0098055F" w:rsidRPr="00993C3B" w:rsidRDefault="0098055F" w:rsidP="0098055F">
            <w:pPr>
              <w:jc w:val="center"/>
              <w:rPr>
                <w:sz w:val="18"/>
                <w:szCs w:val="18"/>
              </w:rPr>
            </w:pPr>
            <w:r w:rsidRPr="00993C3B">
              <w:rPr>
                <w:sz w:val="18"/>
                <w:szCs w:val="18"/>
              </w:rPr>
              <w:sym w:font="Wingdings" w:char="F0FC"/>
            </w:r>
          </w:p>
        </w:tc>
        <w:tc>
          <w:tcPr>
            <w:tcW w:w="589" w:type="dxa"/>
            <w:shd w:val="clear" w:color="auto" w:fill="FFFFFF" w:themeFill="background1"/>
          </w:tcPr>
          <w:p w14:paraId="626D7928" w14:textId="77777777" w:rsidR="0098055F" w:rsidRPr="00993C3B" w:rsidRDefault="0098055F" w:rsidP="0098055F">
            <w:pPr>
              <w:jc w:val="center"/>
              <w:rPr>
                <w:sz w:val="18"/>
                <w:szCs w:val="18"/>
              </w:rPr>
            </w:pPr>
          </w:p>
        </w:tc>
        <w:tc>
          <w:tcPr>
            <w:tcW w:w="640" w:type="dxa"/>
            <w:shd w:val="clear" w:color="auto" w:fill="FFFFFF" w:themeFill="background1"/>
          </w:tcPr>
          <w:p w14:paraId="1CCDEE0B" w14:textId="77777777" w:rsidR="0098055F" w:rsidRPr="00993C3B" w:rsidRDefault="0098055F" w:rsidP="0098055F">
            <w:pPr>
              <w:jc w:val="center"/>
              <w:rPr>
                <w:sz w:val="18"/>
                <w:szCs w:val="18"/>
              </w:rPr>
            </w:pPr>
          </w:p>
        </w:tc>
        <w:tc>
          <w:tcPr>
            <w:tcW w:w="620" w:type="dxa"/>
            <w:shd w:val="clear" w:color="auto" w:fill="FFFFFF" w:themeFill="background1"/>
          </w:tcPr>
          <w:p w14:paraId="2331CECD" w14:textId="77777777" w:rsidR="0098055F" w:rsidRPr="00993C3B" w:rsidRDefault="0098055F" w:rsidP="0098055F">
            <w:pPr>
              <w:jc w:val="center"/>
              <w:rPr>
                <w:sz w:val="18"/>
                <w:szCs w:val="18"/>
              </w:rPr>
            </w:pPr>
          </w:p>
        </w:tc>
        <w:tc>
          <w:tcPr>
            <w:tcW w:w="4479" w:type="dxa"/>
            <w:vMerge/>
            <w:shd w:val="clear" w:color="auto" w:fill="FFFFFF" w:themeFill="background1"/>
          </w:tcPr>
          <w:p w14:paraId="48D747CB" w14:textId="77777777" w:rsidR="0098055F" w:rsidRPr="00D56ECF" w:rsidRDefault="0098055F" w:rsidP="00562FD1">
            <w:pPr>
              <w:pStyle w:val="Tabletext"/>
              <w:rPr>
                <w:rStyle w:val="Shading2"/>
              </w:rPr>
            </w:pPr>
          </w:p>
        </w:tc>
        <w:tc>
          <w:tcPr>
            <w:tcW w:w="630" w:type="dxa"/>
            <w:vMerge/>
            <w:shd w:val="clear" w:color="auto" w:fill="FFFFFF" w:themeFill="background1"/>
          </w:tcPr>
          <w:p w14:paraId="05EA0EDE" w14:textId="77777777" w:rsidR="0098055F" w:rsidRPr="00D4753D" w:rsidRDefault="0098055F" w:rsidP="00DB19BE">
            <w:pPr>
              <w:jc w:val="center"/>
              <w:rPr>
                <w:sz w:val="18"/>
                <w:szCs w:val="18"/>
              </w:rPr>
            </w:pPr>
          </w:p>
        </w:tc>
        <w:tc>
          <w:tcPr>
            <w:tcW w:w="672" w:type="dxa"/>
            <w:vMerge/>
            <w:shd w:val="clear" w:color="auto" w:fill="FFFFFF" w:themeFill="background1"/>
          </w:tcPr>
          <w:p w14:paraId="7F48FF23" w14:textId="77777777" w:rsidR="0098055F" w:rsidRPr="00993C3B" w:rsidRDefault="0098055F" w:rsidP="00DB19BE">
            <w:pPr>
              <w:jc w:val="center"/>
              <w:rPr>
                <w:sz w:val="18"/>
                <w:szCs w:val="18"/>
              </w:rPr>
            </w:pPr>
          </w:p>
        </w:tc>
        <w:tc>
          <w:tcPr>
            <w:tcW w:w="602" w:type="dxa"/>
            <w:vMerge/>
            <w:shd w:val="clear" w:color="auto" w:fill="FFFFFF" w:themeFill="background1"/>
          </w:tcPr>
          <w:p w14:paraId="2E70CD2A" w14:textId="77777777" w:rsidR="0098055F" w:rsidRPr="00993C3B" w:rsidRDefault="0098055F" w:rsidP="00DB19BE">
            <w:pPr>
              <w:jc w:val="center"/>
              <w:rPr>
                <w:sz w:val="18"/>
                <w:szCs w:val="18"/>
              </w:rPr>
            </w:pPr>
          </w:p>
        </w:tc>
        <w:tc>
          <w:tcPr>
            <w:tcW w:w="602" w:type="dxa"/>
            <w:vMerge/>
            <w:shd w:val="clear" w:color="auto" w:fill="FFFFFF" w:themeFill="background1"/>
          </w:tcPr>
          <w:p w14:paraId="387B8A04" w14:textId="77777777" w:rsidR="0098055F" w:rsidRPr="00993C3B" w:rsidRDefault="0098055F" w:rsidP="00DB19BE">
            <w:pPr>
              <w:jc w:val="center"/>
              <w:rPr>
                <w:sz w:val="18"/>
                <w:szCs w:val="18"/>
              </w:rPr>
            </w:pPr>
          </w:p>
        </w:tc>
        <w:tc>
          <w:tcPr>
            <w:tcW w:w="4619" w:type="dxa"/>
            <w:vMerge/>
            <w:shd w:val="clear" w:color="auto" w:fill="FFFFFF" w:themeFill="background1"/>
          </w:tcPr>
          <w:p w14:paraId="766A9969" w14:textId="77777777" w:rsidR="0098055F" w:rsidRPr="00993C3B" w:rsidRDefault="0098055F" w:rsidP="00562FD1">
            <w:pPr>
              <w:rPr>
                <w:sz w:val="18"/>
                <w:szCs w:val="18"/>
              </w:rPr>
            </w:pPr>
          </w:p>
        </w:tc>
        <w:tc>
          <w:tcPr>
            <w:tcW w:w="602" w:type="dxa"/>
            <w:vMerge/>
            <w:shd w:val="clear" w:color="auto" w:fill="FFFFFF" w:themeFill="background1"/>
          </w:tcPr>
          <w:p w14:paraId="728C48CD" w14:textId="77777777" w:rsidR="0098055F" w:rsidRPr="00D4753D" w:rsidRDefault="0098055F" w:rsidP="00DB19BE">
            <w:pPr>
              <w:jc w:val="center"/>
              <w:rPr>
                <w:sz w:val="18"/>
                <w:szCs w:val="18"/>
              </w:rPr>
            </w:pPr>
          </w:p>
        </w:tc>
        <w:tc>
          <w:tcPr>
            <w:tcW w:w="602" w:type="dxa"/>
            <w:vMerge/>
            <w:shd w:val="clear" w:color="auto" w:fill="FFFFFF" w:themeFill="background1"/>
          </w:tcPr>
          <w:p w14:paraId="0AD1E3D3" w14:textId="77777777" w:rsidR="0098055F" w:rsidRPr="00993C3B" w:rsidRDefault="0098055F" w:rsidP="00DB19BE">
            <w:pPr>
              <w:jc w:val="center"/>
              <w:rPr>
                <w:sz w:val="18"/>
                <w:szCs w:val="18"/>
              </w:rPr>
            </w:pPr>
          </w:p>
        </w:tc>
        <w:tc>
          <w:tcPr>
            <w:tcW w:w="588" w:type="dxa"/>
            <w:vMerge/>
            <w:shd w:val="clear" w:color="auto" w:fill="FFFFFF" w:themeFill="background1"/>
          </w:tcPr>
          <w:p w14:paraId="311DD92A" w14:textId="77777777" w:rsidR="0098055F" w:rsidRPr="00993C3B" w:rsidRDefault="0098055F" w:rsidP="00DB19BE">
            <w:pPr>
              <w:jc w:val="center"/>
              <w:rPr>
                <w:sz w:val="18"/>
                <w:szCs w:val="18"/>
              </w:rPr>
            </w:pPr>
          </w:p>
        </w:tc>
        <w:tc>
          <w:tcPr>
            <w:tcW w:w="588" w:type="dxa"/>
            <w:vMerge/>
            <w:shd w:val="clear" w:color="auto" w:fill="FFFFFF" w:themeFill="background1"/>
          </w:tcPr>
          <w:p w14:paraId="6120ECFC" w14:textId="77777777" w:rsidR="0098055F" w:rsidRPr="00993C3B" w:rsidRDefault="0098055F" w:rsidP="00DB19BE">
            <w:pPr>
              <w:jc w:val="center"/>
              <w:rPr>
                <w:sz w:val="18"/>
                <w:szCs w:val="18"/>
              </w:rPr>
            </w:pPr>
          </w:p>
        </w:tc>
      </w:tr>
      <w:tr w:rsidR="0098055F" w:rsidRPr="00993C3B" w14:paraId="6081B4D2" w14:textId="77777777" w:rsidTr="00655B58">
        <w:trPr>
          <w:trHeight w:val="253"/>
        </w:trPr>
        <w:tc>
          <w:tcPr>
            <w:tcW w:w="4517" w:type="dxa"/>
            <w:shd w:val="clear" w:color="auto" w:fill="FFFFFF" w:themeFill="background1"/>
          </w:tcPr>
          <w:p w14:paraId="24E1FCA3" w14:textId="77777777" w:rsidR="0098055F" w:rsidRPr="00993C3B" w:rsidRDefault="0098055F" w:rsidP="00854881">
            <w:pPr>
              <w:pStyle w:val="Tabletext"/>
              <w:rPr>
                <w:sz w:val="18"/>
                <w:szCs w:val="18"/>
              </w:rPr>
            </w:pPr>
            <w:r w:rsidRPr="00993C3B">
              <w:rPr>
                <w:sz w:val="18"/>
                <w:szCs w:val="18"/>
              </w:rPr>
              <w:t>Solve problems involving parallel and perpendicular lines</w:t>
            </w:r>
            <w:r w:rsidRPr="00993C3B">
              <w:rPr>
                <w:rFonts w:eastAsia="SimSun"/>
                <w:sz w:val="18"/>
                <w:szCs w:val="18"/>
              </w:rPr>
              <w:t> </w:t>
            </w:r>
            <w:hyperlink r:id="rId13" w:tooltip="View additional details of ACMNA238" w:history="1"/>
          </w:p>
        </w:tc>
        <w:tc>
          <w:tcPr>
            <w:tcW w:w="628" w:type="dxa"/>
            <w:shd w:val="clear" w:color="auto" w:fill="FFFFFF" w:themeFill="background1"/>
          </w:tcPr>
          <w:p w14:paraId="0CA5D29C" w14:textId="77777777" w:rsidR="0098055F" w:rsidRPr="00993C3B" w:rsidRDefault="0098055F" w:rsidP="0098055F">
            <w:pPr>
              <w:jc w:val="center"/>
              <w:rPr>
                <w:sz w:val="18"/>
                <w:szCs w:val="18"/>
              </w:rPr>
            </w:pPr>
            <w:r w:rsidRPr="00993C3B">
              <w:rPr>
                <w:sz w:val="18"/>
                <w:szCs w:val="18"/>
              </w:rPr>
              <w:sym w:font="Wingdings" w:char="F0FC"/>
            </w:r>
          </w:p>
        </w:tc>
        <w:tc>
          <w:tcPr>
            <w:tcW w:w="589" w:type="dxa"/>
            <w:shd w:val="clear" w:color="auto" w:fill="FFFFFF" w:themeFill="background1"/>
          </w:tcPr>
          <w:p w14:paraId="508D5288" w14:textId="77777777" w:rsidR="0098055F" w:rsidRPr="00993C3B" w:rsidRDefault="0098055F" w:rsidP="0098055F">
            <w:pPr>
              <w:jc w:val="center"/>
              <w:rPr>
                <w:sz w:val="18"/>
                <w:szCs w:val="18"/>
              </w:rPr>
            </w:pPr>
          </w:p>
        </w:tc>
        <w:tc>
          <w:tcPr>
            <w:tcW w:w="640" w:type="dxa"/>
            <w:shd w:val="clear" w:color="auto" w:fill="FFFFFF" w:themeFill="background1"/>
          </w:tcPr>
          <w:p w14:paraId="58A41D85" w14:textId="77777777" w:rsidR="0098055F" w:rsidRPr="00993C3B" w:rsidRDefault="0098055F" w:rsidP="0098055F">
            <w:pPr>
              <w:jc w:val="center"/>
              <w:rPr>
                <w:sz w:val="18"/>
                <w:szCs w:val="18"/>
              </w:rPr>
            </w:pPr>
          </w:p>
        </w:tc>
        <w:tc>
          <w:tcPr>
            <w:tcW w:w="620" w:type="dxa"/>
            <w:shd w:val="clear" w:color="auto" w:fill="FFFFFF" w:themeFill="background1"/>
          </w:tcPr>
          <w:p w14:paraId="2B0D69A9" w14:textId="77777777" w:rsidR="0098055F" w:rsidRPr="00993C3B" w:rsidRDefault="0098055F" w:rsidP="0098055F">
            <w:pPr>
              <w:jc w:val="center"/>
              <w:rPr>
                <w:sz w:val="18"/>
                <w:szCs w:val="18"/>
              </w:rPr>
            </w:pPr>
          </w:p>
        </w:tc>
        <w:tc>
          <w:tcPr>
            <w:tcW w:w="4479" w:type="dxa"/>
            <w:vMerge/>
            <w:shd w:val="clear" w:color="auto" w:fill="FFFFFF" w:themeFill="background1"/>
          </w:tcPr>
          <w:p w14:paraId="3C9B32EA" w14:textId="77777777" w:rsidR="0098055F" w:rsidRPr="00D56ECF" w:rsidRDefault="0098055F" w:rsidP="00562FD1">
            <w:pPr>
              <w:pStyle w:val="Tabletext"/>
              <w:rPr>
                <w:rStyle w:val="Shading2"/>
              </w:rPr>
            </w:pPr>
          </w:p>
        </w:tc>
        <w:tc>
          <w:tcPr>
            <w:tcW w:w="630" w:type="dxa"/>
            <w:vMerge/>
            <w:shd w:val="clear" w:color="auto" w:fill="FFFFFF" w:themeFill="background1"/>
          </w:tcPr>
          <w:p w14:paraId="28FD0F87" w14:textId="77777777" w:rsidR="0098055F" w:rsidRPr="00D4753D" w:rsidRDefault="0098055F" w:rsidP="00DB19BE">
            <w:pPr>
              <w:jc w:val="center"/>
              <w:rPr>
                <w:sz w:val="18"/>
                <w:szCs w:val="18"/>
              </w:rPr>
            </w:pPr>
          </w:p>
        </w:tc>
        <w:tc>
          <w:tcPr>
            <w:tcW w:w="672" w:type="dxa"/>
            <w:vMerge/>
            <w:shd w:val="clear" w:color="auto" w:fill="FFFFFF" w:themeFill="background1"/>
          </w:tcPr>
          <w:p w14:paraId="0F4983B0" w14:textId="77777777" w:rsidR="0098055F" w:rsidRPr="00993C3B" w:rsidRDefault="0098055F" w:rsidP="00DB19BE">
            <w:pPr>
              <w:jc w:val="center"/>
              <w:rPr>
                <w:sz w:val="18"/>
                <w:szCs w:val="18"/>
              </w:rPr>
            </w:pPr>
          </w:p>
        </w:tc>
        <w:tc>
          <w:tcPr>
            <w:tcW w:w="602" w:type="dxa"/>
            <w:vMerge/>
            <w:shd w:val="clear" w:color="auto" w:fill="FFFFFF" w:themeFill="background1"/>
          </w:tcPr>
          <w:p w14:paraId="124DC205" w14:textId="77777777" w:rsidR="0098055F" w:rsidRPr="00993C3B" w:rsidRDefault="0098055F" w:rsidP="00DB19BE">
            <w:pPr>
              <w:jc w:val="center"/>
              <w:rPr>
                <w:sz w:val="18"/>
                <w:szCs w:val="18"/>
              </w:rPr>
            </w:pPr>
          </w:p>
        </w:tc>
        <w:tc>
          <w:tcPr>
            <w:tcW w:w="602" w:type="dxa"/>
            <w:vMerge/>
            <w:shd w:val="clear" w:color="auto" w:fill="FFFFFF" w:themeFill="background1"/>
          </w:tcPr>
          <w:p w14:paraId="4C18ED71" w14:textId="77777777" w:rsidR="0098055F" w:rsidRPr="00993C3B" w:rsidRDefault="0098055F" w:rsidP="00DB19BE">
            <w:pPr>
              <w:jc w:val="center"/>
              <w:rPr>
                <w:sz w:val="18"/>
                <w:szCs w:val="18"/>
              </w:rPr>
            </w:pPr>
          </w:p>
        </w:tc>
        <w:tc>
          <w:tcPr>
            <w:tcW w:w="4619" w:type="dxa"/>
            <w:vMerge/>
            <w:shd w:val="clear" w:color="auto" w:fill="FFFFFF" w:themeFill="background1"/>
          </w:tcPr>
          <w:p w14:paraId="7359E7A8" w14:textId="77777777" w:rsidR="0098055F" w:rsidRPr="00993C3B" w:rsidRDefault="0098055F" w:rsidP="00562FD1">
            <w:pPr>
              <w:rPr>
                <w:sz w:val="18"/>
                <w:szCs w:val="18"/>
              </w:rPr>
            </w:pPr>
          </w:p>
        </w:tc>
        <w:tc>
          <w:tcPr>
            <w:tcW w:w="602" w:type="dxa"/>
            <w:vMerge/>
            <w:shd w:val="clear" w:color="auto" w:fill="FFFFFF" w:themeFill="background1"/>
          </w:tcPr>
          <w:p w14:paraId="5B190F8A" w14:textId="77777777" w:rsidR="0098055F" w:rsidRPr="00D4753D" w:rsidRDefault="0098055F" w:rsidP="00DB19BE">
            <w:pPr>
              <w:jc w:val="center"/>
              <w:rPr>
                <w:sz w:val="18"/>
                <w:szCs w:val="18"/>
              </w:rPr>
            </w:pPr>
          </w:p>
        </w:tc>
        <w:tc>
          <w:tcPr>
            <w:tcW w:w="602" w:type="dxa"/>
            <w:vMerge/>
            <w:shd w:val="clear" w:color="auto" w:fill="FFFFFF" w:themeFill="background1"/>
          </w:tcPr>
          <w:p w14:paraId="6B76168B" w14:textId="77777777" w:rsidR="0098055F" w:rsidRPr="00993C3B" w:rsidRDefault="0098055F" w:rsidP="00DB19BE">
            <w:pPr>
              <w:jc w:val="center"/>
              <w:rPr>
                <w:sz w:val="18"/>
                <w:szCs w:val="18"/>
              </w:rPr>
            </w:pPr>
          </w:p>
        </w:tc>
        <w:tc>
          <w:tcPr>
            <w:tcW w:w="588" w:type="dxa"/>
            <w:vMerge/>
            <w:shd w:val="clear" w:color="auto" w:fill="FFFFFF" w:themeFill="background1"/>
          </w:tcPr>
          <w:p w14:paraId="2C4BC48A" w14:textId="77777777" w:rsidR="0098055F" w:rsidRPr="00993C3B" w:rsidRDefault="0098055F" w:rsidP="00DB19BE">
            <w:pPr>
              <w:jc w:val="center"/>
              <w:rPr>
                <w:sz w:val="18"/>
                <w:szCs w:val="18"/>
              </w:rPr>
            </w:pPr>
          </w:p>
        </w:tc>
        <w:tc>
          <w:tcPr>
            <w:tcW w:w="588" w:type="dxa"/>
            <w:vMerge/>
            <w:shd w:val="clear" w:color="auto" w:fill="FFFFFF" w:themeFill="background1"/>
          </w:tcPr>
          <w:p w14:paraId="71BFA74A" w14:textId="77777777" w:rsidR="0098055F" w:rsidRPr="00993C3B" w:rsidRDefault="0098055F" w:rsidP="00DB19BE">
            <w:pPr>
              <w:jc w:val="center"/>
              <w:rPr>
                <w:sz w:val="18"/>
                <w:szCs w:val="18"/>
              </w:rPr>
            </w:pPr>
          </w:p>
        </w:tc>
      </w:tr>
      <w:tr w:rsidR="0098055F" w:rsidRPr="00993C3B" w14:paraId="0E7A1242" w14:textId="77777777" w:rsidTr="00655B58">
        <w:trPr>
          <w:trHeight w:val="253"/>
        </w:trPr>
        <w:tc>
          <w:tcPr>
            <w:tcW w:w="4517" w:type="dxa"/>
            <w:shd w:val="clear" w:color="auto" w:fill="FFFFFF" w:themeFill="background1"/>
          </w:tcPr>
          <w:p w14:paraId="6B02CEB4" w14:textId="77777777" w:rsidR="0098055F" w:rsidRPr="00993C3B" w:rsidRDefault="0098055F" w:rsidP="00854881">
            <w:pPr>
              <w:pStyle w:val="Tabletext"/>
              <w:rPr>
                <w:sz w:val="18"/>
                <w:szCs w:val="18"/>
              </w:rPr>
            </w:pPr>
            <w:r w:rsidRPr="00993C3B">
              <w:rPr>
                <w:sz w:val="18"/>
                <w:szCs w:val="18"/>
              </w:rPr>
              <w:t>Explore the connection between algebraic and graphical representations of relations such as simple quadratics, circles and exponentials using digital technology as appropriate</w:t>
            </w:r>
            <w:r w:rsidRPr="00993C3B">
              <w:rPr>
                <w:rFonts w:eastAsia="SimSun"/>
                <w:sz w:val="18"/>
                <w:szCs w:val="18"/>
              </w:rPr>
              <w:t> </w:t>
            </w:r>
          </w:p>
        </w:tc>
        <w:tc>
          <w:tcPr>
            <w:tcW w:w="628" w:type="dxa"/>
            <w:shd w:val="clear" w:color="auto" w:fill="FFFFFF" w:themeFill="background1"/>
          </w:tcPr>
          <w:p w14:paraId="65C0B73D" w14:textId="77777777" w:rsidR="0098055F" w:rsidRPr="00993C3B" w:rsidRDefault="0098055F" w:rsidP="0098055F">
            <w:pPr>
              <w:jc w:val="center"/>
              <w:rPr>
                <w:sz w:val="18"/>
                <w:szCs w:val="18"/>
              </w:rPr>
            </w:pPr>
          </w:p>
        </w:tc>
        <w:tc>
          <w:tcPr>
            <w:tcW w:w="589" w:type="dxa"/>
            <w:shd w:val="clear" w:color="auto" w:fill="FFFFFF" w:themeFill="background1"/>
          </w:tcPr>
          <w:p w14:paraId="2D429613" w14:textId="77777777" w:rsidR="0098055F" w:rsidRPr="00993C3B" w:rsidRDefault="0098055F" w:rsidP="0098055F">
            <w:pPr>
              <w:jc w:val="center"/>
              <w:rPr>
                <w:sz w:val="18"/>
                <w:szCs w:val="18"/>
              </w:rPr>
            </w:pPr>
          </w:p>
        </w:tc>
        <w:tc>
          <w:tcPr>
            <w:tcW w:w="640" w:type="dxa"/>
            <w:shd w:val="clear" w:color="auto" w:fill="FFFFFF" w:themeFill="background1"/>
          </w:tcPr>
          <w:p w14:paraId="6E84147E" w14:textId="77777777" w:rsidR="0098055F" w:rsidRPr="00993C3B" w:rsidRDefault="0098055F" w:rsidP="0098055F">
            <w:pPr>
              <w:jc w:val="center"/>
              <w:rPr>
                <w:sz w:val="18"/>
                <w:szCs w:val="18"/>
              </w:rPr>
            </w:pPr>
            <w:r w:rsidRPr="00993C3B">
              <w:rPr>
                <w:sz w:val="18"/>
                <w:szCs w:val="18"/>
              </w:rPr>
              <w:sym w:font="Wingdings" w:char="F0FC"/>
            </w:r>
          </w:p>
        </w:tc>
        <w:tc>
          <w:tcPr>
            <w:tcW w:w="620" w:type="dxa"/>
            <w:shd w:val="clear" w:color="auto" w:fill="FFFFFF" w:themeFill="background1"/>
          </w:tcPr>
          <w:p w14:paraId="5C130B73" w14:textId="77777777" w:rsidR="0098055F" w:rsidRPr="00993C3B" w:rsidRDefault="0098055F" w:rsidP="0098055F">
            <w:pPr>
              <w:jc w:val="center"/>
              <w:rPr>
                <w:sz w:val="18"/>
                <w:szCs w:val="18"/>
              </w:rPr>
            </w:pPr>
          </w:p>
        </w:tc>
        <w:tc>
          <w:tcPr>
            <w:tcW w:w="4479" w:type="dxa"/>
            <w:vMerge/>
            <w:shd w:val="clear" w:color="auto" w:fill="FFFFFF" w:themeFill="background1"/>
          </w:tcPr>
          <w:p w14:paraId="61AB2759" w14:textId="77777777" w:rsidR="0098055F" w:rsidRPr="00D56ECF" w:rsidRDefault="0098055F" w:rsidP="00562FD1">
            <w:pPr>
              <w:pStyle w:val="Tabletext"/>
              <w:rPr>
                <w:rStyle w:val="Shading2"/>
              </w:rPr>
            </w:pPr>
          </w:p>
        </w:tc>
        <w:tc>
          <w:tcPr>
            <w:tcW w:w="630" w:type="dxa"/>
            <w:vMerge/>
            <w:shd w:val="clear" w:color="auto" w:fill="FFFFFF" w:themeFill="background1"/>
          </w:tcPr>
          <w:p w14:paraId="7E1162BC" w14:textId="77777777" w:rsidR="0098055F" w:rsidRPr="00D4753D" w:rsidRDefault="0098055F" w:rsidP="00DB19BE">
            <w:pPr>
              <w:jc w:val="center"/>
              <w:rPr>
                <w:sz w:val="18"/>
                <w:szCs w:val="18"/>
              </w:rPr>
            </w:pPr>
          </w:p>
        </w:tc>
        <w:tc>
          <w:tcPr>
            <w:tcW w:w="672" w:type="dxa"/>
            <w:vMerge/>
            <w:shd w:val="clear" w:color="auto" w:fill="FFFFFF" w:themeFill="background1"/>
          </w:tcPr>
          <w:p w14:paraId="7C05CB97" w14:textId="77777777" w:rsidR="0098055F" w:rsidRPr="00993C3B" w:rsidRDefault="0098055F" w:rsidP="00DB19BE">
            <w:pPr>
              <w:jc w:val="center"/>
              <w:rPr>
                <w:sz w:val="18"/>
                <w:szCs w:val="18"/>
              </w:rPr>
            </w:pPr>
          </w:p>
        </w:tc>
        <w:tc>
          <w:tcPr>
            <w:tcW w:w="602" w:type="dxa"/>
            <w:vMerge/>
            <w:shd w:val="clear" w:color="auto" w:fill="FFFFFF" w:themeFill="background1"/>
          </w:tcPr>
          <w:p w14:paraId="05606575" w14:textId="77777777" w:rsidR="0098055F" w:rsidRPr="00993C3B" w:rsidRDefault="0098055F" w:rsidP="00DB19BE">
            <w:pPr>
              <w:jc w:val="center"/>
              <w:rPr>
                <w:sz w:val="18"/>
                <w:szCs w:val="18"/>
              </w:rPr>
            </w:pPr>
          </w:p>
        </w:tc>
        <w:tc>
          <w:tcPr>
            <w:tcW w:w="602" w:type="dxa"/>
            <w:vMerge/>
            <w:shd w:val="clear" w:color="auto" w:fill="FFFFFF" w:themeFill="background1"/>
          </w:tcPr>
          <w:p w14:paraId="5E20E7E2" w14:textId="77777777" w:rsidR="0098055F" w:rsidRPr="00993C3B" w:rsidRDefault="0098055F" w:rsidP="00DB19BE">
            <w:pPr>
              <w:jc w:val="center"/>
              <w:rPr>
                <w:sz w:val="18"/>
                <w:szCs w:val="18"/>
              </w:rPr>
            </w:pPr>
          </w:p>
        </w:tc>
        <w:tc>
          <w:tcPr>
            <w:tcW w:w="4619" w:type="dxa"/>
            <w:vMerge/>
            <w:shd w:val="clear" w:color="auto" w:fill="FFFFFF" w:themeFill="background1"/>
          </w:tcPr>
          <w:p w14:paraId="2F6CB3A7" w14:textId="77777777" w:rsidR="0098055F" w:rsidRPr="00993C3B" w:rsidRDefault="0098055F" w:rsidP="00562FD1">
            <w:pPr>
              <w:rPr>
                <w:sz w:val="18"/>
                <w:szCs w:val="18"/>
              </w:rPr>
            </w:pPr>
          </w:p>
        </w:tc>
        <w:tc>
          <w:tcPr>
            <w:tcW w:w="602" w:type="dxa"/>
            <w:vMerge/>
            <w:shd w:val="clear" w:color="auto" w:fill="FFFFFF" w:themeFill="background1"/>
          </w:tcPr>
          <w:p w14:paraId="7834CC61" w14:textId="77777777" w:rsidR="0098055F" w:rsidRPr="00D4753D" w:rsidRDefault="0098055F" w:rsidP="0098055F">
            <w:pPr>
              <w:jc w:val="center"/>
              <w:rPr>
                <w:sz w:val="18"/>
                <w:szCs w:val="18"/>
              </w:rPr>
            </w:pPr>
          </w:p>
        </w:tc>
        <w:tc>
          <w:tcPr>
            <w:tcW w:w="602" w:type="dxa"/>
            <w:vMerge/>
            <w:shd w:val="clear" w:color="auto" w:fill="FFFFFF" w:themeFill="background1"/>
          </w:tcPr>
          <w:p w14:paraId="1C91A6B8" w14:textId="77777777" w:rsidR="0098055F" w:rsidRPr="00993C3B" w:rsidRDefault="0098055F" w:rsidP="0098055F">
            <w:pPr>
              <w:jc w:val="center"/>
              <w:rPr>
                <w:sz w:val="18"/>
                <w:szCs w:val="18"/>
              </w:rPr>
            </w:pPr>
          </w:p>
        </w:tc>
        <w:tc>
          <w:tcPr>
            <w:tcW w:w="588" w:type="dxa"/>
            <w:vMerge/>
            <w:shd w:val="clear" w:color="auto" w:fill="FFFFFF" w:themeFill="background1"/>
          </w:tcPr>
          <w:p w14:paraId="1AB58F87" w14:textId="77777777" w:rsidR="0098055F" w:rsidRPr="00993C3B" w:rsidRDefault="0098055F" w:rsidP="00DB19BE">
            <w:pPr>
              <w:jc w:val="center"/>
              <w:rPr>
                <w:sz w:val="18"/>
                <w:szCs w:val="18"/>
              </w:rPr>
            </w:pPr>
          </w:p>
        </w:tc>
        <w:tc>
          <w:tcPr>
            <w:tcW w:w="588" w:type="dxa"/>
            <w:vMerge/>
            <w:shd w:val="clear" w:color="auto" w:fill="FFFFFF" w:themeFill="background1"/>
          </w:tcPr>
          <w:p w14:paraId="424FE7BD" w14:textId="77777777" w:rsidR="0098055F" w:rsidRPr="00993C3B" w:rsidRDefault="0098055F" w:rsidP="00DB19BE">
            <w:pPr>
              <w:jc w:val="center"/>
              <w:rPr>
                <w:sz w:val="18"/>
                <w:szCs w:val="18"/>
              </w:rPr>
            </w:pPr>
          </w:p>
        </w:tc>
      </w:tr>
      <w:tr w:rsidR="0098055F" w:rsidRPr="00993C3B" w14:paraId="1E7FD5EF" w14:textId="77777777" w:rsidTr="00655B58">
        <w:trPr>
          <w:trHeight w:val="253"/>
        </w:trPr>
        <w:tc>
          <w:tcPr>
            <w:tcW w:w="4517" w:type="dxa"/>
            <w:shd w:val="clear" w:color="auto" w:fill="FFFFFF" w:themeFill="background1"/>
          </w:tcPr>
          <w:p w14:paraId="7C1B2439" w14:textId="77777777" w:rsidR="0098055F" w:rsidRPr="00993C3B" w:rsidRDefault="0098055F" w:rsidP="00854881">
            <w:pPr>
              <w:pStyle w:val="Tabletext"/>
              <w:rPr>
                <w:sz w:val="18"/>
                <w:szCs w:val="18"/>
              </w:rPr>
            </w:pPr>
            <w:r w:rsidRPr="00993C3B">
              <w:rPr>
                <w:sz w:val="18"/>
                <w:szCs w:val="18"/>
              </w:rPr>
              <w:t>Solve linear equations involving simple algebraic fractions</w:t>
            </w:r>
            <w:r w:rsidRPr="00993C3B">
              <w:rPr>
                <w:rFonts w:eastAsia="SimSun"/>
                <w:sz w:val="18"/>
                <w:szCs w:val="18"/>
              </w:rPr>
              <w:t> </w:t>
            </w:r>
          </w:p>
        </w:tc>
        <w:tc>
          <w:tcPr>
            <w:tcW w:w="628" w:type="dxa"/>
            <w:shd w:val="clear" w:color="auto" w:fill="FFFFFF" w:themeFill="background1"/>
          </w:tcPr>
          <w:p w14:paraId="38498C07" w14:textId="77777777" w:rsidR="0098055F" w:rsidRPr="00993C3B" w:rsidRDefault="0098055F" w:rsidP="0098055F">
            <w:pPr>
              <w:jc w:val="center"/>
              <w:rPr>
                <w:sz w:val="18"/>
                <w:szCs w:val="18"/>
              </w:rPr>
            </w:pPr>
            <w:r w:rsidRPr="00993C3B">
              <w:rPr>
                <w:sz w:val="18"/>
                <w:szCs w:val="18"/>
              </w:rPr>
              <w:sym w:font="Wingdings" w:char="F0FC"/>
            </w:r>
          </w:p>
        </w:tc>
        <w:tc>
          <w:tcPr>
            <w:tcW w:w="589" w:type="dxa"/>
            <w:shd w:val="clear" w:color="auto" w:fill="FFFFFF" w:themeFill="background1"/>
          </w:tcPr>
          <w:p w14:paraId="788DC2FA" w14:textId="77777777" w:rsidR="0098055F" w:rsidRPr="00993C3B" w:rsidRDefault="0098055F" w:rsidP="0098055F">
            <w:pPr>
              <w:jc w:val="center"/>
              <w:rPr>
                <w:sz w:val="18"/>
                <w:szCs w:val="18"/>
              </w:rPr>
            </w:pPr>
          </w:p>
        </w:tc>
        <w:tc>
          <w:tcPr>
            <w:tcW w:w="640" w:type="dxa"/>
            <w:shd w:val="clear" w:color="auto" w:fill="FFFFFF" w:themeFill="background1"/>
          </w:tcPr>
          <w:p w14:paraId="717DFA3C" w14:textId="77777777" w:rsidR="0098055F" w:rsidRPr="00993C3B" w:rsidRDefault="0098055F" w:rsidP="0098055F">
            <w:pPr>
              <w:jc w:val="center"/>
              <w:rPr>
                <w:sz w:val="18"/>
                <w:szCs w:val="18"/>
              </w:rPr>
            </w:pPr>
          </w:p>
        </w:tc>
        <w:tc>
          <w:tcPr>
            <w:tcW w:w="620" w:type="dxa"/>
            <w:shd w:val="clear" w:color="auto" w:fill="FFFFFF" w:themeFill="background1"/>
          </w:tcPr>
          <w:p w14:paraId="08F5D519" w14:textId="77777777" w:rsidR="0098055F" w:rsidRPr="00993C3B" w:rsidRDefault="0098055F" w:rsidP="0098055F">
            <w:pPr>
              <w:jc w:val="center"/>
              <w:rPr>
                <w:sz w:val="18"/>
                <w:szCs w:val="18"/>
              </w:rPr>
            </w:pPr>
          </w:p>
        </w:tc>
        <w:tc>
          <w:tcPr>
            <w:tcW w:w="4479" w:type="dxa"/>
            <w:vMerge/>
            <w:shd w:val="clear" w:color="auto" w:fill="FFFFFF" w:themeFill="background1"/>
          </w:tcPr>
          <w:p w14:paraId="59FCD8F4" w14:textId="77777777" w:rsidR="0098055F" w:rsidRPr="00D56ECF" w:rsidRDefault="0098055F" w:rsidP="00562FD1">
            <w:pPr>
              <w:pStyle w:val="Tabletext"/>
              <w:rPr>
                <w:rStyle w:val="Shading2"/>
              </w:rPr>
            </w:pPr>
          </w:p>
        </w:tc>
        <w:tc>
          <w:tcPr>
            <w:tcW w:w="630" w:type="dxa"/>
            <w:vMerge/>
            <w:shd w:val="clear" w:color="auto" w:fill="FFFFFF" w:themeFill="background1"/>
          </w:tcPr>
          <w:p w14:paraId="541BDD4F" w14:textId="77777777" w:rsidR="0098055F" w:rsidRPr="00D4753D" w:rsidRDefault="0098055F" w:rsidP="00DB19BE">
            <w:pPr>
              <w:jc w:val="center"/>
              <w:rPr>
                <w:sz w:val="18"/>
                <w:szCs w:val="18"/>
              </w:rPr>
            </w:pPr>
          </w:p>
        </w:tc>
        <w:tc>
          <w:tcPr>
            <w:tcW w:w="672" w:type="dxa"/>
            <w:vMerge/>
            <w:shd w:val="clear" w:color="auto" w:fill="FFFFFF" w:themeFill="background1"/>
          </w:tcPr>
          <w:p w14:paraId="4C060347" w14:textId="77777777" w:rsidR="0098055F" w:rsidRPr="00993C3B" w:rsidRDefault="0098055F" w:rsidP="00DB19BE">
            <w:pPr>
              <w:jc w:val="center"/>
              <w:rPr>
                <w:sz w:val="18"/>
                <w:szCs w:val="18"/>
              </w:rPr>
            </w:pPr>
          </w:p>
        </w:tc>
        <w:tc>
          <w:tcPr>
            <w:tcW w:w="602" w:type="dxa"/>
            <w:vMerge/>
            <w:shd w:val="clear" w:color="auto" w:fill="FFFFFF" w:themeFill="background1"/>
          </w:tcPr>
          <w:p w14:paraId="1DB8A3FF" w14:textId="77777777" w:rsidR="0098055F" w:rsidRPr="00993C3B" w:rsidRDefault="0098055F" w:rsidP="00DB19BE">
            <w:pPr>
              <w:jc w:val="center"/>
              <w:rPr>
                <w:sz w:val="18"/>
                <w:szCs w:val="18"/>
              </w:rPr>
            </w:pPr>
          </w:p>
        </w:tc>
        <w:tc>
          <w:tcPr>
            <w:tcW w:w="602" w:type="dxa"/>
            <w:vMerge/>
            <w:shd w:val="clear" w:color="auto" w:fill="FFFFFF" w:themeFill="background1"/>
          </w:tcPr>
          <w:p w14:paraId="4F782203" w14:textId="77777777" w:rsidR="0098055F" w:rsidRPr="00993C3B" w:rsidRDefault="0098055F" w:rsidP="00DB19BE">
            <w:pPr>
              <w:jc w:val="center"/>
              <w:rPr>
                <w:sz w:val="18"/>
                <w:szCs w:val="18"/>
              </w:rPr>
            </w:pPr>
          </w:p>
        </w:tc>
        <w:tc>
          <w:tcPr>
            <w:tcW w:w="4619" w:type="dxa"/>
            <w:vMerge/>
            <w:shd w:val="clear" w:color="auto" w:fill="FFFFFF" w:themeFill="background1"/>
          </w:tcPr>
          <w:p w14:paraId="4EBDA5A8" w14:textId="77777777" w:rsidR="0098055F" w:rsidRPr="00993C3B" w:rsidRDefault="0098055F" w:rsidP="00562FD1">
            <w:pPr>
              <w:rPr>
                <w:sz w:val="18"/>
                <w:szCs w:val="18"/>
              </w:rPr>
            </w:pPr>
          </w:p>
        </w:tc>
        <w:tc>
          <w:tcPr>
            <w:tcW w:w="602" w:type="dxa"/>
            <w:vMerge/>
            <w:shd w:val="clear" w:color="auto" w:fill="FFFFFF" w:themeFill="background1"/>
          </w:tcPr>
          <w:p w14:paraId="5C88EC54" w14:textId="77777777" w:rsidR="0098055F" w:rsidRPr="00D4753D" w:rsidRDefault="0098055F" w:rsidP="00DB19BE">
            <w:pPr>
              <w:jc w:val="center"/>
              <w:rPr>
                <w:sz w:val="18"/>
                <w:szCs w:val="18"/>
              </w:rPr>
            </w:pPr>
          </w:p>
        </w:tc>
        <w:tc>
          <w:tcPr>
            <w:tcW w:w="602" w:type="dxa"/>
            <w:vMerge/>
            <w:shd w:val="clear" w:color="auto" w:fill="FFFFFF" w:themeFill="background1"/>
          </w:tcPr>
          <w:p w14:paraId="0BDF4B9A" w14:textId="77777777" w:rsidR="0098055F" w:rsidRPr="00993C3B" w:rsidRDefault="0098055F" w:rsidP="00DB19BE">
            <w:pPr>
              <w:jc w:val="center"/>
              <w:rPr>
                <w:sz w:val="18"/>
                <w:szCs w:val="18"/>
              </w:rPr>
            </w:pPr>
          </w:p>
        </w:tc>
        <w:tc>
          <w:tcPr>
            <w:tcW w:w="588" w:type="dxa"/>
            <w:vMerge/>
            <w:shd w:val="clear" w:color="auto" w:fill="FFFFFF" w:themeFill="background1"/>
          </w:tcPr>
          <w:p w14:paraId="10641ACE" w14:textId="77777777" w:rsidR="0098055F" w:rsidRPr="00993C3B" w:rsidRDefault="0098055F" w:rsidP="00DB19BE">
            <w:pPr>
              <w:jc w:val="center"/>
              <w:rPr>
                <w:sz w:val="18"/>
                <w:szCs w:val="18"/>
              </w:rPr>
            </w:pPr>
          </w:p>
        </w:tc>
        <w:tc>
          <w:tcPr>
            <w:tcW w:w="588" w:type="dxa"/>
            <w:vMerge/>
            <w:shd w:val="clear" w:color="auto" w:fill="FFFFFF" w:themeFill="background1"/>
          </w:tcPr>
          <w:p w14:paraId="6B650BBA" w14:textId="77777777" w:rsidR="0098055F" w:rsidRPr="00993C3B" w:rsidRDefault="0098055F" w:rsidP="00DB19BE">
            <w:pPr>
              <w:jc w:val="center"/>
              <w:rPr>
                <w:sz w:val="18"/>
                <w:szCs w:val="18"/>
              </w:rPr>
            </w:pPr>
          </w:p>
        </w:tc>
      </w:tr>
      <w:tr w:rsidR="0098055F" w:rsidRPr="00993C3B" w14:paraId="2DFD66EE" w14:textId="77777777" w:rsidTr="00655B58">
        <w:trPr>
          <w:trHeight w:val="253"/>
        </w:trPr>
        <w:tc>
          <w:tcPr>
            <w:tcW w:w="4517" w:type="dxa"/>
            <w:shd w:val="clear" w:color="auto" w:fill="FFFFFF" w:themeFill="background1"/>
          </w:tcPr>
          <w:p w14:paraId="293EF2F0" w14:textId="77777777" w:rsidR="0098055F" w:rsidRPr="00993C3B" w:rsidRDefault="0098055F" w:rsidP="00854881">
            <w:pPr>
              <w:pStyle w:val="Tabletext"/>
              <w:rPr>
                <w:sz w:val="18"/>
                <w:szCs w:val="18"/>
              </w:rPr>
            </w:pPr>
            <w:r w:rsidRPr="00993C3B">
              <w:rPr>
                <w:sz w:val="18"/>
                <w:szCs w:val="18"/>
              </w:rPr>
              <w:t>Solve simple quadratic equations using a range of strategies</w:t>
            </w:r>
            <w:r w:rsidRPr="00993C3B">
              <w:rPr>
                <w:rFonts w:eastAsia="SimSun"/>
                <w:sz w:val="18"/>
                <w:szCs w:val="18"/>
              </w:rPr>
              <w:t> </w:t>
            </w:r>
          </w:p>
        </w:tc>
        <w:tc>
          <w:tcPr>
            <w:tcW w:w="628" w:type="dxa"/>
            <w:shd w:val="clear" w:color="auto" w:fill="FFFFFF" w:themeFill="background1"/>
          </w:tcPr>
          <w:p w14:paraId="6EFAB51B" w14:textId="77777777" w:rsidR="0098055F" w:rsidRPr="00993C3B" w:rsidRDefault="0098055F" w:rsidP="0098055F">
            <w:pPr>
              <w:jc w:val="center"/>
              <w:rPr>
                <w:sz w:val="18"/>
                <w:szCs w:val="18"/>
              </w:rPr>
            </w:pPr>
          </w:p>
        </w:tc>
        <w:tc>
          <w:tcPr>
            <w:tcW w:w="589" w:type="dxa"/>
            <w:shd w:val="clear" w:color="auto" w:fill="FFFFFF" w:themeFill="background1"/>
          </w:tcPr>
          <w:p w14:paraId="2302B76F" w14:textId="77777777" w:rsidR="0098055F" w:rsidRPr="00993C3B" w:rsidRDefault="0098055F" w:rsidP="0098055F">
            <w:pPr>
              <w:jc w:val="center"/>
              <w:rPr>
                <w:sz w:val="18"/>
                <w:szCs w:val="18"/>
              </w:rPr>
            </w:pPr>
          </w:p>
        </w:tc>
        <w:tc>
          <w:tcPr>
            <w:tcW w:w="640" w:type="dxa"/>
            <w:shd w:val="clear" w:color="auto" w:fill="FFFFFF" w:themeFill="background1"/>
          </w:tcPr>
          <w:p w14:paraId="3A43E315" w14:textId="77777777" w:rsidR="0098055F" w:rsidRPr="00993C3B" w:rsidRDefault="0098055F" w:rsidP="0098055F">
            <w:pPr>
              <w:jc w:val="center"/>
              <w:rPr>
                <w:sz w:val="18"/>
                <w:szCs w:val="18"/>
              </w:rPr>
            </w:pPr>
            <w:r w:rsidRPr="00993C3B">
              <w:rPr>
                <w:sz w:val="18"/>
                <w:szCs w:val="18"/>
              </w:rPr>
              <w:sym w:font="Wingdings" w:char="F0FC"/>
            </w:r>
          </w:p>
        </w:tc>
        <w:tc>
          <w:tcPr>
            <w:tcW w:w="620" w:type="dxa"/>
            <w:shd w:val="clear" w:color="auto" w:fill="FFFFFF" w:themeFill="background1"/>
          </w:tcPr>
          <w:p w14:paraId="596B7A96" w14:textId="77777777" w:rsidR="0098055F" w:rsidRPr="00993C3B" w:rsidRDefault="0098055F" w:rsidP="0098055F">
            <w:pPr>
              <w:jc w:val="center"/>
              <w:rPr>
                <w:sz w:val="18"/>
                <w:szCs w:val="18"/>
              </w:rPr>
            </w:pPr>
          </w:p>
        </w:tc>
        <w:tc>
          <w:tcPr>
            <w:tcW w:w="4479" w:type="dxa"/>
            <w:vMerge/>
            <w:shd w:val="clear" w:color="auto" w:fill="FFFFFF" w:themeFill="background1"/>
          </w:tcPr>
          <w:p w14:paraId="0B4AC428" w14:textId="77777777" w:rsidR="0098055F" w:rsidRPr="00D56ECF" w:rsidRDefault="0098055F" w:rsidP="00562FD1">
            <w:pPr>
              <w:pStyle w:val="Tabletext"/>
              <w:rPr>
                <w:rStyle w:val="Shading2"/>
              </w:rPr>
            </w:pPr>
          </w:p>
        </w:tc>
        <w:tc>
          <w:tcPr>
            <w:tcW w:w="630" w:type="dxa"/>
            <w:vMerge/>
            <w:shd w:val="clear" w:color="auto" w:fill="FFFFFF" w:themeFill="background1"/>
          </w:tcPr>
          <w:p w14:paraId="4E53E914" w14:textId="77777777" w:rsidR="0098055F" w:rsidRPr="00D4753D" w:rsidRDefault="0098055F" w:rsidP="00DB19BE">
            <w:pPr>
              <w:jc w:val="center"/>
              <w:rPr>
                <w:sz w:val="18"/>
                <w:szCs w:val="18"/>
              </w:rPr>
            </w:pPr>
          </w:p>
        </w:tc>
        <w:tc>
          <w:tcPr>
            <w:tcW w:w="672" w:type="dxa"/>
            <w:vMerge/>
            <w:shd w:val="clear" w:color="auto" w:fill="FFFFFF" w:themeFill="background1"/>
          </w:tcPr>
          <w:p w14:paraId="0421871A" w14:textId="77777777" w:rsidR="0098055F" w:rsidRPr="00993C3B" w:rsidRDefault="0098055F" w:rsidP="00DB19BE">
            <w:pPr>
              <w:jc w:val="center"/>
              <w:rPr>
                <w:sz w:val="18"/>
                <w:szCs w:val="18"/>
              </w:rPr>
            </w:pPr>
          </w:p>
        </w:tc>
        <w:tc>
          <w:tcPr>
            <w:tcW w:w="602" w:type="dxa"/>
            <w:vMerge/>
            <w:shd w:val="clear" w:color="auto" w:fill="FFFFFF" w:themeFill="background1"/>
          </w:tcPr>
          <w:p w14:paraId="154893F7" w14:textId="77777777" w:rsidR="0098055F" w:rsidRPr="00993C3B" w:rsidRDefault="0098055F" w:rsidP="00DB19BE">
            <w:pPr>
              <w:jc w:val="center"/>
              <w:rPr>
                <w:sz w:val="18"/>
                <w:szCs w:val="18"/>
              </w:rPr>
            </w:pPr>
          </w:p>
        </w:tc>
        <w:tc>
          <w:tcPr>
            <w:tcW w:w="602" w:type="dxa"/>
            <w:vMerge/>
            <w:shd w:val="clear" w:color="auto" w:fill="FFFFFF" w:themeFill="background1"/>
          </w:tcPr>
          <w:p w14:paraId="1C6121F5" w14:textId="77777777" w:rsidR="0098055F" w:rsidRPr="00993C3B" w:rsidRDefault="0098055F" w:rsidP="00DB19BE">
            <w:pPr>
              <w:jc w:val="center"/>
              <w:rPr>
                <w:sz w:val="18"/>
                <w:szCs w:val="18"/>
              </w:rPr>
            </w:pPr>
          </w:p>
        </w:tc>
        <w:tc>
          <w:tcPr>
            <w:tcW w:w="4619" w:type="dxa"/>
            <w:vMerge/>
            <w:shd w:val="clear" w:color="auto" w:fill="FFFFFF" w:themeFill="background1"/>
          </w:tcPr>
          <w:p w14:paraId="55606275" w14:textId="77777777" w:rsidR="0098055F" w:rsidRPr="00993C3B" w:rsidRDefault="0098055F" w:rsidP="00562FD1">
            <w:pPr>
              <w:rPr>
                <w:sz w:val="18"/>
                <w:szCs w:val="18"/>
              </w:rPr>
            </w:pPr>
          </w:p>
        </w:tc>
        <w:tc>
          <w:tcPr>
            <w:tcW w:w="602" w:type="dxa"/>
            <w:vMerge/>
            <w:shd w:val="clear" w:color="auto" w:fill="FFFFFF" w:themeFill="background1"/>
          </w:tcPr>
          <w:p w14:paraId="6DAE1405" w14:textId="77777777" w:rsidR="0098055F" w:rsidRPr="00D4753D" w:rsidRDefault="0098055F" w:rsidP="00DB19BE">
            <w:pPr>
              <w:jc w:val="center"/>
              <w:rPr>
                <w:sz w:val="18"/>
                <w:szCs w:val="18"/>
              </w:rPr>
            </w:pPr>
          </w:p>
        </w:tc>
        <w:tc>
          <w:tcPr>
            <w:tcW w:w="602" w:type="dxa"/>
            <w:vMerge/>
            <w:shd w:val="clear" w:color="auto" w:fill="FFFFFF" w:themeFill="background1"/>
          </w:tcPr>
          <w:p w14:paraId="4A42E4C6" w14:textId="77777777" w:rsidR="0098055F" w:rsidRPr="00993C3B" w:rsidRDefault="0098055F" w:rsidP="00DB19BE">
            <w:pPr>
              <w:jc w:val="center"/>
              <w:rPr>
                <w:sz w:val="18"/>
                <w:szCs w:val="18"/>
              </w:rPr>
            </w:pPr>
          </w:p>
        </w:tc>
        <w:tc>
          <w:tcPr>
            <w:tcW w:w="588" w:type="dxa"/>
            <w:vMerge/>
            <w:shd w:val="clear" w:color="auto" w:fill="FFFFFF" w:themeFill="background1"/>
          </w:tcPr>
          <w:p w14:paraId="034F5B92" w14:textId="77777777" w:rsidR="0098055F" w:rsidRPr="00993C3B" w:rsidRDefault="0098055F" w:rsidP="00DB19BE">
            <w:pPr>
              <w:jc w:val="center"/>
              <w:rPr>
                <w:sz w:val="18"/>
                <w:szCs w:val="18"/>
              </w:rPr>
            </w:pPr>
          </w:p>
        </w:tc>
        <w:tc>
          <w:tcPr>
            <w:tcW w:w="588" w:type="dxa"/>
            <w:vMerge/>
            <w:shd w:val="clear" w:color="auto" w:fill="FFFFFF" w:themeFill="background1"/>
          </w:tcPr>
          <w:p w14:paraId="1678A923" w14:textId="77777777" w:rsidR="0098055F" w:rsidRPr="00993C3B" w:rsidRDefault="0098055F" w:rsidP="00DB19BE">
            <w:pPr>
              <w:jc w:val="center"/>
              <w:rPr>
                <w:sz w:val="18"/>
                <w:szCs w:val="18"/>
              </w:rPr>
            </w:pPr>
          </w:p>
        </w:tc>
      </w:tr>
      <w:tr w:rsidR="0098055F" w:rsidRPr="00993C3B" w14:paraId="46640A94" w14:textId="77777777" w:rsidTr="00655B58">
        <w:trPr>
          <w:trHeight w:val="253"/>
        </w:trPr>
        <w:tc>
          <w:tcPr>
            <w:tcW w:w="4517" w:type="dxa"/>
            <w:shd w:val="clear" w:color="auto" w:fill="FFFFFF" w:themeFill="background1"/>
          </w:tcPr>
          <w:p w14:paraId="6D628051" w14:textId="77777777" w:rsidR="0098055F" w:rsidRPr="00993C3B" w:rsidRDefault="0098055F" w:rsidP="00854881">
            <w:pPr>
              <w:pStyle w:val="Tabletext"/>
              <w:rPr>
                <w:sz w:val="18"/>
                <w:szCs w:val="18"/>
              </w:rPr>
            </w:pPr>
            <w:r w:rsidRPr="00D56ECF">
              <w:rPr>
                <w:rStyle w:val="Shading2"/>
              </w:rPr>
              <w:t>Solve simple exponential equations</w:t>
            </w:r>
          </w:p>
        </w:tc>
        <w:tc>
          <w:tcPr>
            <w:tcW w:w="628" w:type="dxa"/>
            <w:shd w:val="clear" w:color="auto" w:fill="FFFFFF" w:themeFill="background1"/>
          </w:tcPr>
          <w:p w14:paraId="76E184AE" w14:textId="77777777" w:rsidR="0098055F" w:rsidRPr="00993C3B" w:rsidRDefault="0098055F" w:rsidP="0098055F">
            <w:pPr>
              <w:jc w:val="center"/>
              <w:rPr>
                <w:sz w:val="18"/>
                <w:szCs w:val="18"/>
              </w:rPr>
            </w:pPr>
          </w:p>
        </w:tc>
        <w:tc>
          <w:tcPr>
            <w:tcW w:w="589" w:type="dxa"/>
            <w:shd w:val="clear" w:color="auto" w:fill="FFFFFF" w:themeFill="background1"/>
          </w:tcPr>
          <w:p w14:paraId="44ABFEB9" w14:textId="77777777" w:rsidR="0098055F" w:rsidRPr="00993C3B" w:rsidRDefault="0098055F" w:rsidP="0098055F">
            <w:pPr>
              <w:jc w:val="center"/>
              <w:rPr>
                <w:sz w:val="18"/>
                <w:szCs w:val="18"/>
              </w:rPr>
            </w:pPr>
          </w:p>
        </w:tc>
        <w:tc>
          <w:tcPr>
            <w:tcW w:w="640" w:type="dxa"/>
            <w:shd w:val="clear" w:color="auto" w:fill="FFFFFF" w:themeFill="background1"/>
          </w:tcPr>
          <w:p w14:paraId="1557CE42" w14:textId="77777777" w:rsidR="0098055F" w:rsidRPr="00993C3B" w:rsidRDefault="0098055F" w:rsidP="0098055F">
            <w:pPr>
              <w:jc w:val="center"/>
              <w:rPr>
                <w:sz w:val="18"/>
                <w:szCs w:val="18"/>
              </w:rPr>
            </w:pPr>
            <w:r w:rsidRPr="00D4753D">
              <w:rPr>
                <w:sz w:val="18"/>
                <w:szCs w:val="18"/>
              </w:rPr>
              <w:sym w:font="Wingdings" w:char="F0FC"/>
            </w:r>
          </w:p>
        </w:tc>
        <w:tc>
          <w:tcPr>
            <w:tcW w:w="620" w:type="dxa"/>
            <w:shd w:val="clear" w:color="auto" w:fill="FFFFFF" w:themeFill="background1"/>
          </w:tcPr>
          <w:p w14:paraId="649085A7" w14:textId="77777777" w:rsidR="0098055F" w:rsidRPr="00993C3B" w:rsidRDefault="0098055F" w:rsidP="0098055F">
            <w:pPr>
              <w:jc w:val="center"/>
              <w:rPr>
                <w:sz w:val="18"/>
                <w:szCs w:val="18"/>
              </w:rPr>
            </w:pPr>
          </w:p>
        </w:tc>
        <w:tc>
          <w:tcPr>
            <w:tcW w:w="4479" w:type="dxa"/>
            <w:vMerge/>
            <w:shd w:val="clear" w:color="auto" w:fill="FFFFFF" w:themeFill="background1"/>
          </w:tcPr>
          <w:p w14:paraId="1764430B" w14:textId="77777777" w:rsidR="0098055F" w:rsidRPr="00D56ECF" w:rsidRDefault="0098055F" w:rsidP="00562FD1">
            <w:pPr>
              <w:pStyle w:val="Tabletext"/>
              <w:rPr>
                <w:rStyle w:val="Shading2"/>
              </w:rPr>
            </w:pPr>
          </w:p>
        </w:tc>
        <w:tc>
          <w:tcPr>
            <w:tcW w:w="630" w:type="dxa"/>
            <w:vMerge/>
            <w:shd w:val="clear" w:color="auto" w:fill="FFFFFF" w:themeFill="background1"/>
          </w:tcPr>
          <w:p w14:paraId="7C6CBBA2" w14:textId="77777777" w:rsidR="0098055F" w:rsidRPr="00D4753D" w:rsidRDefault="0098055F" w:rsidP="00DB19BE">
            <w:pPr>
              <w:jc w:val="center"/>
              <w:rPr>
                <w:sz w:val="18"/>
                <w:szCs w:val="18"/>
              </w:rPr>
            </w:pPr>
          </w:p>
        </w:tc>
        <w:tc>
          <w:tcPr>
            <w:tcW w:w="672" w:type="dxa"/>
            <w:vMerge/>
            <w:shd w:val="clear" w:color="auto" w:fill="FFFFFF" w:themeFill="background1"/>
          </w:tcPr>
          <w:p w14:paraId="7267305B" w14:textId="77777777" w:rsidR="0098055F" w:rsidRPr="00993C3B" w:rsidRDefault="0098055F" w:rsidP="00DB19BE">
            <w:pPr>
              <w:jc w:val="center"/>
              <w:rPr>
                <w:sz w:val="18"/>
                <w:szCs w:val="18"/>
              </w:rPr>
            </w:pPr>
          </w:p>
        </w:tc>
        <w:tc>
          <w:tcPr>
            <w:tcW w:w="602" w:type="dxa"/>
            <w:vMerge/>
            <w:shd w:val="clear" w:color="auto" w:fill="FFFFFF" w:themeFill="background1"/>
          </w:tcPr>
          <w:p w14:paraId="7BB712A8" w14:textId="77777777" w:rsidR="0098055F" w:rsidRPr="00993C3B" w:rsidRDefault="0098055F" w:rsidP="00DB19BE">
            <w:pPr>
              <w:jc w:val="center"/>
              <w:rPr>
                <w:sz w:val="18"/>
                <w:szCs w:val="18"/>
              </w:rPr>
            </w:pPr>
          </w:p>
        </w:tc>
        <w:tc>
          <w:tcPr>
            <w:tcW w:w="602" w:type="dxa"/>
            <w:vMerge/>
            <w:shd w:val="clear" w:color="auto" w:fill="FFFFFF" w:themeFill="background1"/>
          </w:tcPr>
          <w:p w14:paraId="3953C41F" w14:textId="77777777" w:rsidR="0098055F" w:rsidRPr="00993C3B" w:rsidRDefault="0098055F" w:rsidP="00DB19BE">
            <w:pPr>
              <w:jc w:val="center"/>
              <w:rPr>
                <w:sz w:val="18"/>
                <w:szCs w:val="18"/>
              </w:rPr>
            </w:pPr>
          </w:p>
        </w:tc>
        <w:tc>
          <w:tcPr>
            <w:tcW w:w="4619" w:type="dxa"/>
            <w:vMerge/>
            <w:shd w:val="clear" w:color="auto" w:fill="FFFFFF" w:themeFill="background1"/>
          </w:tcPr>
          <w:p w14:paraId="5D97B44C" w14:textId="77777777" w:rsidR="0098055F" w:rsidRPr="00993C3B" w:rsidRDefault="0098055F" w:rsidP="00562FD1">
            <w:pPr>
              <w:rPr>
                <w:sz w:val="18"/>
                <w:szCs w:val="18"/>
              </w:rPr>
            </w:pPr>
          </w:p>
        </w:tc>
        <w:tc>
          <w:tcPr>
            <w:tcW w:w="602" w:type="dxa"/>
            <w:vMerge/>
            <w:shd w:val="clear" w:color="auto" w:fill="FFFFFF" w:themeFill="background1"/>
          </w:tcPr>
          <w:p w14:paraId="1FECBC0D" w14:textId="77777777" w:rsidR="0098055F" w:rsidRPr="00D4753D" w:rsidRDefault="0098055F" w:rsidP="00DB19BE">
            <w:pPr>
              <w:jc w:val="center"/>
              <w:rPr>
                <w:sz w:val="18"/>
                <w:szCs w:val="18"/>
              </w:rPr>
            </w:pPr>
          </w:p>
        </w:tc>
        <w:tc>
          <w:tcPr>
            <w:tcW w:w="602" w:type="dxa"/>
            <w:vMerge/>
            <w:shd w:val="clear" w:color="auto" w:fill="FFFFFF" w:themeFill="background1"/>
          </w:tcPr>
          <w:p w14:paraId="57F6FC8A" w14:textId="77777777" w:rsidR="0098055F" w:rsidRPr="00993C3B" w:rsidRDefault="0098055F" w:rsidP="00DB19BE">
            <w:pPr>
              <w:jc w:val="center"/>
              <w:rPr>
                <w:sz w:val="18"/>
                <w:szCs w:val="18"/>
              </w:rPr>
            </w:pPr>
          </w:p>
        </w:tc>
        <w:tc>
          <w:tcPr>
            <w:tcW w:w="588" w:type="dxa"/>
            <w:vMerge/>
            <w:shd w:val="clear" w:color="auto" w:fill="FFFFFF" w:themeFill="background1"/>
          </w:tcPr>
          <w:p w14:paraId="39430E5A" w14:textId="77777777" w:rsidR="0098055F" w:rsidRPr="00993C3B" w:rsidRDefault="0098055F" w:rsidP="00DB19BE">
            <w:pPr>
              <w:jc w:val="center"/>
              <w:rPr>
                <w:sz w:val="18"/>
                <w:szCs w:val="18"/>
              </w:rPr>
            </w:pPr>
          </w:p>
        </w:tc>
        <w:tc>
          <w:tcPr>
            <w:tcW w:w="588" w:type="dxa"/>
            <w:vMerge/>
            <w:shd w:val="clear" w:color="auto" w:fill="FFFFFF" w:themeFill="background1"/>
          </w:tcPr>
          <w:p w14:paraId="5C8A72D4" w14:textId="77777777" w:rsidR="0098055F" w:rsidRPr="00993C3B" w:rsidRDefault="0098055F" w:rsidP="00DB19BE">
            <w:pPr>
              <w:jc w:val="center"/>
              <w:rPr>
                <w:sz w:val="18"/>
                <w:szCs w:val="18"/>
              </w:rPr>
            </w:pPr>
          </w:p>
        </w:tc>
      </w:tr>
      <w:tr w:rsidR="0098055F" w:rsidRPr="00993C3B" w14:paraId="34B195EB" w14:textId="77777777" w:rsidTr="00655B58">
        <w:trPr>
          <w:trHeight w:val="253"/>
        </w:trPr>
        <w:tc>
          <w:tcPr>
            <w:tcW w:w="4517" w:type="dxa"/>
            <w:shd w:val="clear" w:color="auto" w:fill="FFFFFF" w:themeFill="background1"/>
          </w:tcPr>
          <w:p w14:paraId="06F6A842" w14:textId="77777777" w:rsidR="0098055F" w:rsidRPr="00993C3B" w:rsidRDefault="0098055F" w:rsidP="00854881">
            <w:pPr>
              <w:pStyle w:val="Tabletext"/>
              <w:rPr>
                <w:sz w:val="18"/>
                <w:szCs w:val="18"/>
              </w:rPr>
            </w:pPr>
            <w:r w:rsidRPr="00D56ECF">
              <w:rPr>
                <w:rStyle w:val="Shading2"/>
              </w:rPr>
              <w:t>Describe, interpret and sketch parabolas, hyperbolas, circles and exponential functions and their transformations </w:t>
            </w:r>
          </w:p>
        </w:tc>
        <w:tc>
          <w:tcPr>
            <w:tcW w:w="628" w:type="dxa"/>
            <w:shd w:val="clear" w:color="auto" w:fill="FFFFFF" w:themeFill="background1"/>
          </w:tcPr>
          <w:p w14:paraId="3FA1B34F" w14:textId="77777777" w:rsidR="0098055F" w:rsidRPr="00993C3B" w:rsidRDefault="0098055F" w:rsidP="0098055F">
            <w:pPr>
              <w:jc w:val="center"/>
              <w:rPr>
                <w:sz w:val="18"/>
                <w:szCs w:val="18"/>
              </w:rPr>
            </w:pPr>
          </w:p>
        </w:tc>
        <w:tc>
          <w:tcPr>
            <w:tcW w:w="589" w:type="dxa"/>
            <w:shd w:val="clear" w:color="auto" w:fill="FFFFFF" w:themeFill="background1"/>
          </w:tcPr>
          <w:p w14:paraId="3968B48B" w14:textId="77777777" w:rsidR="0098055F" w:rsidRPr="00993C3B" w:rsidRDefault="0098055F" w:rsidP="0098055F">
            <w:pPr>
              <w:jc w:val="center"/>
              <w:rPr>
                <w:sz w:val="18"/>
                <w:szCs w:val="18"/>
              </w:rPr>
            </w:pPr>
          </w:p>
        </w:tc>
        <w:tc>
          <w:tcPr>
            <w:tcW w:w="640" w:type="dxa"/>
            <w:shd w:val="clear" w:color="auto" w:fill="FFFFFF" w:themeFill="background1"/>
          </w:tcPr>
          <w:p w14:paraId="00E2FFFB" w14:textId="77777777" w:rsidR="0098055F" w:rsidRPr="00993C3B" w:rsidRDefault="0098055F" w:rsidP="0098055F">
            <w:pPr>
              <w:jc w:val="center"/>
              <w:rPr>
                <w:sz w:val="18"/>
                <w:szCs w:val="18"/>
              </w:rPr>
            </w:pPr>
            <w:r w:rsidRPr="00D4753D">
              <w:rPr>
                <w:sz w:val="18"/>
                <w:szCs w:val="18"/>
              </w:rPr>
              <w:sym w:font="Wingdings" w:char="F0FC"/>
            </w:r>
          </w:p>
        </w:tc>
        <w:tc>
          <w:tcPr>
            <w:tcW w:w="620" w:type="dxa"/>
            <w:shd w:val="clear" w:color="auto" w:fill="FFFFFF" w:themeFill="background1"/>
          </w:tcPr>
          <w:p w14:paraId="1F82FE9A" w14:textId="77777777" w:rsidR="0098055F" w:rsidRPr="00993C3B" w:rsidRDefault="0098055F" w:rsidP="0098055F">
            <w:pPr>
              <w:jc w:val="center"/>
              <w:rPr>
                <w:sz w:val="18"/>
                <w:szCs w:val="18"/>
              </w:rPr>
            </w:pPr>
          </w:p>
        </w:tc>
        <w:tc>
          <w:tcPr>
            <w:tcW w:w="4479" w:type="dxa"/>
            <w:vMerge/>
            <w:shd w:val="clear" w:color="auto" w:fill="FFFFFF" w:themeFill="background1"/>
          </w:tcPr>
          <w:p w14:paraId="7F6E192F" w14:textId="77777777" w:rsidR="0098055F" w:rsidRPr="00D56ECF" w:rsidRDefault="0098055F" w:rsidP="00562FD1">
            <w:pPr>
              <w:pStyle w:val="Tabletext"/>
              <w:rPr>
                <w:rStyle w:val="Shading2"/>
              </w:rPr>
            </w:pPr>
          </w:p>
        </w:tc>
        <w:tc>
          <w:tcPr>
            <w:tcW w:w="630" w:type="dxa"/>
            <w:vMerge/>
            <w:shd w:val="clear" w:color="auto" w:fill="FFFFFF" w:themeFill="background1"/>
          </w:tcPr>
          <w:p w14:paraId="3DC9111B" w14:textId="77777777" w:rsidR="0098055F" w:rsidRPr="00D4753D" w:rsidRDefault="0098055F" w:rsidP="00DB19BE">
            <w:pPr>
              <w:jc w:val="center"/>
              <w:rPr>
                <w:sz w:val="18"/>
                <w:szCs w:val="18"/>
              </w:rPr>
            </w:pPr>
          </w:p>
        </w:tc>
        <w:tc>
          <w:tcPr>
            <w:tcW w:w="672" w:type="dxa"/>
            <w:vMerge/>
            <w:shd w:val="clear" w:color="auto" w:fill="FFFFFF" w:themeFill="background1"/>
          </w:tcPr>
          <w:p w14:paraId="65A1FFC4" w14:textId="77777777" w:rsidR="0098055F" w:rsidRPr="00993C3B" w:rsidRDefault="0098055F" w:rsidP="00DB19BE">
            <w:pPr>
              <w:jc w:val="center"/>
              <w:rPr>
                <w:sz w:val="18"/>
                <w:szCs w:val="18"/>
              </w:rPr>
            </w:pPr>
          </w:p>
        </w:tc>
        <w:tc>
          <w:tcPr>
            <w:tcW w:w="602" w:type="dxa"/>
            <w:vMerge/>
            <w:shd w:val="clear" w:color="auto" w:fill="FFFFFF" w:themeFill="background1"/>
          </w:tcPr>
          <w:p w14:paraId="12DDDC92" w14:textId="77777777" w:rsidR="0098055F" w:rsidRPr="00993C3B" w:rsidRDefault="0098055F" w:rsidP="00DB19BE">
            <w:pPr>
              <w:jc w:val="center"/>
              <w:rPr>
                <w:sz w:val="18"/>
                <w:szCs w:val="18"/>
              </w:rPr>
            </w:pPr>
          </w:p>
        </w:tc>
        <w:tc>
          <w:tcPr>
            <w:tcW w:w="602" w:type="dxa"/>
            <w:vMerge/>
            <w:shd w:val="clear" w:color="auto" w:fill="FFFFFF" w:themeFill="background1"/>
          </w:tcPr>
          <w:p w14:paraId="646382C3" w14:textId="77777777" w:rsidR="0098055F" w:rsidRPr="00993C3B" w:rsidRDefault="0098055F" w:rsidP="00DB19BE">
            <w:pPr>
              <w:jc w:val="center"/>
              <w:rPr>
                <w:sz w:val="18"/>
                <w:szCs w:val="18"/>
              </w:rPr>
            </w:pPr>
          </w:p>
        </w:tc>
        <w:tc>
          <w:tcPr>
            <w:tcW w:w="4619" w:type="dxa"/>
            <w:vMerge/>
            <w:shd w:val="clear" w:color="auto" w:fill="FFFFFF" w:themeFill="background1"/>
          </w:tcPr>
          <w:p w14:paraId="589C55BE" w14:textId="77777777" w:rsidR="0098055F" w:rsidRPr="00993C3B" w:rsidRDefault="0098055F" w:rsidP="00562FD1">
            <w:pPr>
              <w:rPr>
                <w:sz w:val="18"/>
                <w:szCs w:val="18"/>
              </w:rPr>
            </w:pPr>
          </w:p>
        </w:tc>
        <w:tc>
          <w:tcPr>
            <w:tcW w:w="602" w:type="dxa"/>
            <w:vMerge/>
            <w:shd w:val="clear" w:color="auto" w:fill="FFFFFF" w:themeFill="background1"/>
          </w:tcPr>
          <w:p w14:paraId="0092513D" w14:textId="77777777" w:rsidR="0098055F" w:rsidRPr="00D4753D" w:rsidRDefault="0098055F" w:rsidP="00DB19BE">
            <w:pPr>
              <w:jc w:val="center"/>
              <w:rPr>
                <w:sz w:val="18"/>
                <w:szCs w:val="18"/>
              </w:rPr>
            </w:pPr>
          </w:p>
        </w:tc>
        <w:tc>
          <w:tcPr>
            <w:tcW w:w="602" w:type="dxa"/>
            <w:vMerge/>
            <w:shd w:val="clear" w:color="auto" w:fill="FFFFFF" w:themeFill="background1"/>
          </w:tcPr>
          <w:p w14:paraId="08434444" w14:textId="77777777" w:rsidR="0098055F" w:rsidRPr="00993C3B" w:rsidRDefault="0098055F" w:rsidP="00DB19BE">
            <w:pPr>
              <w:jc w:val="center"/>
              <w:rPr>
                <w:sz w:val="18"/>
                <w:szCs w:val="18"/>
              </w:rPr>
            </w:pPr>
          </w:p>
        </w:tc>
        <w:tc>
          <w:tcPr>
            <w:tcW w:w="588" w:type="dxa"/>
            <w:vMerge/>
            <w:shd w:val="clear" w:color="auto" w:fill="FFFFFF" w:themeFill="background1"/>
          </w:tcPr>
          <w:p w14:paraId="179E938A" w14:textId="77777777" w:rsidR="0098055F" w:rsidRPr="00993C3B" w:rsidRDefault="0098055F" w:rsidP="00DB19BE">
            <w:pPr>
              <w:jc w:val="center"/>
              <w:rPr>
                <w:sz w:val="18"/>
                <w:szCs w:val="18"/>
              </w:rPr>
            </w:pPr>
          </w:p>
        </w:tc>
        <w:tc>
          <w:tcPr>
            <w:tcW w:w="588" w:type="dxa"/>
            <w:vMerge/>
            <w:shd w:val="clear" w:color="auto" w:fill="FFFFFF" w:themeFill="background1"/>
          </w:tcPr>
          <w:p w14:paraId="398EC1E7" w14:textId="77777777" w:rsidR="0098055F" w:rsidRPr="00993C3B" w:rsidRDefault="0098055F" w:rsidP="00DB19BE">
            <w:pPr>
              <w:jc w:val="center"/>
              <w:rPr>
                <w:sz w:val="18"/>
                <w:szCs w:val="18"/>
              </w:rPr>
            </w:pPr>
          </w:p>
        </w:tc>
      </w:tr>
      <w:tr w:rsidR="0098055F" w:rsidRPr="00993C3B" w14:paraId="5E59A883" w14:textId="77777777" w:rsidTr="00655B58">
        <w:trPr>
          <w:trHeight w:val="253"/>
        </w:trPr>
        <w:tc>
          <w:tcPr>
            <w:tcW w:w="4517" w:type="dxa"/>
            <w:shd w:val="clear" w:color="auto" w:fill="FFFFFF" w:themeFill="background1"/>
          </w:tcPr>
          <w:p w14:paraId="1BD1362F" w14:textId="77777777" w:rsidR="0098055F" w:rsidRPr="00993C3B" w:rsidRDefault="0098055F" w:rsidP="00854881">
            <w:pPr>
              <w:pStyle w:val="Tabletext"/>
              <w:rPr>
                <w:sz w:val="18"/>
                <w:szCs w:val="18"/>
              </w:rPr>
            </w:pPr>
            <w:r w:rsidRPr="00D56ECF">
              <w:rPr>
                <w:rStyle w:val="Shading2"/>
              </w:rPr>
              <w:t>Apply understanding of polynomials to sketch a range of curves and describe the features of these curves from their equation</w:t>
            </w:r>
          </w:p>
        </w:tc>
        <w:tc>
          <w:tcPr>
            <w:tcW w:w="628" w:type="dxa"/>
            <w:shd w:val="clear" w:color="auto" w:fill="FFFFFF" w:themeFill="background1"/>
          </w:tcPr>
          <w:p w14:paraId="44186C6F" w14:textId="77777777" w:rsidR="0098055F" w:rsidRPr="00993C3B" w:rsidRDefault="0098055F" w:rsidP="0098055F">
            <w:pPr>
              <w:jc w:val="center"/>
              <w:rPr>
                <w:sz w:val="18"/>
                <w:szCs w:val="18"/>
              </w:rPr>
            </w:pPr>
          </w:p>
        </w:tc>
        <w:tc>
          <w:tcPr>
            <w:tcW w:w="589" w:type="dxa"/>
            <w:shd w:val="clear" w:color="auto" w:fill="FFFFFF" w:themeFill="background1"/>
          </w:tcPr>
          <w:p w14:paraId="7804C379" w14:textId="77777777" w:rsidR="0098055F" w:rsidRPr="00993C3B" w:rsidRDefault="0098055F" w:rsidP="0098055F">
            <w:pPr>
              <w:jc w:val="center"/>
              <w:rPr>
                <w:sz w:val="18"/>
                <w:szCs w:val="18"/>
              </w:rPr>
            </w:pPr>
          </w:p>
        </w:tc>
        <w:tc>
          <w:tcPr>
            <w:tcW w:w="640" w:type="dxa"/>
            <w:shd w:val="clear" w:color="auto" w:fill="FFFFFF" w:themeFill="background1"/>
          </w:tcPr>
          <w:p w14:paraId="69CC0166" w14:textId="77777777" w:rsidR="0098055F" w:rsidRPr="00993C3B" w:rsidRDefault="0098055F" w:rsidP="0098055F">
            <w:pPr>
              <w:jc w:val="center"/>
              <w:rPr>
                <w:sz w:val="18"/>
                <w:szCs w:val="18"/>
              </w:rPr>
            </w:pPr>
            <w:r w:rsidRPr="00D4753D">
              <w:rPr>
                <w:sz w:val="18"/>
                <w:szCs w:val="18"/>
              </w:rPr>
              <w:sym w:font="Wingdings" w:char="F0FC"/>
            </w:r>
          </w:p>
        </w:tc>
        <w:tc>
          <w:tcPr>
            <w:tcW w:w="620" w:type="dxa"/>
            <w:shd w:val="clear" w:color="auto" w:fill="FFFFFF" w:themeFill="background1"/>
          </w:tcPr>
          <w:p w14:paraId="525E9D6A" w14:textId="77777777" w:rsidR="0098055F" w:rsidRPr="00993C3B" w:rsidRDefault="0098055F" w:rsidP="0098055F">
            <w:pPr>
              <w:jc w:val="center"/>
              <w:rPr>
                <w:sz w:val="18"/>
                <w:szCs w:val="18"/>
              </w:rPr>
            </w:pPr>
          </w:p>
        </w:tc>
        <w:tc>
          <w:tcPr>
            <w:tcW w:w="4479" w:type="dxa"/>
            <w:vMerge/>
            <w:shd w:val="clear" w:color="auto" w:fill="FFFFFF" w:themeFill="background1"/>
          </w:tcPr>
          <w:p w14:paraId="12C9D2E9" w14:textId="77777777" w:rsidR="0098055F" w:rsidRPr="00D56ECF" w:rsidRDefault="0098055F" w:rsidP="00562FD1">
            <w:pPr>
              <w:pStyle w:val="Tabletext"/>
              <w:rPr>
                <w:rStyle w:val="Shading2"/>
              </w:rPr>
            </w:pPr>
          </w:p>
        </w:tc>
        <w:tc>
          <w:tcPr>
            <w:tcW w:w="630" w:type="dxa"/>
            <w:vMerge/>
            <w:shd w:val="clear" w:color="auto" w:fill="FFFFFF" w:themeFill="background1"/>
          </w:tcPr>
          <w:p w14:paraId="63AD0198" w14:textId="77777777" w:rsidR="0098055F" w:rsidRPr="00D4753D" w:rsidRDefault="0098055F" w:rsidP="00DB19BE">
            <w:pPr>
              <w:jc w:val="center"/>
              <w:rPr>
                <w:sz w:val="18"/>
                <w:szCs w:val="18"/>
              </w:rPr>
            </w:pPr>
          </w:p>
        </w:tc>
        <w:tc>
          <w:tcPr>
            <w:tcW w:w="672" w:type="dxa"/>
            <w:vMerge/>
            <w:shd w:val="clear" w:color="auto" w:fill="FFFFFF" w:themeFill="background1"/>
          </w:tcPr>
          <w:p w14:paraId="7F2312F6" w14:textId="77777777" w:rsidR="0098055F" w:rsidRPr="00993C3B" w:rsidRDefault="0098055F" w:rsidP="00DB19BE">
            <w:pPr>
              <w:jc w:val="center"/>
              <w:rPr>
                <w:sz w:val="18"/>
                <w:szCs w:val="18"/>
              </w:rPr>
            </w:pPr>
          </w:p>
        </w:tc>
        <w:tc>
          <w:tcPr>
            <w:tcW w:w="602" w:type="dxa"/>
            <w:vMerge/>
            <w:shd w:val="clear" w:color="auto" w:fill="FFFFFF" w:themeFill="background1"/>
          </w:tcPr>
          <w:p w14:paraId="7F9B5309" w14:textId="77777777" w:rsidR="0098055F" w:rsidRPr="00993C3B" w:rsidRDefault="0098055F" w:rsidP="00DB19BE">
            <w:pPr>
              <w:jc w:val="center"/>
              <w:rPr>
                <w:sz w:val="18"/>
                <w:szCs w:val="18"/>
              </w:rPr>
            </w:pPr>
          </w:p>
        </w:tc>
        <w:tc>
          <w:tcPr>
            <w:tcW w:w="602" w:type="dxa"/>
            <w:vMerge/>
            <w:shd w:val="clear" w:color="auto" w:fill="FFFFFF" w:themeFill="background1"/>
          </w:tcPr>
          <w:p w14:paraId="04CD813A" w14:textId="77777777" w:rsidR="0098055F" w:rsidRPr="00993C3B" w:rsidRDefault="0098055F" w:rsidP="00DB19BE">
            <w:pPr>
              <w:jc w:val="center"/>
              <w:rPr>
                <w:sz w:val="18"/>
                <w:szCs w:val="18"/>
              </w:rPr>
            </w:pPr>
          </w:p>
        </w:tc>
        <w:tc>
          <w:tcPr>
            <w:tcW w:w="4619" w:type="dxa"/>
            <w:vMerge/>
            <w:shd w:val="clear" w:color="auto" w:fill="FFFFFF" w:themeFill="background1"/>
          </w:tcPr>
          <w:p w14:paraId="5AE33269" w14:textId="77777777" w:rsidR="0098055F" w:rsidRPr="00993C3B" w:rsidRDefault="0098055F" w:rsidP="00562FD1">
            <w:pPr>
              <w:rPr>
                <w:sz w:val="18"/>
                <w:szCs w:val="18"/>
              </w:rPr>
            </w:pPr>
          </w:p>
        </w:tc>
        <w:tc>
          <w:tcPr>
            <w:tcW w:w="602" w:type="dxa"/>
            <w:vMerge/>
            <w:shd w:val="clear" w:color="auto" w:fill="FFFFFF" w:themeFill="background1"/>
          </w:tcPr>
          <w:p w14:paraId="5911C3A7" w14:textId="77777777" w:rsidR="0098055F" w:rsidRPr="00D4753D" w:rsidRDefault="0098055F" w:rsidP="00DB19BE">
            <w:pPr>
              <w:jc w:val="center"/>
              <w:rPr>
                <w:sz w:val="18"/>
                <w:szCs w:val="18"/>
              </w:rPr>
            </w:pPr>
          </w:p>
        </w:tc>
        <w:tc>
          <w:tcPr>
            <w:tcW w:w="602" w:type="dxa"/>
            <w:vMerge/>
            <w:shd w:val="clear" w:color="auto" w:fill="FFFFFF" w:themeFill="background1"/>
          </w:tcPr>
          <w:p w14:paraId="198BD1E2" w14:textId="77777777" w:rsidR="0098055F" w:rsidRPr="00993C3B" w:rsidRDefault="0098055F" w:rsidP="00DB19BE">
            <w:pPr>
              <w:jc w:val="center"/>
              <w:rPr>
                <w:sz w:val="18"/>
                <w:szCs w:val="18"/>
              </w:rPr>
            </w:pPr>
          </w:p>
        </w:tc>
        <w:tc>
          <w:tcPr>
            <w:tcW w:w="588" w:type="dxa"/>
            <w:vMerge/>
            <w:shd w:val="clear" w:color="auto" w:fill="FFFFFF" w:themeFill="background1"/>
          </w:tcPr>
          <w:p w14:paraId="23FF9A61" w14:textId="77777777" w:rsidR="0098055F" w:rsidRPr="00993C3B" w:rsidRDefault="0098055F" w:rsidP="00DB19BE">
            <w:pPr>
              <w:jc w:val="center"/>
              <w:rPr>
                <w:sz w:val="18"/>
                <w:szCs w:val="18"/>
              </w:rPr>
            </w:pPr>
          </w:p>
        </w:tc>
        <w:tc>
          <w:tcPr>
            <w:tcW w:w="588" w:type="dxa"/>
            <w:vMerge/>
            <w:shd w:val="clear" w:color="auto" w:fill="FFFFFF" w:themeFill="background1"/>
          </w:tcPr>
          <w:p w14:paraId="1FD23576" w14:textId="77777777" w:rsidR="0098055F" w:rsidRPr="00993C3B" w:rsidRDefault="0098055F" w:rsidP="00DB19BE">
            <w:pPr>
              <w:jc w:val="center"/>
              <w:rPr>
                <w:sz w:val="18"/>
                <w:szCs w:val="18"/>
              </w:rPr>
            </w:pPr>
          </w:p>
        </w:tc>
      </w:tr>
      <w:tr w:rsidR="0098055F" w:rsidRPr="00993C3B" w14:paraId="4B17B149" w14:textId="77777777" w:rsidTr="00655B58">
        <w:trPr>
          <w:trHeight w:val="253"/>
        </w:trPr>
        <w:tc>
          <w:tcPr>
            <w:tcW w:w="4517" w:type="dxa"/>
            <w:shd w:val="clear" w:color="auto" w:fill="FFFFFF" w:themeFill="background1"/>
          </w:tcPr>
          <w:p w14:paraId="30A28FB8" w14:textId="77777777" w:rsidR="0098055F" w:rsidRPr="00993C3B" w:rsidRDefault="0098055F" w:rsidP="00854881">
            <w:pPr>
              <w:pStyle w:val="Tabletext"/>
              <w:rPr>
                <w:sz w:val="18"/>
                <w:szCs w:val="18"/>
              </w:rPr>
            </w:pPr>
            <w:r w:rsidRPr="00D56ECF">
              <w:rPr>
                <w:rStyle w:val="Shading2"/>
              </w:rPr>
              <w:t>Factorise monic and non-monic quadratic expressions and solve a wide range of quadratic equations derived from a variety of contexts </w:t>
            </w:r>
          </w:p>
        </w:tc>
        <w:tc>
          <w:tcPr>
            <w:tcW w:w="628" w:type="dxa"/>
            <w:shd w:val="clear" w:color="auto" w:fill="FFFFFF" w:themeFill="background1"/>
          </w:tcPr>
          <w:p w14:paraId="67704F6C" w14:textId="77777777" w:rsidR="0098055F" w:rsidRPr="00993C3B" w:rsidRDefault="0098055F" w:rsidP="0098055F">
            <w:pPr>
              <w:jc w:val="center"/>
              <w:rPr>
                <w:sz w:val="18"/>
                <w:szCs w:val="18"/>
              </w:rPr>
            </w:pPr>
          </w:p>
        </w:tc>
        <w:tc>
          <w:tcPr>
            <w:tcW w:w="589" w:type="dxa"/>
            <w:shd w:val="clear" w:color="auto" w:fill="FFFFFF" w:themeFill="background1"/>
          </w:tcPr>
          <w:p w14:paraId="5AA3CA4F" w14:textId="77777777" w:rsidR="0098055F" w:rsidRPr="00993C3B" w:rsidRDefault="0098055F" w:rsidP="0098055F">
            <w:pPr>
              <w:jc w:val="center"/>
              <w:rPr>
                <w:sz w:val="18"/>
                <w:szCs w:val="18"/>
              </w:rPr>
            </w:pPr>
          </w:p>
        </w:tc>
        <w:tc>
          <w:tcPr>
            <w:tcW w:w="640" w:type="dxa"/>
            <w:shd w:val="clear" w:color="auto" w:fill="FFFFFF" w:themeFill="background1"/>
          </w:tcPr>
          <w:p w14:paraId="58951E00" w14:textId="77777777" w:rsidR="0098055F" w:rsidRPr="00993C3B" w:rsidRDefault="0098055F" w:rsidP="0098055F">
            <w:pPr>
              <w:jc w:val="center"/>
              <w:rPr>
                <w:sz w:val="18"/>
                <w:szCs w:val="18"/>
              </w:rPr>
            </w:pPr>
            <w:r w:rsidRPr="00D4753D">
              <w:rPr>
                <w:sz w:val="18"/>
                <w:szCs w:val="18"/>
              </w:rPr>
              <w:sym w:font="Wingdings" w:char="F0FC"/>
            </w:r>
          </w:p>
        </w:tc>
        <w:tc>
          <w:tcPr>
            <w:tcW w:w="620" w:type="dxa"/>
            <w:shd w:val="clear" w:color="auto" w:fill="FFFFFF" w:themeFill="background1"/>
          </w:tcPr>
          <w:p w14:paraId="6BACD604" w14:textId="77777777" w:rsidR="0098055F" w:rsidRPr="00993C3B" w:rsidRDefault="0098055F" w:rsidP="0098055F">
            <w:pPr>
              <w:jc w:val="center"/>
              <w:rPr>
                <w:sz w:val="18"/>
                <w:szCs w:val="18"/>
              </w:rPr>
            </w:pPr>
          </w:p>
        </w:tc>
        <w:tc>
          <w:tcPr>
            <w:tcW w:w="4479" w:type="dxa"/>
            <w:vMerge/>
            <w:shd w:val="clear" w:color="auto" w:fill="FFFFFF" w:themeFill="background1"/>
          </w:tcPr>
          <w:p w14:paraId="609B467F" w14:textId="77777777" w:rsidR="0098055F" w:rsidRPr="00D56ECF" w:rsidRDefault="0098055F" w:rsidP="00562FD1">
            <w:pPr>
              <w:pStyle w:val="Tabletext"/>
              <w:rPr>
                <w:rStyle w:val="Shading2"/>
              </w:rPr>
            </w:pPr>
          </w:p>
        </w:tc>
        <w:tc>
          <w:tcPr>
            <w:tcW w:w="630" w:type="dxa"/>
            <w:vMerge/>
            <w:shd w:val="clear" w:color="auto" w:fill="FFFFFF" w:themeFill="background1"/>
          </w:tcPr>
          <w:p w14:paraId="3FEC5778" w14:textId="77777777" w:rsidR="0098055F" w:rsidRPr="00D4753D" w:rsidRDefault="0098055F" w:rsidP="00DB19BE">
            <w:pPr>
              <w:jc w:val="center"/>
              <w:rPr>
                <w:sz w:val="18"/>
                <w:szCs w:val="18"/>
              </w:rPr>
            </w:pPr>
          </w:p>
        </w:tc>
        <w:tc>
          <w:tcPr>
            <w:tcW w:w="672" w:type="dxa"/>
            <w:vMerge/>
            <w:shd w:val="clear" w:color="auto" w:fill="FFFFFF" w:themeFill="background1"/>
          </w:tcPr>
          <w:p w14:paraId="68E46E8F" w14:textId="77777777" w:rsidR="0098055F" w:rsidRPr="00993C3B" w:rsidRDefault="0098055F" w:rsidP="00DB19BE">
            <w:pPr>
              <w:jc w:val="center"/>
              <w:rPr>
                <w:sz w:val="18"/>
                <w:szCs w:val="18"/>
              </w:rPr>
            </w:pPr>
          </w:p>
        </w:tc>
        <w:tc>
          <w:tcPr>
            <w:tcW w:w="602" w:type="dxa"/>
            <w:vMerge/>
            <w:shd w:val="clear" w:color="auto" w:fill="FFFFFF" w:themeFill="background1"/>
          </w:tcPr>
          <w:p w14:paraId="1E72473B" w14:textId="77777777" w:rsidR="0098055F" w:rsidRPr="00993C3B" w:rsidRDefault="0098055F" w:rsidP="00DB19BE">
            <w:pPr>
              <w:jc w:val="center"/>
              <w:rPr>
                <w:sz w:val="18"/>
                <w:szCs w:val="18"/>
              </w:rPr>
            </w:pPr>
          </w:p>
        </w:tc>
        <w:tc>
          <w:tcPr>
            <w:tcW w:w="602" w:type="dxa"/>
            <w:vMerge/>
            <w:shd w:val="clear" w:color="auto" w:fill="FFFFFF" w:themeFill="background1"/>
          </w:tcPr>
          <w:p w14:paraId="21236FC3" w14:textId="77777777" w:rsidR="0098055F" w:rsidRPr="00993C3B" w:rsidRDefault="0098055F" w:rsidP="00DB19BE">
            <w:pPr>
              <w:jc w:val="center"/>
              <w:rPr>
                <w:sz w:val="18"/>
                <w:szCs w:val="18"/>
              </w:rPr>
            </w:pPr>
          </w:p>
        </w:tc>
        <w:tc>
          <w:tcPr>
            <w:tcW w:w="4619" w:type="dxa"/>
            <w:vMerge/>
            <w:shd w:val="clear" w:color="auto" w:fill="FFFFFF" w:themeFill="background1"/>
          </w:tcPr>
          <w:p w14:paraId="678350B2" w14:textId="77777777" w:rsidR="0098055F" w:rsidRPr="00993C3B" w:rsidRDefault="0098055F" w:rsidP="00562FD1">
            <w:pPr>
              <w:rPr>
                <w:sz w:val="18"/>
                <w:szCs w:val="18"/>
              </w:rPr>
            </w:pPr>
          </w:p>
        </w:tc>
        <w:tc>
          <w:tcPr>
            <w:tcW w:w="602" w:type="dxa"/>
            <w:vMerge/>
            <w:shd w:val="clear" w:color="auto" w:fill="FFFFFF" w:themeFill="background1"/>
          </w:tcPr>
          <w:p w14:paraId="33BBBA18" w14:textId="77777777" w:rsidR="0098055F" w:rsidRPr="00D4753D" w:rsidRDefault="0098055F" w:rsidP="00DB19BE">
            <w:pPr>
              <w:jc w:val="center"/>
              <w:rPr>
                <w:sz w:val="18"/>
                <w:szCs w:val="18"/>
              </w:rPr>
            </w:pPr>
          </w:p>
        </w:tc>
        <w:tc>
          <w:tcPr>
            <w:tcW w:w="602" w:type="dxa"/>
            <w:vMerge/>
            <w:shd w:val="clear" w:color="auto" w:fill="FFFFFF" w:themeFill="background1"/>
          </w:tcPr>
          <w:p w14:paraId="43DF071B" w14:textId="77777777" w:rsidR="0098055F" w:rsidRPr="00993C3B" w:rsidRDefault="0098055F" w:rsidP="00DB19BE">
            <w:pPr>
              <w:jc w:val="center"/>
              <w:rPr>
                <w:sz w:val="18"/>
                <w:szCs w:val="18"/>
              </w:rPr>
            </w:pPr>
          </w:p>
        </w:tc>
        <w:tc>
          <w:tcPr>
            <w:tcW w:w="588" w:type="dxa"/>
            <w:vMerge/>
            <w:shd w:val="clear" w:color="auto" w:fill="FFFFFF" w:themeFill="background1"/>
          </w:tcPr>
          <w:p w14:paraId="5E206F39" w14:textId="77777777" w:rsidR="0098055F" w:rsidRPr="00993C3B" w:rsidRDefault="0098055F" w:rsidP="00DB19BE">
            <w:pPr>
              <w:jc w:val="center"/>
              <w:rPr>
                <w:sz w:val="18"/>
                <w:szCs w:val="18"/>
              </w:rPr>
            </w:pPr>
          </w:p>
        </w:tc>
        <w:tc>
          <w:tcPr>
            <w:tcW w:w="588" w:type="dxa"/>
            <w:vMerge/>
            <w:shd w:val="clear" w:color="auto" w:fill="FFFFFF" w:themeFill="background1"/>
          </w:tcPr>
          <w:p w14:paraId="1D57C470" w14:textId="77777777" w:rsidR="0098055F" w:rsidRPr="00993C3B" w:rsidRDefault="0098055F" w:rsidP="00DB19BE">
            <w:pPr>
              <w:jc w:val="center"/>
              <w:rPr>
                <w:sz w:val="18"/>
                <w:szCs w:val="18"/>
              </w:rPr>
            </w:pPr>
          </w:p>
        </w:tc>
      </w:tr>
    </w:tbl>
    <w:p w14:paraId="66F92AFD" w14:textId="77777777" w:rsidR="004929B2" w:rsidRDefault="004929B2" w:rsidP="006904F7">
      <w:r>
        <w:br w:type="page"/>
      </w:r>
    </w:p>
    <w:tbl>
      <w:tblPr>
        <w:tblStyle w:val="QCAAtablestyle12"/>
        <w:tblW w:w="5000" w:type="pct"/>
        <w:tblInd w:w="0" w:type="dxa"/>
        <w:tblLook w:val="04A0" w:firstRow="1" w:lastRow="0" w:firstColumn="1" w:lastColumn="0" w:noHBand="0" w:noVBand="1"/>
      </w:tblPr>
      <w:tblGrid>
        <w:gridCol w:w="7390"/>
        <w:gridCol w:w="755"/>
        <w:gridCol w:w="755"/>
        <w:gridCol w:w="755"/>
        <w:gridCol w:w="755"/>
        <w:gridCol w:w="725"/>
        <w:gridCol w:w="7244"/>
        <w:gridCol w:w="646"/>
        <w:gridCol w:w="646"/>
        <w:gridCol w:w="650"/>
        <w:gridCol w:w="641"/>
      </w:tblGrid>
      <w:tr w:rsidR="007C57C2" w:rsidRPr="00D473C6" w14:paraId="0A7608FB" w14:textId="77777777" w:rsidTr="00695A4F">
        <w:trPr>
          <w:cnfStyle w:val="100000000000" w:firstRow="1" w:lastRow="0" w:firstColumn="0" w:lastColumn="0" w:oddVBand="0" w:evenVBand="0" w:oddHBand="0" w:evenHBand="0" w:firstRowFirstColumn="0" w:firstRowLastColumn="0" w:lastRowFirstColumn="0" w:lastRowLastColumn="0"/>
          <w:trHeight w:val="235"/>
        </w:trPr>
        <w:tc>
          <w:tcPr>
            <w:tcW w:w="1763" w:type="pct"/>
            <w:tcBorders>
              <w:top w:val="single" w:sz="4" w:space="0" w:color="B2B3B5"/>
              <w:left w:val="single" w:sz="4" w:space="0" w:color="B2B3B5"/>
            </w:tcBorders>
          </w:tcPr>
          <w:p w14:paraId="7FF31435" w14:textId="77777777" w:rsidR="007C57C2" w:rsidRPr="00D473C6" w:rsidRDefault="007C57C2" w:rsidP="00955A59">
            <w:pPr>
              <w:spacing w:line="264" w:lineRule="auto"/>
              <w:rPr>
                <w:b/>
              </w:rPr>
            </w:pPr>
            <w:r w:rsidRPr="00D473C6">
              <w:rPr>
                <w:b/>
              </w:rPr>
              <w:lastRenderedPageBreak/>
              <w:t>General capabilities</w:t>
            </w:r>
          </w:p>
        </w:tc>
        <w:tc>
          <w:tcPr>
            <w:tcW w:w="719" w:type="pct"/>
            <w:gridSpan w:val="4"/>
            <w:tcBorders>
              <w:top w:val="single" w:sz="4" w:space="0" w:color="B2B3B5"/>
              <w:right w:val="single" w:sz="4" w:space="0" w:color="B2B3B5"/>
            </w:tcBorders>
            <w:vAlign w:val="center"/>
          </w:tcPr>
          <w:p w14:paraId="2B5B2F77" w14:textId="77777777" w:rsidR="007C57C2" w:rsidRPr="00D473C6" w:rsidRDefault="00A9733E" w:rsidP="00955A59">
            <w:pPr>
              <w:spacing w:line="264" w:lineRule="auto"/>
              <w:jc w:val="center"/>
              <w:rPr>
                <w:b/>
              </w:rPr>
            </w:pPr>
            <w:r>
              <w:rPr>
                <w:b/>
              </w:rPr>
              <w:t>Year 10</w:t>
            </w:r>
          </w:p>
        </w:tc>
        <w:tc>
          <w:tcPr>
            <w:tcW w:w="173" w:type="pct"/>
            <w:tcBorders>
              <w:top w:val="nil"/>
              <w:left w:val="single" w:sz="4" w:space="0" w:color="B2B3B5"/>
              <w:bottom w:val="nil"/>
              <w:right w:val="single" w:sz="4" w:space="0" w:color="B2B3B5"/>
            </w:tcBorders>
            <w:shd w:val="clear" w:color="auto" w:fill="auto"/>
          </w:tcPr>
          <w:p w14:paraId="6438A598" w14:textId="77777777" w:rsidR="007C57C2" w:rsidRPr="00D473C6" w:rsidRDefault="007C57C2" w:rsidP="00955A59">
            <w:pPr>
              <w:spacing w:line="264" w:lineRule="auto"/>
              <w:jc w:val="center"/>
              <w:rPr>
                <w:b/>
              </w:rPr>
            </w:pPr>
          </w:p>
        </w:tc>
        <w:tc>
          <w:tcPr>
            <w:tcW w:w="1728" w:type="pct"/>
            <w:tcBorders>
              <w:top w:val="single" w:sz="4" w:space="0" w:color="B2B3B5"/>
              <w:left w:val="single" w:sz="4" w:space="0" w:color="B2B3B5"/>
            </w:tcBorders>
          </w:tcPr>
          <w:p w14:paraId="6C35AF5A" w14:textId="77777777" w:rsidR="007C57C2" w:rsidRPr="00D473C6" w:rsidRDefault="007C57C2" w:rsidP="00955A59">
            <w:pPr>
              <w:spacing w:line="264" w:lineRule="auto"/>
              <w:rPr>
                <w:b/>
              </w:rPr>
            </w:pPr>
            <w:r w:rsidRPr="00D473C6">
              <w:rPr>
                <w:rFonts w:eastAsia="SimSun"/>
                <w:b/>
              </w:rPr>
              <w:t>Cross-curriculum priorities</w:t>
            </w:r>
          </w:p>
        </w:tc>
        <w:tc>
          <w:tcPr>
            <w:tcW w:w="618" w:type="pct"/>
            <w:gridSpan w:val="4"/>
            <w:tcBorders>
              <w:top w:val="single" w:sz="4" w:space="0" w:color="B2B3B5"/>
            </w:tcBorders>
          </w:tcPr>
          <w:p w14:paraId="6295088E" w14:textId="77777777" w:rsidR="007C57C2" w:rsidRPr="00D473C6" w:rsidRDefault="00A9733E" w:rsidP="00955A59">
            <w:pPr>
              <w:spacing w:line="264" w:lineRule="auto"/>
              <w:jc w:val="center"/>
              <w:rPr>
                <w:b/>
              </w:rPr>
            </w:pPr>
            <w:r>
              <w:rPr>
                <w:b/>
              </w:rPr>
              <w:t>Year 10</w:t>
            </w:r>
          </w:p>
        </w:tc>
      </w:tr>
      <w:tr w:rsidR="007C57C2" w:rsidRPr="00D473C6" w14:paraId="3FB3A672" w14:textId="77777777" w:rsidTr="00695A4F">
        <w:trPr>
          <w:trHeight w:val="18"/>
        </w:trPr>
        <w:tc>
          <w:tcPr>
            <w:tcW w:w="1763" w:type="pct"/>
            <w:tcBorders>
              <w:left w:val="single" w:sz="4" w:space="0" w:color="B2B3B5"/>
            </w:tcBorders>
            <w:shd w:val="clear" w:color="auto" w:fill="E6E7E8"/>
          </w:tcPr>
          <w:p w14:paraId="6D432D0B" w14:textId="77777777" w:rsidR="007C57C2" w:rsidRPr="00D473C6" w:rsidRDefault="007C57C2" w:rsidP="00955A59">
            <w:pPr>
              <w:spacing w:line="264" w:lineRule="auto"/>
              <w:rPr>
                <w:b/>
              </w:rPr>
            </w:pPr>
            <w:r w:rsidRPr="00D473C6">
              <w:rPr>
                <w:b/>
              </w:rPr>
              <w:t>Unit</w:t>
            </w:r>
          </w:p>
        </w:tc>
        <w:tc>
          <w:tcPr>
            <w:tcW w:w="180" w:type="pct"/>
            <w:shd w:val="clear" w:color="auto" w:fill="E6E7E8"/>
          </w:tcPr>
          <w:p w14:paraId="4523F11D" w14:textId="77777777" w:rsidR="007C57C2" w:rsidRPr="00D473C6" w:rsidRDefault="007C57C2" w:rsidP="00955A59">
            <w:pPr>
              <w:spacing w:line="264" w:lineRule="auto"/>
              <w:jc w:val="center"/>
              <w:rPr>
                <w:b/>
              </w:rPr>
            </w:pPr>
            <w:r w:rsidRPr="00D473C6">
              <w:rPr>
                <w:b/>
              </w:rPr>
              <w:t>1</w:t>
            </w:r>
          </w:p>
        </w:tc>
        <w:tc>
          <w:tcPr>
            <w:tcW w:w="180" w:type="pct"/>
            <w:shd w:val="clear" w:color="auto" w:fill="E6E7E8"/>
          </w:tcPr>
          <w:p w14:paraId="0EE5B197" w14:textId="77777777" w:rsidR="007C57C2" w:rsidRPr="00D473C6" w:rsidRDefault="007C57C2" w:rsidP="00955A59">
            <w:pPr>
              <w:spacing w:line="264" w:lineRule="auto"/>
              <w:jc w:val="center"/>
              <w:rPr>
                <w:b/>
              </w:rPr>
            </w:pPr>
            <w:r w:rsidRPr="00D473C6">
              <w:rPr>
                <w:b/>
              </w:rPr>
              <w:t>2</w:t>
            </w:r>
          </w:p>
        </w:tc>
        <w:tc>
          <w:tcPr>
            <w:tcW w:w="180" w:type="pct"/>
            <w:shd w:val="clear" w:color="auto" w:fill="E6E7E8"/>
          </w:tcPr>
          <w:p w14:paraId="1CDAAF58" w14:textId="77777777" w:rsidR="007C57C2" w:rsidRPr="00D473C6" w:rsidRDefault="007C57C2" w:rsidP="00955A59">
            <w:pPr>
              <w:spacing w:line="264" w:lineRule="auto"/>
              <w:jc w:val="center"/>
              <w:rPr>
                <w:b/>
              </w:rPr>
            </w:pPr>
            <w:r w:rsidRPr="00D473C6">
              <w:rPr>
                <w:b/>
              </w:rPr>
              <w:t>3</w:t>
            </w:r>
          </w:p>
        </w:tc>
        <w:tc>
          <w:tcPr>
            <w:tcW w:w="180" w:type="pct"/>
            <w:shd w:val="clear" w:color="auto" w:fill="E6E7E8"/>
          </w:tcPr>
          <w:p w14:paraId="0C85935F" w14:textId="77777777" w:rsidR="007C57C2" w:rsidRPr="00D473C6" w:rsidRDefault="007C57C2" w:rsidP="00955A59">
            <w:pPr>
              <w:spacing w:line="264" w:lineRule="auto"/>
              <w:jc w:val="center"/>
              <w:rPr>
                <w:b/>
              </w:rPr>
            </w:pPr>
            <w:r w:rsidRPr="00D473C6">
              <w:rPr>
                <w:b/>
              </w:rPr>
              <w:t>4</w:t>
            </w:r>
          </w:p>
        </w:tc>
        <w:tc>
          <w:tcPr>
            <w:tcW w:w="173" w:type="pct"/>
            <w:tcBorders>
              <w:top w:val="nil"/>
              <w:left w:val="single" w:sz="4" w:space="0" w:color="B2B3B5"/>
              <w:bottom w:val="nil"/>
              <w:right w:val="single" w:sz="4" w:space="0" w:color="B2B3B5"/>
            </w:tcBorders>
            <w:shd w:val="clear" w:color="auto" w:fill="auto"/>
          </w:tcPr>
          <w:p w14:paraId="7B73532A" w14:textId="77777777" w:rsidR="007C57C2" w:rsidRPr="00D473C6" w:rsidRDefault="007C57C2" w:rsidP="00955A59">
            <w:pPr>
              <w:spacing w:line="264" w:lineRule="auto"/>
              <w:rPr>
                <w:b/>
              </w:rPr>
            </w:pPr>
          </w:p>
        </w:tc>
        <w:tc>
          <w:tcPr>
            <w:tcW w:w="1728" w:type="pct"/>
            <w:tcBorders>
              <w:left w:val="single" w:sz="4" w:space="0" w:color="B2B3B5"/>
            </w:tcBorders>
            <w:shd w:val="clear" w:color="auto" w:fill="E6E7E8"/>
          </w:tcPr>
          <w:p w14:paraId="124A602E" w14:textId="77777777" w:rsidR="007C57C2" w:rsidRPr="00D473C6" w:rsidRDefault="007C57C2" w:rsidP="00955A59">
            <w:pPr>
              <w:spacing w:line="264" w:lineRule="auto"/>
              <w:rPr>
                <w:b/>
              </w:rPr>
            </w:pPr>
            <w:r w:rsidRPr="00D473C6">
              <w:rPr>
                <w:b/>
              </w:rPr>
              <w:t>Unit</w:t>
            </w:r>
          </w:p>
        </w:tc>
        <w:tc>
          <w:tcPr>
            <w:tcW w:w="154" w:type="pct"/>
            <w:shd w:val="clear" w:color="auto" w:fill="E6E7E8"/>
          </w:tcPr>
          <w:p w14:paraId="4A588A2B" w14:textId="77777777" w:rsidR="007C57C2" w:rsidRPr="00D473C6" w:rsidRDefault="007C57C2" w:rsidP="00955A59">
            <w:pPr>
              <w:spacing w:line="264" w:lineRule="auto"/>
              <w:jc w:val="center"/>
              <w:rPr>
                <w:b/>
              </w:rPr>
            </w:pPr>
            <w:r w:rsidRPr="00D473C6">
              <w:rPr>
                <w:b/>
              </w:rPr>
              <w:t>1</w:t>
            </w:r>
          </w:p>
        </w:tc>
        <w:tc>
          <w:tcPr>
            <w:tcW w:w="154" w:type="pct"/>
            <w:shd w:val="clear" w:color="auto" w:fill="E6E7E8"/>
          </w:tcPr>
          <w:p w14:paraId="41B97C12" w14:textId="77777777" w:rsidR="007C57C2" w:rsidRPr="00D473C6" w:rsidRDefault="007C57C2" w:rsidP="00955A59">
            <w:pPr>
              <w:spacing w:line="264" w:lineRule="auto"/>
              <w:jc w:val="center"/>
              <w:rPr>
                <w:b/>
              </w:rPr>
            </w:pPr>
            <w:r w:rsidRPr="00D473C6">
              <w:rPr>
                <w:b/>
              </w:rPr>
              <w:t>2</w:t>
            </w:r>
          </w:p>
        </w:tc>
        <w:tc>
          <w:tcPr>
            <w:tcW w:w="155" w:type="pct"/>
            <w:shd w:val="clear" w:color="auto" w:fill="E6E7E8"/>
          </w:tcPr>
          <w:p w14:paraId="03D9A053" w14:textId="77777777" w:rsidR="007C57C2" w:rsidRPr="00D473C6" w:rsidRDefault="007C57C2" w:rsidP="00955A59">
            <w:pPr>
              <w:spacing w:line="264" w:lineRule="auto"/>
              <w:jc w:val="center"/>
              <w:rPr>
                <w:b/>
              </w:rPr>
            </w:pPr>
            <w:r w:rsidRPr="00D473C6">
              <w:rPr>
                <w:b/>
              </w:rPr>
              <w:t>3</w:t>
            </w:r>
          </w:p>
        </w:tc>
        <w:tc>
          <w:tcPr>
            <w:tcW w:w="154" w:type="pct"/>
            <w:shd w:val="clear" w:color="auto" w:fill="E6E7E8"/>
          </w:tcPr>
          <w:p w14:paraId="4EE84533" w14:textId="77777777" w:rsidR="007C57C2" w:rsidRPr="00D473C6" w:rsidRDefault="007C57C2" w:rsidP="00955A59">
            <w:pPr>
              <w:spacing w:line="264" w:lineRule="auto"/>
              <w:jc w:val="center"/>
              <w:rPr>
                <w:b/>
              </w:rPr>
            </w:pPr>
            <w:r w:rsidRPr="00D473C6">
              <w:rPr>
                <w:b/>
              </w:rPr>
              <w:t>4</w:t>
            </w:r>
          </w:p>
        </w:tc>
      </w:tr>
      <w:tr w:rsidR="007C57C2" w:rsidRPr="00D473C6" w14:paraId="2C93AC48" w14:textId="77777777" w:rsidTr="00695A4F">
        <w:trPr>
          <w:trHeight w:val="18"/>
        </w:trPr>
        <w:tc>
          <w:tcPr>
            <w:tcW w:w="1763" w:type="pct"/>
            <w:tcBorders>
              <w:left w:val="single" w:sz="4" w:space="0" w:color="B2B3B5"/>
            </w:tcBorders>
          </w:tcPr>
          <w:p w14:paraId="6A0532FC" w14:textId="77777777" w:rsidR="007C57C2" w:rsidRPr="00D473C6" w:rsidRDefault="007C57C2" w:rsidP="00955A59">
            <w:pPr>
              <w:pStyle w:val="Tabletext"/>
            </w:pPr>
            <w:r w:rsidRPr="00D473C6">
              <w:t>Literacy</w:t>
            </w:r>
          </w:p>
        </w:tc>
        <w:tc>
          <w:tcPr>
            <w:tcW w:w="180" w:type="pct"/>
          </w:tcPr>
          <w:p w14:paraId="6481EA00" w14:textId="77777777" w:rsidR="007C57C2" w:rsidRPr="00D473C6" w:rsidRDefault="007C57C2" w:rsidP="00955A59">
            <w:pPr>
              <w:spacing w:line="264" w:lineRule="auto"/>
              <w:jc w:val="center"/>
              <w:rPr>
                <w:b/>
              </w:rPr>
            </w:pPr>
            <w:r w:rsidRPr="00D473C6">
              <w:rPr>
                <w:rFonts w:cs="Arial"/>
                <w:sz w:val="20"/>
                <w:szCs w:val="20"/>
                <w:lang w:val="en-GB"/>
              </w:rPr>
              <w:sym w:font="Wingdings" w:char="F0FC"/>
            </w:r>
          </w:p>
        </w:tc>
        <w:tc>
          <w:tcPr>
            <w:tcW w:w="180" w:type="pct"/>
          </w:tcPr>
          <w:p w14:paraId="66FAF6E3" w14:textId="77777777" w:rsidR="007C57C2" w:rsidRPr="00D473C6" w:rsidRDefault="007C57C2" w:rsidP="00955A59">
            <w:pPr>
              <w:spacing w:line="264" w:lineRule="auto"/>
              <w:jc w:val="center"/>
              <w:rPr>
                <w:b/>
              </w:rPr>
            </w:pPr>
            <w:r w:rsidRPr="00D473C6">
              <w:rPr>
                <w:rFonts w:cs="Arial"/>
                <w:sz w:val="20"/>
                <w:szCs w:val="20"/>
                <w:lang w:val="en-GB"/>
              </w:rPr>
              <w:sym w:font="Wingdings" w:char="F0FC"/>
            </w:r>
          </w:p>
        </w:tc>
        <w:tc>
          <w:tcPr>
            <w:tcW w:w="180" w:type="pct"/>
          </w:tcPr>
          <w:p w14:paraId="44DE4A17" w14:textId="77777777" w:rsidR="007C57C2" w:rsidRPr="00D473C6" w:rsidRDefault="007C57C2" w:rsidP="00955A59">
            <w:pPr>
              <w:spacing w:line="264" w:lineRule="auto"/>
              <w:jc w:val="center"/>
              <w:rPr>
                <w:b/>
              </w:rPr>
            </w:pPr>
            <w:r w:rsidRPr="00D473C6">
              <w:rPr>
                <w:rFonts w:cs="Arial"/>
                <w:sz w:val="20"/>
                <w:szCs w:val="20"/>
                <w:lang w:val="en-GB"/>
              </w:rPr>
              <w:sym w:font="Wingdings" w:char="F0FC"/>
            </w:r>
          </w:p>
        </w:tc>
        <w:tc>
          <w:tcPr>
            <w:tcW w:w="180" w:type="pct"/>
          </w:tcPr>
          <w:p w14:paraId="1ECD3637" w14:textId="77777777" w:rsidR="007C57C2" w:rsidRPr="00D473C6" w:rsidRDefault="007C57C2" w:rsidP="00955A59">
            <w:pPr>
              <w:spacing w:line="264" w:lineRule="auto"/>
              <w:jc w:val="center"/>
              <w:rPr>
                <w:b/>
              </w:rPr>
            </w:pPr>
            <w:r w:rsidRPr="00D473C6">
              <w:rPr>
                <w:rFonts w:cs="Arial"/>
                <w:sz w:val="20"/>
                <w:szCs w:val="20"/>
                <w:lang w:val="en-GB"/>
              </w:rPr>
              <w:sym w:font="Wingdings" w:char="F0FC"/>
            </w:r>
          </w:p>
        </w:tc>
        <w:tc>
          <w:tcPr>
            <w:tcW w:w="173" w:type="pct"/>
            <w:tcBorders>
              <w:top w:val="nil"/>
              <w:left w:val="single" w:sz="4" w:space="0" w:color="B2B3B5"/>
              <w:bottom w:val="nil"/>
              <w:right w:val="single" w:sz="4" w:space="0" w:color="B2B3B5"/>
            </w:tcBorders>
            <w:shd w:val="clear" w:color="auto" w:fill="auto"/>
          </w:tcPr>
          <w:p w14:paraId="41A59800" w14:textId="77777777" w:rsidR="007C57C2" w:rsidRPr="00D473C6" w:rsidRDefault="007C57C2" w:rsidP="00955A59">
            <w:pPr>
              <w:spacing w:line="264" w:lineRule="auto"/>
              <w:jc w:val="center"/>
              <w:rPr>
                <w:rFonts w:eastAsia="SimSun"/>
              </w:rPr>
            </w:pPr>
          </w:p>
        </w:tc>
        <w:tc>
          <w:tcPr>
            <w:tcW w:w="1728" w:type="pct"/>
            <w:tcBorders>
              <w:left w:val="single" w:sz="4" w:space="0" w:color="B2B3B5"/>
            </w:tcBorders>
          </w:tcPr>
          <w:p w14:paraId="08C4FE70" w14:textId="77777777" w:rsidR="007C57C2" w:rsidRPr="00D473C6" w:rsidRDefault="007C57C2" w:rsidP="00955A59">
            <w:pPr>
              <w:pStyle w:val="Tabletext"/>
              <w:rPr>
                <w:rFonts w:eastAsia="SimSun"/>
              </w:rPr>
            </w:pPr>
            <w:r w:rsidRPr="00D473C6">
              <w:t>Aboriginal and Torres Strait Islander histories and culture</w:t>
            </w:r>
          </w:p>
        </w:tc>
        <w:tc>
          <w:tcPr>
            <w:tcW w:w="154" w:type="pct"/>
          </w:tcPr>
          <w:p w14:paraId="0861B847" w14:textId="77777777" w:rsidR="007C57C2" w:rsidRPr="00D473C6" w:rsidRDefault="007C57C2" w:rsidP="00955A59">
            <w:pPr>
              <w:spacing w:line="264" w:lineRule="auto"/>
              <w:jc w:val="center"/>
              <w:rPr>
                <w:rFonts w:eastAsia="SimSun"/>
              </w:rPr>
            </w:pPr>
          </w:p>
        </w:tc>
        <w:tc>
          <w:tcPr>
            <w:tcW w:w="154" w:type="pct"/>
          </w:tcPr>
          <w:p w14:paraId="27E72801" w14:textId="77777777" w:rsidR="007C57C2" w:rsidRPr="00D473C6" w:rsidRDefault="007C57C2" w:rsidP="00955A59">
            <w:pPr>
              <w:spacing w:line="264" w:lineRule="auto"/>
              <w:jc w:val="center"/>
              <w:rPr>
                <w:rFonts w:eastAsia="SimSun"/>
              </w:rPr>
            </w:pPr>
          </w:p>
        </w:tc>
        <w:tc>
          <w:tcPr>
            <w:tcW w:w="155" w:type="pct"/>
          </w:tcPr>
          <w:p w14:paraId="69F66848" w14:textId="77777777" w:rsidR="007C57C2" w:rsidRPr="00D473C6" w:rsidRDefault="007C57C2" w:rsidP="00955A59">
            <w:pPr>
              <w:spacing w:line="264" w:lineRule="auto"/>
              <w:jc w:val="center"/>
              <w:rPr>
                <w:rFonts w:eastAsia="SimSun"/>
              </w:rPr>
            </w:pPr>
          </w:p>
        </w:tc>
        <w:tc>
          <w:tcPr>
            <w:tcW w:w="154" w:type="pct"/>
          </w:tcPr>
          <w:p w14:paraId="2D0B7BA8" w14:textId="77777777" w:rsidR="007C57C2" w:rsidRPr="00D473C6" w:rsidRDefault="007C57C2" w:rsidP="00955A59">
            <w:pPr>
              <w:spacing w:line="264" w:lineRule="auto"/>
              <w:jc w:val="center"/>
              <w:rPr>
                <w:rFonts w:eastAsia="SimSun"/>
              </w:rPr>
            </w:pPr>
            <w:r w:rsidRPr="00D473C6">
              <w:rPr>
                <w:rFonts w:cs="Arial"/>
                <w:sz w:val="20"/>
                <w:szCs w:val="20"/>
                <w:lang w:val="en-GB"/>
              </w:rPr>
              <w:sym w:font="Wingdings" w:char="F0FC"/>
            </w:r>
          </w:p>
        </w:tc>
      </w:tr>
      <w:tr w:rsidR="007C57C2" w:rsidRPr="00D473C6" w14:paraId="5106E803" w14:textId="77777777" w:rsidTr="00695A4F">
        <w:trPr>
          <w:trHeight w:val="385"/>
        </w:trPr>
        <w:tc>
          <w:tcPr>
            <w:tcW w:w="1763" w:type="pct"/>
            <w:tcBorders>
              <w:left w:val="single" w:sz="4" w:space="0" w:color="B2B3B5"/>
            </w:tcBorders>
          </w:tcPr>
          <w:p w14:paraId="38450E3D" w14:textId="77777777" w:rsidR="007C57C2" w:rsidRPr="00D473C6" w:rsidRDefault="007C57C2" w:rsidP="00955A59">
            <w:pPr>
              <w:pStyle w:val="Tabletext"/>
            </w:pPr>
            <w:r w:rsidRPr="00D473C6">
              <w:t>Numeracy</w:t>
            </w:r>
          </w:p>
        </w:tc>
        <w:tc>
          <w:tcPr>
            <w:tcW w:w="180" w:type="pct"/>
          </w:tcPr>
          <w:p w14:paraId="4C4009F5"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4FCAE700"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360CD387"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251BA46E"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single" w:sz="4" w:space="0" w:color="B2B3B5"/>
            </w:tcBorders>
            <w:shd w:val="clear" w:color="auto" w:fill="auto"/>
          </w:tcPr>
          <w:p w14:paraId="307FE741" w14:textId="77777777" w:rsidR="007C57C2" w:rsidRPr="00D473C6" w:rsidRDefault="007C57C2" w:rsidP="00955A59">
            <w:pPr>
              <w:spacing w:line="264" w:lineRule="auto"/>
              <w:jc w:val="center"/>
              <w:rPr>
                <w:b/>
              </w:rPr>
            </w:pPr>
          </w:p>
        </w:tc>
        <w:tc>
          <w:tcPr>
            <w:tcW w:w="1728" w:type="pct"/>
            <w:tcBorders>
              <w:left w:val="single" w:sz="4" w:space="0" w:color="B2B3B5"/>
            </w:tcBorders>
          </w:tcPr>
          <w:p w14:paraId="35D7738B" w14:textId="77777777" w:rsidR="007C57C2" w:rsidRPr="00D473C6" w:rsidRDefault="007C57C2" w:rsidP="00955A59">
            <w:pPr>
              <w:pStyle w:val="Tabletext"/>
              <w:rPr>
                <w:b/>
              </w:rPr>
            </w:pPr>
            <w:r w:rsidRPr="00D473C6">
              <w:t>Asia and Australia’s engagement with Asia</w:t>
            </w:r>
          </w:p>
        </w:tc>
        <w:tc>
          <w:tcPr>
            <w:tcW w:w="154" w:type="pct"/>
          </w:tcPr>
          <w:p w14:paraId="2578678D" w14:textId="77777777" w:rsidR="007C57C2" w:rsidRPr="00D473C6" w:rsidRDefault="007C57C2" w:rsidP="00955A59">
            <w:pPr>
              <w:spacing w:line="264" w:lineRule="auto"/>
              <w:jc w:val="center"/>
              <w:rPr>
                <w:b/>
              </w:rPr>
            </w:pPr>
          </w:p>
        </w:tc>
        <w:tc>
          <w:tcPr>
            <w:tcW w:w="154" w:type="pct"/>
          </w:tcPr>
          <w:p w14:paraId="17294DB6" w14:textId="77777777" w:rsidR="007C57C2" w:rsidRPr="00D473C6" w:rsidRDefault="007C57C2" w:rsidP="00955A59">
            <w:pPr>
              <w:spacing w:line="264" w:lineRule="auto"/>
              <w:jc w:val="center"/>
              <w:rPr>
                <w:b/>
              </w:rPr>
            </w:pPr>
          </w:p>
        </w:tc>
        <w:tc>
          <w:tcPr>
            <w:tcW w:w="155" w:type="pct"/>
          </w:tcPr>
          <w:p w14:paraId="26970F84" w14:textId="77777777" w:rsidR="007C57C2" w:rsidRPr="00D473C6" w:rsidRDefault="007C57C2" w:rsidP="00955A59">
            <w:pPr>
              <w:spacing w:line="264" w:lineRule="auto"/>
              <w:jc w:val="center"/>
              <w:rPr>
                <w:b/>
              </w:rPr>
            </w:pPr>
          </w:p>
        </w:tc>
        <w:tc>
          <w:tcPr>
            <w:tcW w:w="154" w:type="pct"/>
          </w:tcPr>
          <w:p w14:paraId="0C3B10F9" w14:textId="77777777" w:rsidR="007C57C2" w:rsidRPr="00D473C6" w:rsidRDefault="007C57C2" w:rsidP="00955A59">
            <w:pPr>
              <w:spacing w:line="264" w:lineRule="auto"/>
              <w:jc w:val="center"/>
              <w:rPr>
                <w:b/>
              </w:rPr>
            </w:pPr>
            <w:r w:rsidRPr="00D473C6">
              <w:rPr>
                <w:sz w:val="18"/>
                <w:szCs w:val="18"/>
              </w:rPr>
              <w:sym w:font="Wingdings" w:char="F0FC"/>
            </w:r>
          </w:p>
        </w:tc>
      </w:tr>
      <w:tr w:rsidR="007C57C2" w:rsidRPr="00D473C6" w14:paraId="4FE7117B" w14:textId="77777777" w:rsidTr="00695A4F">
        <w:trPr>
          <w:trHeight w:val="385"/>
        </w:trPr>
        <w:tc>
          <w:tcPr>
            <w:tcW w:w="1763" w:type="pct"/>
            <w:tcBorders>
              <w:left w:val="single" w:sz="4" w:space="0" w:color="B2B3B5"/>
            </w:tcBorders>
          </w:tcPr>
          <w:p w14:paraId="10FFA6D7" w14:textId="77777777" w:rsidR="007C57C2" w:rsidRPr="00D473C6" w:rsidRDefault="007C57C2" w:rsidP="00955A59">
            <w:pPr>
              <w:pStyle w:val="Tabletext"/>
            </w:pPr>
            <w:r w:rsidRPr="00D473C6">
              <w:t>Information and communication technology</w:t>
            </w:r>
          </w:p>
        </w:tc>
        <w:tc>
          <w:tcPr>
            <w:tcW w:w="180" w:type="pct"/>
          </w:tcPr>
          <w:p w14:paraId="3AB04139"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16C30D9D"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53EDF4B5"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6AD1B831"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single" w:sz="4" w:space="0" w:color="B2B3B5"/>
            </w:tcBorders>
            <w:shd w:val="clear" w:color="auto" w:fill="auto"/>
          </w:tcPr>
          <w:p w14:paraId="0A9413FC" w14:textId="77777777" w:rsidR="007C57C2" w:rsidRPr="00D473C6" w:rsidRDefault="007C57C2" w:rsidP="00955A59">
            <w:pPr>
              <w:spacing w:line="264" w:lineRule="auto"/>
              <w:jc w:val="center"/>
              <w:rPr>
                <w:b/>
              </w:rPr>
            </w:pPr>
          </w:p>
        </w:tc>
        <w:tc>
          <w:tcPr>
            <w:tcW w:w="1728" w:type="pct"/>
            <w:tcBorders>
              <w:left w:val="single" w:sz="4" w:space="0" w:color="B2B3B5"/>
              <w:bottom w:val="single" w:sz="4" w:space="0" w:color="B2B3B5"/>
            </w:tcBorders>
          </w:tcPr>
          <w:p w14:paraId="6DCF587A" w14:textId="77777777" w:rsidR="007C57C2" w:rsidRPr="00D473C6" w:rsidRDefault="007C57C2" w:rsidP="00955A59">
            <w:pPr>
              <w:pStyle w:val="Tabletext"/>
            </w:pPr>
            <w:r w:rsidRPr="00D473C6">
              <w:t>Sustainability</w:t>
            </w:r>
          </w:p>
        </w:tc>
        <w:tc>
          <w:tcPr>
            <w:tcW w:w="154" w:type="pct"/>
            <w:tcBorders>
              <w:bottom w:val="single" w:sz="4" w:space="0" w:color="B2B3B5"/>
            </w:tcBorders>
          </w:tcPr>
          <w:p w14:paraId="4682276C" w14:textId="77777777" w:rsidR="007C57C2" w:rsidRPr="00D473C6" w:rsidRDefault="007C57C2" w:rsidP="00955A59">
            <w:pPr>
              <w:spacing w:line="264" w:lineRule="auto"/>
              <w:jc w:val="center"/>
              <w:rPr>
                <w:b/>
              </w:rPr>
            </w:pPr>
          </w:p>
        </w:tc>
        <w:tc>
          <w:tcPr>
            <w:tcW w:w="154" w:type="pct"/>
            <w:tcBorders>
              <w:bottom w:val="single" w:sz="4" w:space="0" w:color="B2B3B5"/>
            </w:tcBorders>
          </w:tcPr>
          <w:p w14:paraId="0A2F31AE" w14:textId="77777777" w:rsidR="007C57C2" w:rsidRPr="00D473C6" w:rsidRDefault="007C57C2" w:rsidP="00955A59">
            <w:pPr>
              <w:spacing w:line="264" w:lineRule="auto"/>
              <w:jc w:val="center"/>
              <w:rPr>
                <w:b/>
              </w:rPr>
            </w:pPr>
          </w:p>
        </w:tc>
        <w:tc>
          <w:tcPr>
            <w:tcW w:w="155" w:type="pct"/>
            <w:tcBorders>
              <w:bottom w:val="single" w:sz="4" w:space="0" w:color="B2B3B5"/>
            </w:tcBorders>
          </w:tcPr>
          <w:p w14:paraId="4F9192B6" w14:textId="77777777" w:rsidR="007C57C2" w:rsidRPr="00D473C6" w:rsidRDefault="007C57C2" w:rsidP="00955A59">
            <w:pPr>
              <w:spacing w:line="264" w:lineRule="auto"/>
              <w:jc w:val="center"/>
              <w:rPr>
                <w:b/>
              </w:rPr>
            </w:pPr>
          </w:p>
        </w:tc>
        <w:tc>
          <w:tcPr>
            <w:tcW w:w="154" w:type="pct"/>
            <w:tcBorders>
              <w:bottom w:val="single" w:sz="4" w:space="0" w:color="B2B3B5"/>
            </w:tcBorders>
          </w:tcPr>
          <w:p w14:paraId="1EB63A4B" w14:textId="77777777" w:rsidR="007C57C2" w:rsidRPr="00D473C6" w:rsidRDefault="007C57C2" w:rsidP="00955A59">
            <w:pPr>
              <w:spacing w:line="264" w:lineRule="auto"/>
              <w:jc w:val="center"/>
              <w:rPr>
                <w:b/>
              </w:rPr>
            </w:pPr>
            <w:r w:rsidRPr="00D473C6">
              <w:rPr>
                <w:sz w:val="18"/>
                <w:szCs w:val="18"/>
              </w:rPr>
              <w:sym w:font="Wingdings" w:char="F0FC"/>
            </w:r>
          </w:p>
        </w:tc>
      </w:tr>
      <w:tr w:rsidR="007C57C2" w:rsidRPr="00D473C6" w14:paraId="0C98CBAC" w14:textId="77777777" w:rsidTr="00695A4F">
        <w:trPr>
          <w:trHeight w:val="385"/>
        </w:trPr>
        <w:tc>
          <w:tcPr>
            <w:tcW w:w="1763" w:type="pct"/>
            <w:tcBorders>
              <w:left w:val="single" w:sz="4" w:space="0" w:color="B2B3B5"/>
            </w:tcBorders>
          </w:tcPr>
          <w:p w14:paraId="6E968B66" w14:textId="77777777" w:rsidR="007C57C2" w:rsidRPr="00D473C6" w:rsidRDefault="007C57C2" w:rsidP="00955A59">
            <w:pPr>
              <w:pStyle w:val="Tabletext"/>
            </w:pPr>
            <w:r w:rsidRPr="00D473C6">
              <w:t>Critical and creative thinking</w:t>
            </w:r>
          </w:p>
        </w:tc>
        <w:tc>
          <w:tcPr>
            <w:tcW w:w="180" w:type="pct"/>
          </w:tcPr>
          <w:p w14:paraId="206EC197"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5405894F"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7371722A"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6235A69F"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3F461B39" w14:textId="77777777" w:rsidR="007C57C2" w:rsidRPr="00D473C6" w:rsidRDefault="007C57C2" w:rsidP="00955A59">
            <w:pPr>
              <w:spacing w:line="264" w:lineRule="auto"/>
              <w:jc w:val="center"/>
              <w:rPr>
                <w:rFonts w:eastAsia="SimSun"/>
              </w:rPr>
            </w:pPr>
          </w:p>
        </w:tc>
        <w:tc>
          <w:tcPr>
            <w:tcW w:w="1728" w:type="pct"/>
            <w:tcBorders>
              <w:top w:val="single" w:sz="4" w:space="0" w:color="B2B3B5"/>
              <w:left w:val="nil"/>
              <w:bottom w:val="nil"/>
              <w:right w:val="nil"/>
            </w:tcBorders>
          </w:tcPr>
          <w:p w14:paraId="7F8F1E0A" w14:textId="77777777" w:rsidR="007C57C2" w:rsidRPr="00D473C6" w:rsidRDefault="007C57C2" w:rsidP="00955A59">
            <w:pPr>
              <w:spacing w:line="264" w:lineRule="auto"/>
              <w:jc w:val="center"/>
              <w:rPr>
                <w:rFonts w:eastAsia="SimSun"/>
              </w:rPr>
            </w:pPr>
          </w:p>
        </w:tc>
        <w:tc>
          <w:tcPr>
            <w:tcW w:w="154" w:type="pct"/>
            <w:tcBorders>
              <w:top w:val="single" w:sz="4" w:space="0" w:color="B2B3B5"/>
              <w:left w:val="nil"/>
              <w:bottom w:val="nil"/>
              <w:right w:val="nil"/>
            </w:tcBorders>
          </w:tcPr>
          <w:p w14:paraId="308058A6" w14:textId="77777777" w:rsidR="007C57C2" w:rsidRPr="00D473C6" w:rsidRDefault="007C57C2" w:rsidP="00955A59">
            <w:pPr>
              <w:spacing w:line="264" w:lineRule="auto"/>
              <w:jc w:val="center"/>
              <w:rPr>
                <w:rFonts w:eastAsia="SimSun"/>
              </w:rPr>
            </w:pPr>
          </w:p>
        </w:tc>
        <w:tc>
          <w:tcPr>
            <w:tcW w:w="154" w:type="pct"/>
            <w:tcBorders>
              <w:top w:val="single" w:sz="4" w:space="0" w:color="B2B3B5"/>
              <w:left w:val="nil"/>
              <w:bottom w:val="nil"/>
              <w:right w:val="nil"/>
            </w:tcBorders>
          </w:tcPr>
          <w:p w14:paraId="46D5AB40" w14:textId="77777777" w:rsidR="007C57C2" w:rsidRPr="00D473C6" w:rsidRDefault="007C57C2" w:rsidP="00955A59">
            <w:pPr>
              <w:spacing w:line="264" w:lineRule="auto"/>
              <w:jc w:val="center"/>
              <w:rPr>
                <w:rFonts w:eastAsia="SimSun"/>
              </w:rPr>
            </w:pPr>
          </w:p>
        </w:tc>
        <w:tc>
          <w:tcPr>
            <w:tcW w:w="155" w:type="pct"/>
            <w:tcBorders>
              <w:top w:val="single" w:sz="4" w:space="0" w:color="B2B3B5"/>
              <w:left w:val="nil"/>
              <w:bottom w:val="nil"/>
              <w:right w:val="nil"/>
            </w:tcBorders>
          </w:tcPr>
          <w:p w14:paraId="0E179304" w14:textId="77777777" w:rsidR="007C57C2" w:rsidRPr="00D473C6" w:rsidRDefault="007C57C2" w:rsidP="00955A59">
            <w:pPr>
              <w:spacing w:line="264" w:lineRule="auto"/>
              <w:jc w:val="center"/>
              <w:rPr>
                <w:rFonts w:eastAsia="SimSun"/>
              </w:rPr>
            </w:pPr>
          </w:p>
        </w:tc>
        <w:tc>
          <w:tcPr>
            <w:tcW w:w="154" w:type="pct"/>
            <w:tcBorders>
              <w:top w:val="single" w:sz="4" w:space="0" w:color="B2B3B5"/>
              <w:left w:val="nil"/>
              <w:bottom w:val="nil"/>
              <w:right w:val="nil"/>
            </w:tcBorders>
          </w:tcPr>
          <w:p w14:paraId="396FAEFC" w14:textId="77777777" w:rsidR="007C57C2" w:rsidRPr="00D473C6" w:rsidRDefault="007C57C2" w:rsidP="00955A59">
            <w:pPr>
              <w:spacing w:line="264" w:lineRule="auto"/>
              <w:jc w:val="center"/>
              <w:rPr>
                <w:rFonts w:eastAsia="SimSun"/>
              </w:rPr>
            </w:pPr>
          </w:p>
        </w:tc>
      </w:tr>
      <w:tr w:rsidR="007C57C2" w:rsidRPr="00D473C6" w14:paraId="681D954C" w14:textId="77777777" w:rsidTr="00695A4F">
        <w:trPr>
          <w:trHeight w:val="385"/>
        </w:trPr>
        <w:tc>
          <w:tcPr>
            <w:tcW w:w="1763" w:type="pct"/>
            <w:tcBorders>
              <w:left w:val="single" w:sz="4" w:space="0" w:color="B2B3B5"/>
            </w:tcBorders>
          </w:tcPr>
          <w:p w14:paraId="5CCA3BF5" w14:textId="77777777" w:rsidR="007C57C2" w:rsidRPr="00D473C6" w:rsidRDefault="007C57C2" w:rsidP="00955A59">
            <w:pPr>
              <w:pStyle w:val="Tabletext"/>
            </w:pPr>
            <w:r w:rsidRPr="00D473C6">
              <w:t>Personal and social capability</w:t>
            </w:r>
          </w:p>
        </w:tc>
        <w:tc>
          <w:tcPr>
            <w:tcW w:w="180" w:type="pct"/>
          </w:tcPr>
          <w:p w14:paraId="556B01DD"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05336FA7"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214F1085" w14:textId="77777777" w:rsidR="007C57C2" w:rsidRPr="00D473C6" w:rsidRDefault="007C57C2" w:rsidP="00955A59">
            <w:pPr>
              <w:spacing w:line="264" w:lineRule="auto"/>
              <w:jc w:val="center"/>
              <w:rPr>
                <w:b/>
              </w:rPr>
            </w:pPr>
            <w:r w:rsidRPr="00D473C6">
              <w:rPr>
                <w:sz w:val="18"/>
                <w:szCs w:val="18"/>
              </w:rPr>
              <w:sym w:font="Wingdings" w:char="F0FC"/>
            </w:r>
          </w:p>
        </w:tc>
        <w:tc>
          <w:tcPr>
            <w:tcW w:w="180" w:type="pct"/>
          </w:tcPr>
          <w:p w14:paraId="7139704A"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4395CD01" w14:textId="77777777" w:rsidR="007C57C2" w:rsidRPr="00D473C6" w:rsidRDefault="007C57C2" w:rsidP="00955A59">
            <w:pPr>
              <w:spacing w:line="264" w:lineRule="auto"/>
              <w:jc w:val="center"/>
              <w:rPr>
                <w:rFonts w:eastAsia="SimSun"/>
              </w:rPr>
            </w:pPr>
          </w:p>
        </w:tc>
        <w:tc>
          <w:tcPr>
            <w:tcW w:w="1728" w:type="pct"/>
            <w:tcBorders>
              <w:top w:val="nil"/>
              <w:left w:val="nil"/>
              <w:bottom w:val="nil"/>
              <w:right w:val="nil"/>
            </w:tcBorders>
          </w:tcPr>
          <w:p w14:paraId="64E67E98"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7993883F"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2BDEE2D5" w14:textId="77777777" w:rsidR="007C57C2" w:rsidRPr="00D473C6" w:rsidRDefault="007C57C2" w:rsidP="00955A59">
            <w:pPr>
              <w:spacing w:line="264" w:lineRule="auto"/>
              <w:jc w:val="center"/>
              <w:rPr>
                <w:rFonts w:eastAsia="SimSun"/>
              </w:rPr>
            </w:pPr>
          </w:p>
        </w:tc>
        <w:tc>
          <w:tcPr>
            <w:tcW w:w="155" w:type="pct"/>
            <w:tcBorders>
              <w:top w:val="nil"/>
              <w:left w:val="nil"/>
              <w:bottom w:val="nil"/>
              <w:right w:val="nil"/>
            </w:tcBorders>
          </w:tcPr>
          <w:p w14:paraId="20B0C84B"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3900A097" w14:textId="77777777" w:rsidR="007C57C2" w:rsidRPr="00D473C6" w:rsidRDefault="007C57C2" w:rsidP="00955A59">
            <w:pPr>
              <w:spacing w:line="264" w:lineRule="auto"/>
              <w:jc w:val="center"/>
              <w:rPr>
                <w:rFonts w:eastAsia="SimSun"/>
              </w:rPr>
            </w:pPr>
          </w:p>
        </w:tc>
      </w:tr>
      <w:tr w:rsidR="007C57C2" w:rsidRPr="00D473C6" w14:paraId="46ACEB3F" w14:textId="77777777" w:rsidTr="00695A4F">
        <w:trPr>
          <w:trHeight w:val="385"/>
        </w:trPr>
        <w:tc>
          <w:tcPr>
            <w:tcW w:w="1763" w:type="pct"/>
            <w:tcBorders>
              <w:left w:val="single" w:sz="4" w:space="0" w:color="B2B3B5"/>
            </w:tcBorders>
          </w:tcPr>
          <w:p w14:paraId="51F579A6" w14:textId="77777777" w:rsidR="007C57C2" w:rsidRPr="00D473C6" w:rsidRDefault="007C57C2" w:rsidP="00955A59">
            <w:pPr>
              <w:pStyle w:val="Tabletext"/>
            </w:pPr>
            <w:r w:rsidRPr="00D473C6">
              <w:t>Intercultural understanding</w:t>
            </w:r>
          </w:p>
        </w:tc>
        <w:tc>
          <w:tcPr>
            <w:tcW w:w="180" w:type="pct"/>
          </w:tcPr>
          <w:p w14:paraId="5148A481" w14:textId="77777777" w:rsidR="007C57C2" w:rsidRPr="00D473C6" w:rsidRDefault="007C57C2" w:rsidP="00955A59">
            <w:pPr>
              <w:spacing w:line="264" w:lineRule="auto"/>
              <w:jc w:val="center"/>
              <w:rPr>
                <w:b/>
              </w:rPr>
            </w:pPr>
          </w:p>
        </w:tc>
        <w:tc>
          <w:tcPr>
            <w:tcW w:w="180" w:type="pct"/>
          </w:tcPr>
          <w:p w14:paraId="6ADBC27A" w14:textId="77777777" w:rsidR="007C57C2" w:rsidRPr="00D473C6" w:rsidRDefault="007C57C2" w:rsidP="00955A59">
            <w:pPr>
              <w:spacing w:line="264" w:lineRule="auto"/>
              <w:jc w:val="center"/>
              <w:rPr>
                <w:b/>
              </w:rPr>
            </w:pPr>
          </w:p>
        </w:tc>
        <w:tc>
          <w:tcPr>
            <w:tcW w:w="180" w:type="pct"/>
          </w:tcPr>
          <w:p w14:paraId="0BC0A574" w14:textId="77777777" w:rsidR="007C57C2" w:rsidRPr="00D473C6" w:rsidRDefault="007C57C2" w:rsidP="00955A59">
            <w:pPr>
              <w:spacing w:line="264" w:lineRule="auto"/>
              <w:jc w:val="center"/>
              <w:rPr>
                <w:b/>
              </w:rPr>
            </w:pPr>
          </w:p>
        </w:tc>
        <w:tc>
          <w:tcPr>
            <w:tcW w:w="180" w:type="pct"/>
          </w:tcPr>
          <w:p w14:paraId="7898129A"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7D0E9860" w14:textId="77777777" w:rsidR="007C57C2" w:rsidRPr="00D473C6" w:rsidRDefault="007C57C2" w:rsidP="00955A59">
            <w:pPr>
              <w:spacing w:line="264" w:lineRule="auto"/>
              <w:jc w:val="center"/>
              <w:rPr>
                <w:b/>
              </w:rPr>
            </w:pPr>
          </w:p>
        </w:tc>
        <w:tc>
          <w:tcPr>
            <w:tcW w:w="1728" w:type="pct"/>
            <w:tcBorders>
              <w:top w:val="nil"/>
              <w:left w:val="nil"/>
              <w:bottom w:val="nil"/>
              <w:right w:val="nil"/>
            </w:tcBorders>
          </w:tcPr>
          <w:p w14:paraId="33F89396" w14:textId="77777777" w:rsidR="007C57C2" w:rsidRPr="00D473C6" w:rsidRDefault="007C57C2" w:rsidP="00955A59">
            <w:pPr>
              <w:spacing w:line="264" w:lineRule="auto"/>
              <w:jc w:val="center"/>
              <w:rPr>
                <w:b/>
              </w:rPr>
            </w:pPr>
          </w:p>
        </w:tc>
        <w:tc>
          <w:tcPr>
            <w:tcW w:w="154" w:type="pct"/>
            <w:tcBorders>
              <w:top w:val="nil"/>
              <w:left w:val="nil"/>
              <w:bottom w:val="nil"/>
              <w:right w:val="nil"/>
            </w:tcBorders>
          </w:tcPr>
          <w:p w14:paraId="6242ACF1" w14:textId="77777777" w:rsidR="007C57C2" w:rsidRPr="00D473C6" w:rsidRDefault="007C57C2" w:rsidP="00955A59">
            <w:pPr>
              <w:spacing w:line="264" w:lineRule="auto"/>
              <w:jc w:val="center"/>
              <w:rPr>
                <w:b/>
              </w:rPr>
            </w:pPr>
          </w:p>
        </w:tc>
        <w:tc>
          <w:tcPr>
            <w:tcW w:w="154" w:type="pct"/>
            <w:tcBorders>
              <w:top w:val="nil"/>
              <w:left w:val="nil"/>
              <w:bottom w:val="nil"/>
              <w:right w:val="nil"/>
            </w:tcBorders>
          </w:tcPr>
          <w:p w14:paraId="32F19662" w14:textId="77777777" w:rsidR="007C57C2" w:rsidRPr="00D473C6" w:rsidRDefault="007C57C2" w:rsidP="00955A59">
            <w:pPr>
              <w:spacing w:line="264" w:lineRule="auto"/>
              <w:jc w:val="center"/>
              <w:rPr>
                <w:b/>
              </w:rPr>
            </w:pPr>
          </w:p>
        </w:tc>
        <w:tc>
          <w:tcPr>
            <w:tcW w:w="155" w:type="pct"/>
            <w:tcBorders>
              <w:top w:val="nil"/>
              <w:left w:val="nil"/>
              <w:bottom w:val="nil"/>
              <w:right w:val="nil"/>
            </w:tcBorders>
          </w:tcPr>
          <w:p w14:paraId="7922F89A" w14:textId="77777777" w:rsidR="007C57C2" w:rsidRPr="00D473C6" w:rsidRDefault="007C57C2" w:rsidP="00955A59">
            <w:pPr>
              <w:spacing w:line="264" w:lineRule="auto"/>
              <w:jc w:val="center"/>
              <w:rPr>
                <w:b/>
              </w:rPr>
            </w:pPr>
          </w:p>
        </w:tc>
        <w:tc>
          <w:tcPr>
            <w:tcW w:w="154" w:type="pct"/>
            <w:tcBorders>
              <w:top w:val="nil"/>
              <w:left w:val="nil"/>
              <w:bottom w:val="nil"/>
              <w:right w:val="nil"/>
            </w:tcBorders>
          </w:tcPr>
          <w:p w14:paraId="4DA82554" w14:textId="77777777" w:rsidR="007C57C2" w:rsidRPr="00D473C6" w:rsidRDefault="007C57C2" w:rsidP="00955A59">
            <w:pPr>
              <w:spacing w:line="264" w:lineRule="auto"/>
              <w:jc w:val="center"/>
              <w:rPr>
                <w:b/>
              </w:rPr>
            </w:pPr>
          </w:p>
        </w:tc>
      </w:tr>
      <w:tr w:rsidR="007C57C2" w:rsidRPr="00D473C6" w14:paraId="405A1036" w14:textId="77777777" w:rsidTr="00695A4F">
        <w:trPr>
          <w:trHeight w:val="385"/>
        </w:trPr>
        <w:tc>
          <w:tcPr>
            <w:tcW w:w="1763" w:type="pct"/>
            <w:tcBorders>
              <w:left w:val="single" w:sz="4" w:space="0" w:color="B2B3B5"/>
              <w:bottom w:val="single" w:sz="4" w:space="0" w:color="B2B3B5"/>
            </w:tcBorders>
          </w:tcPr>
          <w:p w14:paraId="72C9A0A8" w14:textId="77777777" w:rsidR="007C57C2" w:rsidRPr="00D473C6" w:rsidRDefault="007C57C2" w:rsidP="00955A59">
            <w:pPr>
              <w:pStyle w:val="Tabletext"/>
            </w:pPr>
            <w:r w:rsidRPr="00D473C6">
              <w:t>Ethical understanding</w:t>
            </w:r>
          </w:p>
        </w:tc>
        <w:tc>
          <w:tcPr>
            <w:tcW w:w="180" w:type="pct"/>
            <w:tcBorders>
              <w:bottom w:val="single" w:sz="4" w:space="0" w:color="B2B3B5"/>
            </w:tcBorders>
          </w:tcPr>
          <w:p w14:paraId="3C2545E4" w14:textId="77777777" w:rsidR="007C57C2" w:rsidRPr="00D473C6" w:rsidRDefault="007C57C2" w:rsidP="00955A59">
            <w:pPr>
              <w:spacing w:line="264" w:lineRule="auto"/>
              <w:jc w:val="center"/>
              <w:rPr>
                <w:b/>
              </w:rPr>
            </w:pPr>
          </w:p>
        </w:tc>
        <w:tc>
          <w:tcPr>
            <w:tcW w:w="180" w:type="pct"/>
            <w:tcBorders>
              <w:bottom w:val="single" w:sz="4" w:space="0" w:color="B2B3B5"/>
            </w:tcBorders>
          </w:tcPr>
          <w:p w14:paraId="7CF71537" w14:textId="77777777" w:rsidR="007C57C2" w:rsidRPr="00D473C6" w:rsidRDefault="007C57C2" w:rsidP="00955A59">
            <w:pPr>
              <w:spacing w:line="264" w:lineRule="auto"/>
              <w:jc w:val="center"/>
              <w:rPr>
                <w:b/>
              </w:rPr>
            </w:pPr>
          </w:p>
        </w:tc>
        <w:tc>
          <w:tcPr>
            <w:tcW w:w="180" w:type="pct"/>
            <w:tcBorders>
              <w:bottom w:val="single" w:sz="4" w:space="0" w:color="B2B3B5"/>
            </w:tcBorders>
          </w:tcPr>
          <w:p w14:paraId="2DF5D392" w14:textId="77777777" w:rsidR="007C57C2" w:rsidRPr="00D473C6" w:rsidRDefault="007C57C2" w:rsidP="00955A59">
            <w:pPr>
              <w:spacing w:line="264" w:lineRule="auto"/>
              <w:jc w:val="center"/>
              <w:rPr>
                <w:b/>
              </w:rPr>
            </w:pPr>
          </w:p>
        </w:tc>
        <w:tc>
          <w:tcPr>
            <w:tcW w:w="180" w:type="pct"/>
            <w:tcBorders>
              <w:bottom w:val="single" w:sz="4" w:space="0" w:color="B2B3B5"/>
            </w:tcBorders>
          </w:tcPr>
          <w:p w14:paraId="4AC253CB" w14:textId="77777777" w:rsidR="007C57C2" w:rsidRPr="00D473C6" w:rsidRDefault="007C57C2" w:rsidP="00955A59">
            <w:pPr>
              <w:spacing w:line="264" w:lineRule="auto"/>
              <w:jc w:val="center"/>
              <w:rPr>
                <w:b/>
              </w:rPr>
            </w:pPr>
            <w:r w:rsidRPr="00D473C6">
              <w:rPr>
                <w:sz w:val="18"/>
                <w:szCs w:val="18"/>
              </w:rPr>
              <w:sym w:font="Wingdings" w:char="F0FC"/>
            </w:r>
          </w:p>
        </w:tc>
        <w:tc>
          <w:tcPr>
            <w:tcW w:w="173" w:type="pct"/>
            <w:tcBorders>
              <w:top w:val="nil"/>
              <w:left w:val="single" w:sz="4" w:space="0" w:color="B2B3B5"/>
              <w:bottom w:val="nil"/>
              <w:right w:val="nil"/>
            </w:tcBorders>
            <w:shd w:val="clear" w:color="auto" w:fill="auto"/>
          </w:tcPr>
          <w:p w14:paraId="1C155EBA" w14:textId="77777777" w:rsidR="007C57C2" w:rsidRPr="00D473C6" w:rsidRDefault="007C57C2" w:rsidP="00955A59">
            <w:pPr>
              <w:spacing w:line="264" w:lineRule="auto"/>
              <w:jc w:val="center"/>
              <w:rPr>
                <w:rFonts w:eastAsia="SimSun"/>
              </w:rPr>
            </w:pPr>
          </w:p>
        </w:tc>
        <w:tc>
          <w:tcPr>
            <w:tcW w:w="1728" w:type="pct"/>
            <w:tcBorders>
              <w:top w:val="nil"/>
              <w:left w:val="nil"/>
              <w:bottom w:val="nil"/>
              <w:right w:val="nil"/>
            </w:tcBorders>
          </w:tcPr>
          <w:p w14:paraId="7ADFC016"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74D906DF"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44E99505" w14:textId="77777777" w:rsidR="007C57C2" w:rsidRPr="00D473C6" w:rsidRDefault="007C57C2" w:rsidP="00955A59">
            <w:pPr>
              <w:spacing w:line="264" w:lineRule="auto"/>
              <w:jc w:val="center"/>
              <w:rPr>
                <w:rFonts w:eastAsia="SimSun"/>
              </w:rPr>
            </w:pPr>
          </w:p>
        </w:tc>
        <w:tc>
          <w:tcPr>
            <w:tcW w:w="155" w:type="pct"/>
            <w:tcBorders>
              <w:top w:val="nil"/>
              <w:left w:val="nil"/>
              <w:bottom w:val="nil"/>
              <w:right w:val="nil"/>
            </w:tcBorders>
          </w:tcPr>
          <w:p w14:paraId="5006ABF8" w14:textId="77777777" w:rsidR="007C57C2" w:rsidRPr="00D473C6" w:rsidRDefault="007C57C2" w:rsidP="00955A59">
            <w:pPr>
              <w:spacing w:line="264" w:lineRule="auto"/>
              <w:jc w:val="center"/>
              <w:rPr>
                <w:rFonts w:eastAsia="SimSun"/>
              </w:rPr>
            </w:pPr>
          </w:p>
        </w:tc>
        <w:tc>
          <w:tcPr>
            <w:tcW w:w="154" w:type="pct"/>
            <w:tcBorders>
              <w:top w:val="nil"/>
              <w:left w:val="nil"/>
              <w:bottom w:val="nil"/>
              <w:right w:val="nil"/>
            </w:tcBorders>
          </w:tcPr>
          <w:p w14:paraId="2B002A0D" w14:textId="77777777" w:rsidR="007C57C2" w:rsidRPr="00D473C6" w:rsidRDefault="007C57C2" w:rsidP="00955A59">
            <w:pPr>
              <w:spacing w:line="264" w:lineRule="auto"/>
              <w:jc w:val="center"/>
              <w:rPr>
                <w:rFonts w:eastAsia="SimSun"/>
              </w:rPr>
            </w:pPr>
          </w:p>
        </w:tc>
      </w:tr>
    </w:tbl>
    <w:p w14:paraId="5A2CB923" w14:textId="77777777" w:rsidR="002D3109" w:rsidRDefault="007C57C2" w:rsidP="002D3109">
      <w:pPr>
        <w:pStyle w:val="Heading1"/>
      </w:pPr>
      <w:r>
        <w:t>Planning considerations</w:t>
      </w:r>
      <w:r w:rsidR="002D3109" w:rsidRPr="00396DD9">
        <w:t xml:space="preserve"> </w:t>
      </w:r>
    </w:p>
    <w:tbl>
      <w:tblPr>
        <w:tblStyle w:val="QCAAtablestyle5"/>
        <w:tblW w:w="5000" w:type="pct"/>
        <w:tblLook w:val="0620" w:firstRow="1" w:lastRow="0" w:firstColumn="0" w:lastColumn="0" w:noHBand="1" w:noVBand="1"/>
      </w:tblPr>
      <w:tblGrid>
        <w:gridCol w:w="20962"/>
      </w:tblGrid>
      <w:tr w:rsidR="002D3109" w14:paraId="7478CF3C"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00C76589" w14:textId="77777777" w:rsidR="003C7FDF" w:rsidRPr="003C7FDF" w:rsidRDefault="003C7FDF" w:rsidP="003C7FDF">
            <w:pPr>
              <w:pStyle w:val="TableBullet"/>
              <w:numPr>
                <w:ilvl w:val="0"/>
                <w:numId w:val="0"/>
              </w:numPr>
              <w:ind w:left="170" w:hanging="170"/>
            </w:pPr>
            <w:r w:rsidRPr="00CE1EF8">
              <w:rPr>
                <w:szCs w:val="19"/>
              </w:rPr>
              <w:t>Prior to implementation the teaching team will consider questions such as:</w:t>
            </w:r>
          </w:p>
          <w:p w14:paraId="7C8EE8DF" w14:textId="77777777" w:rsidR="002D3109" w:rsidRPr="003C7FDF" w:rsidRDefault="002D3109" w:rsidP="005D0E9F">
            <w:pPr>
              <w:pStyle w:val="TableBullet"/>
            </w:pPr>
            <w:r w:rsidRPr="003C7FDF">
              <w:t xml:space="preserve">Where has prior and future learning across the year level/band been reflected in the plan? </w:t>
            </w:r>
          </w:p>
          <w:p w14:paraId="1188A462" w14:textId="77777777" w:rsidR="002D3109" w:rsidRPr="003C7FDF" w:rsidRDefault="002D3109" w:rsidP="005D0E9F">
            <w:pPr>
              <w:pStyle w:val="TableBullet"/>
            </w:pPr>
            <w:r w:rsidRPr="003C7FDF">
              <w:t>Are there adequate opportunities for students to develop depth of conceptual understanding and sophistication of skills across the year level/band?</w:t>
            </w:r>
          </w:p>
          <w:p w14:paraId="4216FBDF" w14:textId="77777777" w:rsidR="002D3109" w:rsidRPr="003C7FDF" w:rsidRDefault="002D3109" w:rsidP="005D0E9F">
            <w:pPr>
              <w:pStyle w:val="TableBullet"/>
            </w:pPr>
            <w:r w:rsidRPr="003C7FDF">
              <w:t>Does the plan ensure adequate opportunities for students to demonstrate the achievement standard/s by the end of the year level/band?</w:t>
            </w:r>
          </w:p>
          <w:p w14:paraId="06C983AA" w14:textId="77777777" w:rsidR="002D3109" w:rsidRDefault="002D3109" w:rsidP="005D0E9F">
            <w:pPr>
              <w:pStyle w:val="TableBullet"/>
            </w:pPr>
            <w:r w:rsidRPr="003C7FDF">
              <w:t>Are the timing and demands of the planned assessment appropriate in relation to assessment of other learning areas and subjects taught in this year?</w:t>
            </w:r>
          </w:p>
          <w:p w14:paraId="7A37BBF7" w14:textId="77777777" w:rsidR="005D0E9F" w:rsidRPr="003C7FDF" w:rsidRDefault="005D0E9F">
            <w:pPr>
              <w:pStyle w:val="TableBullet"/>
            </w:pPr>
            <w:r>
              <w:t xml:space="preserve">Are there any Indigenous cultural and intellectual property (ICIP) rights to consider? For guidance, see </w:t>
            </w:r>
            <w:hyperlink r:id="rId14" w:history="1">
              <w:r w:rsidRPr="00E638D4">
                <w:rPr>
                  <w:rStyle w:val="Hyperlink"/>
                </w:rPr>
                <w:t>https://smartcopying.edu.au/guidelines/copyright-basics/indigenous-cultural-and-intellectual-property-rights</w:t>
              </w:r>
            </w:hyperlink>
            <w:r>
              <w:t xml:space="preserve">. </w:t>
            </w:r>
          </w:p>
          <w:p w14:paraId="4732E9A4" w14:textId="77777777" w:rsidR="002D3109" w:rsidRPr="003C7FDF" w:rsidRDefault="002D3109" w:rsidP="005D0E9F">
            <w:pPr>
              <w:pStyle w:val="TableBullet"/>
            </w:pPr>
            <w:r w:rsidRPr="003C7FDF">
              <w:t xml:space="preserve">Do the assessment techniques and conditions </w:t>
            </w:r>
            <w:r w:rsidR="006F49F9" w:rsidRPr="003C7FDF">
              <w:t xml:space="preserve">offer </w:t>
            </w:r>
            <w:r w:rsidRPr="003C7FDF">
              <w:t>a range and balance across the year/band</w:t>
            </w:r>
            <w:r w:rsidR="006F49F9" w:rsidRPr="003C7FDF">
              <w:t>?</w:t>
            </w:r>
            <w:r w:rsidRPr="003C7FDF">
              <w:t xml:space="preserve"> </w:t>
            </w:r>
            <w:r w:rsidR="006F49F9" w:rsidRPr="003C7FDF">
              <w:t xml:space="preserve">What </w:t>
            </w:r>
            <w:r w:rsidRPr="003C7FDF">
              <w:t>strategies for authentication</w:t>
            </w:r>
            <w:r w:rsidR="006F49F9" w:rsidRPr="003C7FDF">
              <w:t xml:space="preserve"> are included</w:t>
            </w:r>
            <w:r w:rsidRPr="003C7FDF">
              <w:t>?</w:t>
            </w:r>
          </w:p>
          <w:p w14:paraId="073A1C9C" w14:textId="77777777" w:rsidR="002D3109" w:rsidRPr="003C7FDF" w:rsidRDefault="002D3109" w:rsidP="005D0E9F">
            <w:pPr>
              <w:pStyle w:val="TableBullet"/>
            </w:pPr>
            <w:r w:rsidRPr="003C7FDF">
              <w:t>What moderation processes will be used</w:t>
            </w:r>
            <w:r w:rsidR="006F49F9" w:rsidRPr="003C7FDF">
              <w:t>?</w:t>
            </w:r>
            <w:r w:rsidRPr="003C7FDF">
              <w:t xml:space="preserve"> </w:t>
            </w:r>
            <w:r w:rsidR="006F49F9" w:rsidRPr="003C7FDF">
              <w:t>W</w:t>
            </w:r>
            <w:r w:rsidRPr="003C7FDF">
              <w:t>hen will assessment and moderation occur?</w:t>
            </w:r>
          </w:p>
          <w:p w14:paraId="5B6852F4" w14:textId="77777777" w:rsidR="002D3109" w:rsidRPr="003C7FDF" w:rsidRDefault="002D3109" w:rsidP="005D0E9F">
            <w:pPr>
              <w:pStyle w:val="TableBullet"/>
            </w:pPr>
            <w:r w:rsidRPr="003C7FDF">
              <w:t>Is the planned teaching</w:t>
            </w:r>
            <w:r w:rsidR="006F49F9" w:rsidRPr="003C7FDF">
              <w:t>,</w:t>
            </w:r>
            <w:r w:rsidRPr="003C7FDF">
              <w:t xml:space="preserve"> learning and assessment</w:t>
            </w:r>
            <w:r w:rsidR="006F49F9" w:rsidRPr="003C7FDF">
              <w:t>,</w:t>
            </w:r>
            <w:r w:rsidRPr="003C7FDF">
              <w:t xml:space="preserve"> </w:t>
            </w:r>
            <w:r w:rsidR="006F49F9" w:rsidRPr="003C7FDF">
              <w:t xml:space="preserve">sequence </w:t>
            </w:r>
            <w:r w:rsidRPr="003C7FDF">
              <w:t>appropriate for reporting purposes?</w:t>
            </w:r>
          </w:p>
          <w:p w14:paraId="4C434304" w14:textId="77777777" w:rsidR="002D3109" w:rsidRPr="003C7FDF" w:rsidRDefault="002D3109" w:rsidP="005D0E9F">
            <w:pPr>
              <w:pStyle w:val="TableBullet"/>
            </w:pPr>
            <w:r w:rsidRPr="003C7FDF">
              <w:t>Do strategies for differentiation and reasonable adjustments complement the teaching</w:t>
            </w:r>
            <w:r w:rsidR="002D6427" w:rsidRPr="003C7FDF">
              <w:t>,</w:t>
            </w:r>
            <w:r w:rsidRPr="003C7FDF">
              <w:t xml:space="preserve"> learning and assessment</w:t>
            </w:r>
            <w:r w:rsidR="002D6427" w:rsidRPr="003C7FDF">
              <w:t xml:space="preserve"> sequence</w:t>
            </w:r>
            <w:r w:rsidRPr="003C7FDF">
              <w:t xml:space="preserve">? </w:t>
            </w:r>
          </w:p>
          <w:p w14:paraId="4B6ECB44" w14:textId="77777777" w:rsidR="002D3109" w:rsidRPr="00CD2F6D" w:rsidRDefault="002D3109" w:rsidP="005D0E9F">
            <w:pPr>
              <w:pStyle w:val="TableBullet"/>
            </w:pPr>
            <w:r w:rsidRPr="003C7FDF">
              <w:t>How will planned strategies for differentiation and reasonable adjustments</w:t>
            </w:r>
            <w:r w:rsidRPr="005F37C3">
              <w:t xml:space="preserve"> impact other year level/band plans?</w:t>
            </w:r>
          </w:p>
        </w:tc>
      </w:tr>
      <w:tr w:rsidR="002D3109" w:rsidRPr="003C7FDF" w14:paraId="4001614C" w14:textId="77777777" w:rsidTr="004725E5">
        <w:tc>
          <w:tcPr>
            <w:tcW w:w="5000" w:type="pct"/>
          </w:tcPr>
          <w:p w14:paraId="59B32157" w14:textId="77777777" w:rsidR="003C7FDF" w:rsidRPr="00CE1EF8" w:rsidRDefault="003C7FDF" w:rsidP="003C7FDF">
            <w:pPr>
              <w:rPr>
                <w:sz w:val="19"/>
                <w:szCs w:val="19"/>
              </w:rPr>
            </w:pPr>
            <w:r w:rsidRPr="00CE1EF8">
              <w:rPr>
                <w:sz w:val="19"/>
                <w:szCs w:val="19"/>
              </w:rPr>
              <w:t>Following implementation, the teaching team will consider question such as:</w:t>
            </w:r>
          </w:p>
          <w:p w14:paraId="4812D9DA" w14:textId="77777777" w:rsidR="002D3109" w:rsidRPr="003C7FDF" w:rsidRDefault="002D3109" w:rsidP="003C7FDF">
            <w:pPr>
              <w:pStyle w:val="TableBullet"/>
            </w:pPr>
            <w:r w:rsidRPr="003C7FDF">
              <w:t>Was the teaching, learning and assessment effective?</w:t>
            </w:r>
          </w:p>
          <w:p w14:paraId="163C5278" w14:textId="77777777" w:rsidR="002D3109" w:rsidRPr="003C7FDF" w:rsidRDefault="002D3109" w:rsidP="003C7FDF">
            <w:pPr>
              <w:pStyle w:val="TableBullet"/>
            </w:pPr>
            <w:r w:rsidRPr="003C7FDF">
              <w:t xml:space="preserve">Are there opportunities to improve the effectiveness of the teaching, learning and assessment? If so, </w:t>
            </w:r>
            <w:r w:rsidR="006D0305" w:rsidRPr="003C7FDF">
              <w:t>what</w:t>
            </w:r>
            <w:r w:rsidRPr="003C7FDF">
              <w:t>?</w:t>
            </w:r>
          </w:p>
          <w:p w14:paraId="23348A01" w14:textId="77777777" w:rsidR="002D3109" w:rsidRPr="003C7FDF" w:rsidRDefault="002D3109" w:rsidP="003C7FDF">
            <w:pPr>
              <w:pStyle w:val="TableBullet"/>
            </w:pPr>
            <w:r w:rsidRPr="003C7FDF">
              <w:t>Were there any common student misconceptions that need, or needed, to be clarified?</w:t>
            </w:r>
          </w:p>
          <w:p w14:paraId="319F1BFC" w14:textId="77777777" w:rsidR="002D3109" w:rsidRPr="003C7FDF" w:rsidRDefault="002D3109" w:rsidP="003C7FDF">
            <w:pPr>
              <w:pStyle w:val="TableBullet"/>
            </w:pPr>
            <w:r w:rsidRPr="003C7FDF">
              <w:t>How do student outcomes in this year of learning impact on the planning of subsequent year level/band plans?</w:t>
            </w:r>
          </w:p>
        </w:tc>
      </w:tr>
    </w:tbl>
    <w:p w14:paraId="0FFE76C8" w14:textId="77777777" w:rsidR="00306525" w:rsidRPr="003C7FDF" w:rsidRDefault="00306525" w:rsidP="003C7FDF">
      <w:pPr>
        <w:pStyle w:val="TableBullet"/>
        <w:numPr>
          <w:ilvl w:val="0"/>
          <w:numId w:val="0"/>
        </w:numPr>
        <w:ind w:left="170"/>
      </w:pPr>
    </w:p>
    <w:p w14:paraId="301F85CA" w14:textId="77777777" w:rsidR="00D94E4F" w:rsidRPr="00D94E4F" w:rsidRDefault="00D94E4F" w:rsidP="00333DEC">
      <w:pPr>
        <w:pStyle w:val="BodyText"/>
        <w:spacing w:before="480"/>
      </w:pPr>
      <w:r w:rsidRPr="00D94E4F">
        <w:rPr>
          <w:noProof/>
        </w:rPr>
        <w:drawing>
          <wp:inline distT="0" distB="0" distL="0" distR="0" wp14:anchorId="1D715282" wp14:editId="1F76F70E">
            <wp:extent cx="398160" cy="186840"/>
            <wp:effectExtent l="0" t="0" r="1905" b="3810"/>
            <wp:docPr id="5" name="Graphic 5" descr="Creative Commons (CC) licence icons" title="Copyright indicato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5"/>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4A0CA3D112AA4B6E966949C97C88EF0B"/>
          </w:placeholder>
        </w:sdtPr>
        <w:sdtEndPr/>
        <w:sdtContent>
          <w:r w:rsidR="007C57C2">
            <w:t>202</w:t>
          </w:r>
          <w:r w:rsidR="00882F1F">
            <w:t>1</w:t>
          </w:r>
        </w:sdtContent>
      </w:sdt>
    </w:p>
    <w:bookmarkEnd w:id="1"/>
    <w:p w14:paraId="445C5386"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F636101200EB4402B4AB2E70FC1CEC4B"/>
          </w:placeholder>
          <w:dataBinding w:prefixMappings="xmlns:ns0='http://QCAA.qld.edu.au' " w:xpath="/ns0:QCAA[1]/ns0:DocumentTitle[1]" w:storeItemID="{029BFAC3-A859-40E3-910E-708531540F3D}"/>
          <w:text/>
        </w:sdtPr>
        <w:sdtEndPr/>
        <w:sdtContent>
          <w:r w:rsidR="001D214B">
            <w:rPr>
              <w:b/>
              <w:bCs/>
            </w:rPr>
            <w:t xml:space="preserve">Year 10 Mathematics curriculum and assessment plan </w:t>
          </w:r>
        </w:sdtContent>
      </w:sdt>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8" w:history="1">
        <w:r>
          <w:rPr>
            <w:color w:val="0000FF"/>
          </w:rPr>
          <w:t>https://creativecommons.org/licenses/by/4.0</w:t>
        </w:r>
      </w:hyperlink>
    </w:p>
    <w:p w14:paraId="24FD1DEA" w14:textId="77777777" w:rsidR="00D94E4F" w:rsidRDefault="00753565" w:rsidP="00753565">
      <w:pPr>
        <w:pStyle w:val="Legalnotice"/>
      </w:pPr>
      <w:r>
        <w:t>Australian Curriculum</w:t>
      </w:r>
      <w:r w:rsidR="00DB19BE">
        <w:t xml:space="preserve"> extracts are</w:t>
      </w:r>
      <w:r>
        <w:t xml:space="preserve"> licensed as follows: </w:t>
      </w:r>
      <w:r w:rsidRPr="00A30FD9">
        <w:rPr>
          <w:shd w:val="clear" w:color="auto" w:fill="F7F7F7"/>
        </w:rPr>
        <w:t>© ACARA 2010–2019, licensed under</w:t>
      </w:r>
      <w:r w:rsidRPr="00A30FD9">
        <w:rPr>
          <w:rStyle w:val="Strong"/>
          <w:rFonts w:cstheme="minorHAnsi"/>
          <w:szCs w:val="18"/>
        </w:rPr>
        <w:t> </w:t>
      </w:r>
      <w:hyperlink r:id="rId19"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0"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1"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C1CBA">
      <w:footerReference w:type="default" r:id="rId22"/>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3853" w14:textId="77777777" w:rsidR="008E443C" w:rsidRDefault="008E443C" w:rsidP="00185154">
      <w:r>
        <w:separator/>
      </w:r>
    </w:p>
    <w:p w14:paraId="2E63B194" w14:textId="77777777" w:rsidR="008E443C" w:rsidRDefault="008E443C"/>
    <w:p w14:paraId="41A0441F" w14:textId="77777777" w:rsidR="008E443C" w:rsidRDefault="008E443C"/>
  </w:endnote>
  <w:endnote w:type="continuationSeparator" w:id="0">
    <w:p w14:paraId="1D4F69A1" w14:textId="77777777" w:rsidR="008E443C" w:rsidRDefault="008E443C" w:rsidP="00185154">
      <w:r>
        <w:continuationSeparator/>
      </w:r>
    </w:p>
    <w:p w14:paraId="0A940E06" w14:textId="77777777" w:rsidR="008E443C" w:rsidRDefault="008E443C"/>
    <w:p w14:paraId="6CEAA90F" w14:textId="77777777" w:rsidR="008E443C" w:rsidRDefault="008E4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655B58" w14:paraId="7D183EF2" w14:textId="77777777" w:rsidTr="00AB33F6">
      <w:tc>
        <w:tcPr>
          <w:tcW w:w="2500" w:type="pct"/>
          <w:noWrap/>
          <w:hideMark/>
        </w:tcPr>
        <w:p w14:paraId="0BEB198E" w14:textId="77777777" w:rsidR="00655B58" w:rsidRPr="002E6121" w:rsidRDefault="00083403" w:rsidP="00B64090">
          <w:pPr>
            <w:pStyle w:val="Footer"/>
          </w:pPr>
          <w:sdt>
            <w:sdtPr>
              <w:alias w:val="Document Title"/>
              <w:tag w:val="DocumentTitle"/>
              <w:id w:val="-1800144886"/>
              <w:placeholder>
                <w:docPart w:val="431F351ED2D349B5ADE6128B384400A1"/>
              </w:placeholder>
              <w:dataBinding w:prefixMappings="xmlns:ns0='http://QCAA.qld.edu.au' " w:xpath="/ns0:QCAA[1]/ns0:DocumentTitle[1]" w:storeItemID="{029BFAC3-A859-40E3-910E-708531540F3D}"/>
              <w:text/>
            </w:sdtPr>
            <w:sdtEndPr/>
            <w:sdtContent>
              <w:r w:rsidR="00655B58">
                <w:t xml:space="preserve">Year 10 Mathematics curriculum and assessment plan </w:t>
              </w:r>
            </w:sdtContent>
          </w:sdt>
        </w:p>
        <w:sdt>
          <w:sdtPr>
            <w:alias w:val="Document Subtitle"/>
            <w:tag w:val="DocumentSubtitle"/>
            <w:id w:val="415823483"/>
            <w:placeholder>
              <w:docPart w:val="94255568400C4576BCD713D22F2B1A22"/>
            </w:placeholder>
            <w:dataBinding w:prefixMappings="xmlns:ns0='http://QCAA.qld.edu.au' " w:xpath="/ns0:QCAA[1]/ns0:DocumentSubtitle[1]" w:storeItemID="{ECF99190-FDC9-4DC7-BF4D-418697363580}"/>
            <w:text/>
          </w:sdtPr>
          <w:sdtEndPr/>
          <w:sdtContent>
            <w:p w14:paraId="554017C8" w14:textId="77777777" w:rsidR="00655B58" w:rsidRPr="001C5273" w:rsidRDefault="00655B58" w:rsidP="001C5273">
              <w:pPr>
                <w:pStyle w:val="Footersubtitle"/>
                <w:rPr>
                  <w:iCs/>
                  <w:color w:val="auto"/>
                  <w:sz w:val="21"/>
                </w:rPr>
              </w:pPr>
              <w:r>
                <w:t xml:space="preserve">Example </w:t>
              </w:r>
            </w:p>
          </w:sdtContent>
        </w:sdt>
      </w:tc>
      <w:tc>
        <w:tcPr>
          <w:tcW w:w="2500" w:type="pct"/>
          <w:hideMark/>
        </w:tcPr>
        <w:p w14:paraId="16DD25AB" w14:textId="77777777" w:rsidR="00655B58" w:rsidRDefault="00655B58" w:rsidP="00B64090">
          <w:pPr>
            <w:pStyle w:val="Footer"/>
            <w:jc w:val="right"/>
          </w:pPr>
          <w:r>
            <w:t>Queensland Curriculum &amp; Assessment Authority</w:t>
          </w:r>
        </w:p>
        <w:sdt>
          <w:sdtPr>
            <w:alias w:val="Publication Date"/>
            <w:tag w:val="DocumentDate"/>
            <w:id w:val="-1402664508"/>
            <w:placeholder>
              <w:docPart w:val="E6AFA61F812048DC80FD1B28B0846787"/>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3CFAD05C" w14:textId="60C4CA9C" w:rsidR="00655B58" w:rsidRDefault="004E0EF2" w:rsidP="00B64090">
              <w:pPr>
                <w:pStyle w:val="Footersubtitle"/>
                <w:jc w:val="right"/>
              </w:pPr>
              <w:r>
                <w:t>October 2021</w:t>
              </w:r>
            </w:p>
          </w:sdtContent>
        </w:sdt>
      </w:tc>
    </w:tr>
    <w:tr w:rsidR="00655B58" w14:paraId="2C92CA93"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633CED7" w14:textId="77777777" w:rsidR="00655B58" w:rsidRDefault="00655B58"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E7DF4">
                <w:rPr>
                  <w:noProof/>
                  <w:sz w:val="18"/>
                </w:rPr>
                <w:t>5</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E7DF4">
                <w:rPr>
                  <w:b w:val="0"/>
                  <w:noProof/>
                  <w:sz w:val="18"/>
                </w:rPr>
                <w:t>5</w:t>
              </w:r>
              <w:r>
                <w:rPr>
                  <w:b w:val="0"/>
                  <w:sz w:val="18"/>
                </w:rPr>
                <w:fldChar w:fldCharType="end"/>
              </w:r>
            </w:p>
          </w:sdtContent>
        </w:sdt>
      </w:tc>
    </w:tr>
  </w:tbl>
  <w:p w14:paraId="16723349" w14:textId="77777777" w:rsidR="00655B58" w:rsidRDefault="00655B58"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0A5E9" w14:textId="77777777" w:rsidR="008E443C" w:rsidRPr="001B4733" w:rsidRDefault="008E443C" w:rsidP="001B4733">
      <w:pPr>
        <w:rPr>
          <w:color w:val="D52B1E" w:themeColor="text2"/>
        </w:rPr>
      </w:pPr>
      <w:r w:rsidRPr="001B4733">
        <w:rPr>
          <w:color w:val="D52B1E" w:themeColor="text2"/>
        </w:rPr>
        <w:continuationSeparator/>
      </w:r>
    </w:p>
    <w:p w14:paraId="78199C9B" w14:textId="77777777" w:rsidR="008E443C" w:rsidRPr="001B4733" w:rsidRDefault="008E443C">
      <w:pPr>
        <w:rPr>
          <w:sz w:val="4"/>
          <w:szCs w:val="4"/>
        </w:rPr>
      </w:pPr>
    </w:p>
  </w:footnote>
  <w:footnote w:type="continuationSeparator" w:id="0">
    <w:p w14:paraId="6D3343AE" w14:textId="77777777" w:rsidR="008E443C" w:rsidRPr="001B4733" w:rsidRDefault="008E443C" w:rsidP="00185154">
      <w:pPr>
        <w:rPr>
          <w:color w:val="D52B1E" w:themeColor="text2"/>
        </w:rPr>
      </w:pPr>
      <w:r w:rsidRPr="001B4733">
        <w:rPr>
          <w:color w:val="D52B1E" w:themeColor="text2"/>
        </w:rPr>
        <w:continuationSeparator/>
      </w:r>
    </w:p>
    <w:p w14:paraId="62B86371" w14:textId="77777777" w:rsidR="008E443C" w:rsidRPr="001B4733" w:rsidRDefault="008E443C">
      <w:pPr>
        <w:rPr>
          <w:sz w:val="4"/>
          <w:szCs w:val="4"/>
        </w:rPr>
      </w:pPr>
    </w:p>
  </w:footnote>
  <w:footnote w:type="continuationNotice" w:id="1">
    <w:p w14:paraId="66B7A402" w14:textId="77777777" w:rsidR="008E443C" w:rsidRPr="001B4733" w:rsidRDefault="008E443C">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06A2CDE"/>
    <w:multiLevelType w:val="multilevel"/>
    <w:tmpl w:val="0ACC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6"/>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93"/>
    <w:rsid w:val="000048C9"/>
    <w:rsid w:val="00004CC6"/>
    <w:rsid w:val="00006100"/>
    <w:rsid w:val="00010A6B"/>
    <w:rsid w:val="000120D7"/>
    <w:rsid w:val="00025175"/>
    <w:rsid w:val="00035427"/>
    <w:rsid w:val="00041298"/>
    <w:rsid w:val="0004459E"/>
    <w:rsid w:val="000463BF"/>
    <w:rsid w:val="00050F57"/>
    <w:rsid w:val="00055CD7"/>
    <w:rsid w:val="00062C3E"/>
    <w:rsid w:val="00066432"/>
    <w:rsid w:val="000679B2"/>
    <w:rsid w:val="00071C7D"/>
    <w:rsid w:val="00076F97"/>
    <w:rsid w:val="00077F2D"/>
    <w:rsid w:val="00083403"/>
    <w:rsid w:val="00083F5D"/>
    <w:rsid w:val="0008460B"/>
    <w:rsid w:val="00086169"/>
    <w:rsid w:val="000870BB"/>
    <w:rsid w:val="000871A4"/>
    <w:rsid w:val="00087D93"/>
    <w:rsid w:val="00090A56"/>
    <w:rsid w:val="00094E5E"/>
    <w:rsid w:val="000A64FB"/>
    <w:rsid w:val="000A658E"/>
    <w:rsid w:val="000B155D"/>
    <w:rsid w:val="000B3EBE"/>
    <w:rsid w:val="000B6FA1"/>
    <w:rsid w:val="000C008E"/>
    <w:rsid w:val="000C0C22"/>
    <w:rsid w:val="000C1CBA"/>
    <w:rsid w:val="000C1D1E"/>
    <w:rsid w:val="000C7DA6"/>
    <w:rsid w:val="000D0A76"/>
    <w:rsid w:val="000D7CCC"/>
    <w:rsid w:val="000E1250"/>
    <w:rsid w:val="000F425C"/>
    <w:rsid w:val="000F4A35"/>
    <w:rsid w:val="0010405A"/>
    <w:rsid w:val="001063C6"/>
    <w:rsid w:val="00111674"/>
    <w:rsid w:val="00115EC2"/>
    <w:rsid w:val="00117B97"/>
    <w:rsid w:val="00130F9E"/>
    <w:rsid w:val="0013218E"/>
    <w:rsid w:val="00136F3F"/>
    <w:rsid w:val="00145CCD"/>
    <w:rsid w:val="0014766D"/>
    <w:rsid w:val="001505D8"/>
    <w:rsid w:val="00154790"/>
    <w:rsid w:val="00156423"/>
    <w:rsid w:val="001600E5"/>
    <w:rsid w:val="001605B8"/>
    <w:rsid w:val="0016205A"/>
    <w:rsid w:val="00162196"/>
    <w:rsid w:val="00164B98"/>
    <w:rsid w:val="001829A7"/>
    <w:rsid w:val="00185154"/>
    <w:rsid w:val="0019114D"/>
    <w:rsid w:val="001912AF"/>
    <w:rsid w:val="00193962"/>
    <w:rsid w:val="00194EA7"/>
    <w:rsid w:val="001A5839"/>
    <w:rsid w:val="001A5EEA"/>
    <w:rsid w:val="001A6BE8"/>
    <w:rsid w:val="001B1D01"/>
    <w:rsid w:val="001B38D4"/>
    <w:rsid w:val="001B3BAE"/>
    <w:rsid w:val="001B4733"/>
    <w:rsid w:val="001C5273"/>
    <w:rsid w:val="001D214B"/>
    <w:rsid w:val="001D7954"/>
    <w:rsid w:val="001E33A3"/>
    <w:rsid w:val="001F16CA"/>
    <w:rsid w:val="001F245B"/>
    <w:rsid w:val="001F2AD3"/>
    <w:rsid w:val="001F6AB0"/>
    <w:rsid w:val="0020646A"/>
    <w:rsid w:val="002078C1"/>
    <w:rsid w:val="002106C4"/>
    <w:rsid w:val="00210DEF"/>
    <w:rsid w:val="00211E11"/>
    <w:rsid w:val="00220FF4"/>
    <w:rsid w:val="00222215"/>
    <w:rsid w:val="0022393A"/>
    <w:rsid w:val="002312C3"/>
    <w:rsid w:val="0025119D"/>
    <w:rsid w:val="00252201"/>
    <w:rsid w:val="00254DD8"/>
    <w:rsid w:val="00256A64"/>
    <w:rsid w:val="00257DB0"/>
    <w:rsid w:val="00260CF9"/>
    <w:rsid w:val="00261E1A"/>
    <w:rsid w:val="00266880"/>
    <w:rsid w:val="002745E2"/>
    <w:rsid w:val="00275ED9"/>
    <w:rsid w:val="0029216D"/>
    <w:rsid w:val="002925CE"/>
    <w:rsid w:val="00292DD8"/>
    <w:rsid w:val="00295923"/>
    <w:rsid w:val="002A58E7"/>
    <w:rsid w:val="002B0BB3"/>
    <w:rsid w:val="002B1D93"/>
    <w:rsid w:val="002B4003"/>
    <w:rsid w:val="002C5098"/>
    <w:rsid w:val="002C5B1C"/>
    <w:rsid w:val="002D3109"/>
    <w:rsid w:val="002D41CE"/>
    <w:rsid w:val="002D4254"/>
    <w:rsid w:val="002D4E6E"/>
    <w:rsid w:val="002D522C"/>
    <w:rsid w:val="002D6427"/>
    <w:rsid w:val="002D704B"/>
    <w:rsid w:val="002D750D"/>
    <w:rsid w:val="002D7769"/>
    <w:rsid w:val="002E5482"/>
    <w:rsid w:val="002E6121"/>
    <w:rsid w:val="002F2AA4"/>
    <w:rsid w:val="002F3243"/>
    <w:rsid w:val="002F4862"/>
    <w:rsid w:val="003007A2"/>
    <w:rsid w:val="0030133C"/>
    <w:rsid w:val="00301893"/>
    <w:rsid w:val="00306525"/>
    <w:rsid w:val="003171F2"/>
    <w:rsid w:val="00320635"/>
    <w:rsid w:val="00333DEC"/>
    <w:rsid w:val="00334A30"/>
    <w:rsid w:val="00336F7C"/>
    <w:rsid w:val="003374FB"/>
    <w:rsid w:val="00337583"/>
    <w:rsid w:val="003411DD"/>
    <w:rsid w:val="00344A05"/>
    <w:rsid w:val="00346472"/>
    <w:rsid w:val="00352324"/>
    <w:rsid w:val="003553D9"/>
    <w:rsid w:val="003611D6"/>
    <w:rsid w:val="00367400"/>
    <w:rsid w:val="0037398C"/>
    <w:rsid w:val="0037433D"/>
    <w:rsid w:val="0037618F"/>
    <w:rsid w:val="003839A1"/>
    <w:rsid w:val="0038465B"/>
    <w:rsid w:val="003853C1"/>
    <w:rsid w:val="00391673"/>
    <w:rsid w:val="0039510D"/>
    <w:rsid w:val="003A04C1"/>
    <w:rsid w:val="003A087E"/>
    <w:rsid w:val="003A08A5"/>
    <w:rsid w:val="003A2861"/>
    <w:rsid w:val="003A750A"/>
    <w:rsid w:val="003B0945"/>
    <w:rsid w:val="003B097F"/>
    <w:rsid w:val="003B1166"/>
    <w:rsid w:val="003B3981"/>
    <w:rsid w:val="003B4DCF"/>
    <w:rsid w:val="003C7FDF"/>
    <w:rsid w:val="003D1401"/>
    <w:rsid w:val="003D2557"/>
    <w:rsid w:val="003D2FB8"/>
    <w:rsid w:val="003D3B71"/>
    <w:rsid w:val="003D56AF"/>
    <w:rsid w:val="003D666C"/>
    <w:rsid w:val="003E1167"/>
    <w:rsid w:val="003E1EF3"/>
    <w:rsid w:val="003E5319"/>
    <w:rsid w:val="003F2E6E"/>
    <w:rsid w:val="003F5932"/>
    <w:rsid w:val="0040339E"/>
    <w:rsid w:val="00404615"/>
    <w:rsid w:val="00407776"/>
    <w:rsid w:val="00410047"/>
    <w:rsid w:val="00412450"/>
    <w:rsid w:val="00413C60"/>
    <w:rsid w:val="004178B4"/>
    <w:rsid w:val="00417A46"/>
    <w:rsid w:val="0042305D"/>
    <w:rsid w:val="0042391F"/>
    <w:rsid w:val="0042690D"/>
    <w:rsid w:val="00427353"/>
    <w:rsid w:val="0043564D"/>
    <w:rsid w:val="00435965"/>
    <w:rsid w:val="0043628A"/>
    <w:rsid w:val="004373A0"/>
    <w:rsid w:val="00444AE6"/>
    <w:rsid w:val="004478FD"/>
    <w:rsid w:val="00454DE4"/>
    <w:rsid w:val="0046435A"/>
    <w:rsid w:val="00465D0B"/>
    <w:rsid w:val="004700B3"/>
    <w:rsid w:val="004701D5"/>
    <w:rsid w:val="004709CC"/>
    <w:rsid w:val="004715A6"/>
    <w:rsid w:val="00471634"/>
    <w:rsid w:val="004725E5"/>
    <w:rsid w:val="00474EFB"/>
    <w:rsid w:val="00475EFD"/>
    <w:rsid w:val="00491C59"/>
    <w:rsid w:val="004929B2"/>
    <w:rsid w:val="004A3891"/>
    <w:rsid w:val="004A715D"/>
    <w:rsid w:val="004A746C"/>
    <w:rsid w:val="004B0792"/>
    <w:rsid w:val="004B7DAE"/>
    <w:rsid w:val="004C553B"/>
    <w:rsid w:val="004C6139"/>
    <w:rsid w:val="004D25B4"/>
    <w:rsid w:val="004D399E"/>
    <w:rsid w:val="004D7E14"/>
    <w:rsid w:val="004E0EF2"/>
    <w:rsid w:val="004E4A29"/>
    <w:rsid w:val="004E79A4"/>
    <w:rsid w:val="004F0760"/>
    <w:rsid w:val="004F2A3C"/>
    <w:rsid w:val="004F3D6F"/>
    <w:rsid w:val="0050345B"/>
    <w:rsid w:val="00504F96"/>
    <w:rsid w:val="0051056D"/>
    <w:rsid w:val="00514D1D"/>
    <w:rsid w:val="005249AA"/>
    <w:rsid w:val="00526F36"/>
    <w:rsid w:val="005317FB"/>
    <w:rsid w:val="00532847"/>
    <w:rsid w:val="005331C9"/>
    <w:rsid w:val="005402DF"/>
    <w:rsid w:val="0054122B"/>
    <w:rsid w:val="0055219D"/>
    <w:rsid w:val="0055353F"/>
    <w:rsid w:val="0055614A"/>
    <w:rsid w:val="00562FD1"/>
    <w:rsid w:val="00563598"/>
    <w:rsid w:val="0056633F"/>
    <w:rsid w:val="005666AD"/>
    <w:rsid w:val="005713E5"/>
    <w:rsid w:val="00573359"/>
    <w:rsid w:val="00581369"/>
    <w:rsid w:val="00587E1F"/>
    <w:rsid w:val="00593846"/>
    <w:rsid w:val="005968C0"/>
    <w:rsid w:val="005A2D98"/>
    <w:rsid w:val="005A435A"/>
    <w:rsid w:val="005B0C40"/>
    <w:rsid w:val="005B10DF"/>
    <w:rsid w:val="005C143C"/>
    <w:rsid w:val="005C380A"/>
    <w:rsid w:val="005C3A2B"/>
    <w:rsid w:val="005D0E9F"/>
    <w:rsid w:val="005D620B"/>
    <w:rsid w:val="005E259B"/>
    <w:rsid w:val="005F3D12"/>
    <w:rsid w:val="005F4BC2"/>
    <w:rsid w:val="005F5927"/>
    <w:rsid w:val="006010D5"/>
    <w:rsid w:val="006025ED"/>
    <w:rsid w:val="00605527"/>
    <w:rsid w:val="0061089F"/>
    <w:rsid w:val="00616EC2"/>
    <w:rsid w:val="00620553"/>
    <w:rsid w:val="0062088B"/>
    <w:rsid w:val="00623151"/>
    <w:rsid w:val="006257AB"/>
    <w:rsid w:val="00632A72"/>
    <w:rsid w:val="00633235"/>
    <w:rsid w:val="00636FB7"/>
    <w:rsid w:val="00637763"/>
    <w:rsid w:val="00640B81"/>
    <w:rsid w:val="006421A2"/>
    <w:rsid w:val="0064613A"/>
    <w:rsid w:val="0065325A"/>
    <w:rsid w:val="00655B58"/>
    <w:rsid w:val="00661493"/>
    <w:rsid w:val="00662671"/>
    <w:rsid w:val="006653B6"/>
    <w:rsid w:val="0066557E"/>
    <w:rsid w:val="00674316"/>
    <w:rsid w:val="006765E9"/>
    <w:rsid w:val="00676CE9"/>
    <w:rsid w:val="00677C0E"/>
    <w:rsid w:val="00684E74"/>
    <w:rsid w:val="006904F7"/>
    <w:rsid w:val="00695A4F"/>
    <w:rsid w:val="006A1801"/>
    <w:rsid w:val="006B25CE"/>
    <w:rsid w:val="006B2B0F"/>
    <w:rsid w:val="006B4AAD"/>
    <w:rsid w:val="006B5819"/>
    <w:rsid w:val="006C23F9"/>
    <w:rsid w:val="006C7178"/>
    <w:rsid w:val="006C7755"/>
    <w:rsid w:val="006C792A"/>
    <w:rsid w:val="006D0305"/>
    <w:rsid w:val="006D045D"/>
    <w:rsid w:val="006D22C5"/>
    <w:rsid w:val="006E414E"/>
    <w:rsid w:val="006F281E"/>
    <w:rsid w:val="006F49F9"/>
    <w:rsid w:val="00701BD8"/>
    <w:rsid w:val="00706618"/>
    <w:rsid w:val="00710AD8"/>
    <w:rsid w:val="00712507"/>
    <w:rsid w:val="0071715C"/>
    <w:rsid w:val="00720BC3"/>
    <w:rsid w:val="007240E8"/>
    <w:rsid w:val="00724495"/>
    <w:rsid w:val="007369E0"/>
    <w:rsid w:val="007375BC"/>
    <w:rsid w:val="00741647"/>
    <w:rsid w:val="00747958"/>
    <w:rsid w:val="00750F13"/>
    <w:rsid w:val="007514FC"/>
    <w:rsid w:val="00753565"/>
    <w:rsid w:val="00761537"/>
    <w:rsid w:val="00762E95"/>
    <w:rsid w:val="007653B0"/>
    <w:rsid w:val="00770BF1"/>
    <w:rsid w:val="00774E81"/>
    <w:rsid w:val="00781CE1"/>
    <w:rsid w:val="007823CA"/>
    <w:rsid w:val="007865F2"/>
    <w:rsid w:val="0079789A"/>
    <w:rsid w:val="007A170C"/>
    <w:rsid w:val="007A28B9"/>
    <w:rsid w:val="007A2B94"/>
    <w:rsid w:val="007A3F26"/>
    <w:rsid w:val="007A4C10"/>
    <w:rsid w:val="007A5346"/>
    <w:rsid w:val="007B2797"/>
    <w:rsid w:val="007B4482"/>
    <w:rsid w:val="007C57C2"/>
    <w:rsid w:val="007C615D"/>
    <w:rsid w:val="007C6B57"/>
    <w:rsid w:val="007D6D64"/>
    <w:rsid w:val="007D79AE"/>
    <w:rsid w:val="007E6E90"/>
    <w:rsid w:val="007F218A"/>
    <w:rsid w:val="007F5EDE"/>
    <w:rsid w:val="007F79C4"/>
    <w:rsid w:val="00800058"/>
    <w:rsid w:val="00803DA9"/>
    <w:rsid w:val="00810953"/>
    <w:rsid w:val="00822503"/>
    <w:rsid w:val="00823078"/>
    <w:rsid w:val="00826193"/>
    <w:rsid w:val="00831C17"/>
    <w:rsid w:val="00844407"/>
    <w:rsid w:val="00844C7E"/>
    <w:rsid w:val="00845732"/>
    <w:rsid w:val="00845B11"/>
    <w:rsid w:val="00854881"/>
    <w:rsid w:val="008572D9"/>
    <w:rsid w:val="00860196"/>
    <w:rsid w:val="00860725"/>
    <w:rsid w:val="00861E13"/>
    <w:rsid w:val="00873F23"/>
    <w:rsid w:val="00882F1F"/>
    <w:rsid w:val="008856F0"/>
    <w:rsid w:val="0089021A"/>
    <w:rsid w:val="00892496"/>
    <w:rsid w:val="0089505C"/>
    <w:rsid w:val="00896B19"/>
    <w:rsid w:val="00897665"/>
    <w:rsid w:val="008A6F22"/>
    <w:rsid w:val="008B5D8F"/>
    <w:rsid w:val="008B7BB6"/>
    <w:rsid w:val="008E443C"/>
    <w:rsid w:val="008E7B57"/>
    <w:rsid w:val="008F0A18"/>
    <w:rsid w:val="008F377D"/>
    <w:rsid w:val="008F4E0B"/>
    <w:rsid w:val="00903B44"/>
    <w:rsid w:val="009049DE"/>
    <w:rsid w:val="00907866"/>
    <w:rsid w:val="00907CE9"/>
    <w:rsid w:val="00915659"/>
    <w:rsid w:val="00915A6E"/>
    <w:rsid w:val="00917538"/>
    <w:rsid w:val="00936822"/>
    <w:rsid w:val="00940D8C"/>
    <w:rsid w:val="00943151"/>
    <w:rsid w:val="009449D2"/>
    <w:rsid w:val="00944F14"/>
    <w:rsid w:val="009453E1"/>
    <w:rsid w:val="009454A8"/>
    <w:rsid w:val="009468D8"/>
    <w:rsid w:val="00955A59"/>
    <w:rsid w:val="009571D7"/>
    <w:rsid w:val="00957FAB"/>
    <w:rsid w:val="0096050F"/>
    <w:rsid w:val="0096253C"/>
    <w:rsid w:val="00965EC9"/>
    <w:rsid w:val="00966659"/>
    <w:rsid w:val="00974028"/>
    <w:rsid w:val="0098055F"/>
    <w:rsid w:val="00987350"/>
    <w:rsid w:val="00987D70"/>
    <w:rsid w:val="00987E7E"/>
    <w:rsid w:val="009A199C"/>
    <w:rsid w:val="009A20E1"/>
    <w:rsid w:val="009A63ED"/>
    <w:rsid w:val="009A7C4D"/>
    <w:rsid w:val="009B7B63"/>
    <w:rsid w:val="009B7C52"/>
    <w:rsid w:val="009C2EBA"/>
    <w:rsid w:val="009C493D"/>
    <w:rsid w:val="009C7DB2"/>
    <w:rsid w:val="009D23F7"/>
    <w:rsid w:val="009D30E3"/>
    <w:rsid w:val="009D670A"/>
    <w:rsid w:val="009E48AE"/>
    <w:rsid w:val="009E50E5"/>
    <w:rsid w:val="009F1794"/>
    <w:rsid w:val="009F6529"/>
    <w:rsid w:val="009F6CE7"/>
    <w:rsid w:val="00A06577"/>
    <w:rsid w:val="00A07960"/>
    <w:rsid w:val="00A10005"/>
    <w:rsid w:val="00A27F13"/>
    <w:rsid w:val="00A32E8B"/>
    <w:rsid w:val="00A35615"/>
    <w:rsid w:val="00A35710"/>
    <w:rsid w:val="00A36C12"/>
    <w:rsid w:val="00A37108"/>
    <w:rsid w:val="00A41250"/>
    <w:rsid w:val="00A41D4E"/>
    <w:rsid w:val="00A510A2"/>
    <w:rsid w:val="00A52A8F"/>
    <w:rsid w:val="00A55155"/>
    <w:rsid w:val="00A566B6"/>
    <w:rsid w:val="00A62E21"/>
    <w:rsid w:val="00A640FF"/>
    <w:rsid w:val="00A83349"/>
    <w:rsid w:val="00A83B38"/>
    <w:rsid w:val="00A9733E"/>
    <w:rsid w:val="00AA4E2D"/>
    <w:rsid w:val="00AA6010"/>
    <w:rsid w:val="00AB33F6"/>
    <w:rsid w:val="00AB48D1"/>
    <w:rsid w:val="00AB580C"/>
    <w:rsid w:val="00AB5BEA"/>
    <w:rsid w:val="00AB7E56"/>
    <w:rsid w:val="00AC29D0"/>
    <w:rsid w:val="00AC4F48"/>
    <w:rsid w:val="00AD0573"/>
    <w:rsid w:val="00AD6EC2"/>
    <w:rsid w:val="00AD7576"/>
    <w:rsid w:val="00AE4C26"/>
    <w:rsid w:val="00AF2204"/>
    <w:rsid w:val="00AF6C56"/>
    <w:rsid w:val="00B0055B"/>
    <w:rsid w:val="00B012F3"/>
    <w:rsid w:val="00B0143C"/>
    <w:rsid w:val="00B0727F"/>
    <w:rsid w:val="00B1273F"/>
    <w:rsid w:val="00B13D8E"/>
    <w:rsid w:val="00B224CC"/>
    <w:rsid w:val="00B26BD8"/>
    <w:rsid w:val="00B30ECC"/>
    <w:rsid w:val="00B31112"/>
    <w:rsid w:val="00B53493"/>
    <w:rsid w:val="00B55D18"/>
    <w:rsid w:val="00B562E4"/>
    <w:rsid w:val="00B56CC8"/>
    <w:rsid w:val="00B64090"/>
    <w:rsid w:val="00B65281"/>
    <w:rsid w:val="00B65924"/>
    <w:rsid w:val="00B668FB"/>
    <w:rsid w:val="00B76B8E"/>
    <w:rsid w:val="00B80332"/>
    <w:rsid w:val="00B8058F"/>
    <w:rsid w:val="00B80FB7"/>
    <w:rsid w:val="00B819DD"/>
    <w:rsid w:val="00B8249B"/>
    <w:rsid w:val="00BA0A0D"/>
    <w:rsid w:val="00BA45AE"/>
    <w:rsid w:val="00BA4F4A"/>
    <w:rsid w:val="00BA66AD"/>
    <w:rsid w:val="00BB3EE1"/>
    <w:rsid w:val="00BC2DD3"/>
    <w:rsid w:val="00BC3591"/>
    <w:rsid w:val="00BC5DF3"/>
    <w:rsid w:val="00BC67B1"/>
    <w:rsid w:val="00BC7014"/>
    <w:rsid w:val="00BD52CF"/>
    <w:rsid w:val="00BD7CF3"/>
    <w:rsid w:val="00BE16D4"/>
    <w:rsid w:val="00BE44C2"/>
    <w:rsid w:val="00BE7DF4"/>
    <w:rsid w:val="00BF20BD"/>
    <w:rsid w:val="00BF2C53"/>
    <w:rsid w:val="00BF44E8"/>
    <w:rsid w:val="00C000C3"/>
    <w:rsid w:val="00C019A4"/>
    <w:rsid w:val="00C02E60"/>
    <w:rsid w:val="00C10095"/>
    <w:rsid w:val="00C1680B"/>
    <w:rsid w:val="00C240FD"/>
    <w:rsid w:val="00C24374"/>
    <w:rsid w:val="00C27DD7"/>
    <w:rsid w:val="00C302EF"/>
    <w:rsid w:val="00C36A7E"/>
    <w:rsid w:val="00C428D9"/>
    <w:rsid w:val="00C446C1"/>
    <w:rsid w:val="00C4641B"/>
    <w:rsid w:val="00C53907"/>
    <w:rsid w:val="00C6199A"/>
    <w:rsid w:val="00C62C70"/>
    <w:rsid w:val="00C63DD3"/>
    <w:rsid w:val="00C65BF0"/>
    <w:rsid w:val="00C71670"/>
    <w:rsid w:val="00C74C53"/>
    <w:rsid w:val="00C755AC"/>
    <w:rsid w:val="00C75B16"/>
    <w:rsid w:val="00C92EB8"/>
    <w:rsid w:val="00C941F0"/>
    <w:rsid w:val="00C97431"/>
    <w:rsid w:val="00C9759C"/>
    <w:rsid w:val="00CA0E55"/>
    <w:rsid w:val="00CA3CD8"/>
    <w:rsid w:val="00CB5A23"/>
    <w:rsid w:val="00CC48B6"/>
    <w:rsid w:val="00CC764A"/>
    <w:rsid w:val="00CD068F"/>
    <w:rsid w:val="00CD5119"/>
    <w:rsid w:val="00CD764F"/>
    <w:rsid w:val="00CE0E66"/>
    <w:rsid w:val="00CE2316"/>
    <w:rsid w:val="00CE3455"/>
    <w:rsid w:val="00D00835"/>
    <w:rsid w:val="00D03E01"/>
    <w:rsid w:val="00D160B7"/>
    <w:rsid w:val="00D17000"/>
    <w:rsid w:val="00D241D3"/>
    <w:rsid w:val="00D253E1"/>
    <w:rsid w:val="00D26084"/>
    <w:rsid w:val="00D27FA8"/>
    <w:rsid w:val="00D30DF2"/>
    <w:rsid w:val="00D32946"/>
    <w:rsid w:val="00D34782"/>
    <w:rsid w:val="00D365D3"/>
    <w:rsid w:val="00D42F7B"/>
    <w:rsid w:val="00D4440E"/>
    <w:rsid w:val="00D46A5D"/>
    <w:rsid w:val="00D47B5C"/>
    <w:rsid w:val="00D55089"/>
    <w:rsid w:val="00D56ECF"/>
    <w:rsid w:val="00D63051"/>
    <w:rsid w:val="00D64605"/>
    <w:rsid w:val="00D65286"/>
    <w:rsid w:val="00D65684"/>
    <w:rsid w:val="00D6586F"/>
    <w:rsid w:val="00D672AA"/>
    <w:rsid w:val="00D75157"/>
    <w:rsid w:val="00D83394"/>
    <w:rsid w:val="00D94430"/>
    <w:rsid w:val="00D94E4F"/>
    <w:rsid w:val="00D96A2F"/>
    <w:rsid w:val="00DA76FA"/>
    <w:rsid w:val="00DB16D7"/>
    <w:rsid w:val="00DB19BE"/>
    <w:rsid w:val="00DB2B49"/>
    <w:rsid w:val="00DB50C7"/>
    <w:rsid w:val="00DB5520"/>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B02"/>
    <w:rsid w:val="00DE57DC"/>
    <w:rsid w:val="00DE7B34"/>
    <w:rsid w:val="00DF01DF"/>
    <w:rsid w:val="00DF0684"/>
    <w:rsid w:val="00DF6E36"/>
    <w:rsid w:val="00E018FB"/>
    <w:rsid w:val="00E024EA"/>
    <w:rsid w:val="00E07C5F"/>
    <w:rsid w:val="00E13547"/>
    <w:rsid w:val="00E135C8"/>
    <w:rsid w:val="00E15D6B"/>
    <w:rsid w:val="00E17ECF"/>
    <w:rsid w:val="00E21DC0"/>
    <w:rsid w:val="00E26938"/>
    <w:rsid w:val="00E3453C"/>
    <w:rsid w:val="00E347CE"/>
    <w:rsid w:val="00E35419"/>
    <w:rsid w:val="00E35834"/>
    <w:rsid w:val="00E36F71"/>
    <w:rsid w:val="00E4035B"/>
    <w:rsid w:val="00E45582"/>
    <w:rsid w:val="00E456C3"/>
    <w:rsid w:val="00E46FDF"/>
    <w:rsid w:val="00E53767"/>
    <w:rsid w:val="00E634BA"/>
    <w:rsid w:val="00E65ABE"/>
    <w:rsid w:val="00E66951"/>
    <w:rsid w:val="00E6730E"/>
    <w:rsid w:val="00E6763B"/>
    <w:rsid w:val="00E70DFB"/>
    <w:rsid w:val="00E72933"/>
    <w:rsid w:val="00E74D81"/>
    <w:rsid w:val="00E864DA"/>
    <w:rsid w:val="00E93E1D"/>
    <w:rsid w:val="00EA3B12"/>
    <w:rsid w:val="00EB1E09"/>
    <w:rsid w:val="00EB58BD"/>
    <w:rsid w:val="00EB752E"/>
    <w:rsid w:val="00EC0FFC"/>
    <w:rsid w:val="00EC2EF5"/>
    <w:rsid w:val="00EC4EB8"/>
    <w:rsid w:val="00EC7184"/>
    <w:rsid w:val="00ED2E33"/>
    <w:rsid w:val="00ED3024"/>
    <w:rsid w:val="00ED6217"/>
    <w:rsid w:val="00ED65F1"/>
    <w:rsid w:val="00ED71B6"/>
    <w:rsid w:val="00EE5474"/>
    <w:rsid w:val="00EF0E10"/>
    <w:rsid w:val="00EF2076"/>
    <w:rsid w:val="00EF2AFB"/>
    <w:rsid w:val="00EF787E"/>
    <w:rsid w:val="00F02919"/>
    <w:rsid w:val="00F20D1B"/>
    <w:rsid w:val="00F22995"/>
    <w:rsid w:val="00F23C51"/>
    <w:rsid w:val="00F309BD"/>
    <w:rsid w:val="00F33D5C"/>
    <w:rsid w:val="00F3402F"/>
    <w:rsid w:val="00F431FB"/>
    <w:rsid w:val="00F461A3"/>
    <w:rsid w:val="00F47130"/>
    <w:rsid w:val="00F51DDF"/>
    <w:rsid w:val="00F53ACB"/>
    <w:rsid w:val="00F54A61"/>
    <w:rsid w:val="00F60E46"/>
    <w:rsid w:val="00F6184E"/>
    <w:rsid w:val="00F728F2"/>
    <w:rsid w:val="00F8007E"/>
    <w:rsid w:val="00F81C8A"/>
    <w:rsid w:val="00F84805"/>
    <w:rsid w:val="00F84A4A"/>
    <w:rsid w:val="00F97CAC"/>
    <w:rsid w:val="00FA09B2"/>
    <w:rsid w:val="00FA21B5"/>
    <w:rsid w:val="00FA2B02"/>
    <w:rsid w:val="00FA32C4"/>
    <w:rsid w:val="00FA5661"/>
    <w:rsid w:val="00FB1115"/>
    <w:rsid w:val="00FB18F6"/>
    <w:rsid w:val="00FB2C51"/>
    <w:rsid w:val="00FB401E"/>
    <w:rsid w:val="00FB4AE4"/>
    <w:rsid w:val="00FC29D6"/>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F97F4CB"/>
  <w15:docId w15:val="{FF48DC4C-46E9-4529-A83D-9B6EE478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7293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table" w:customStyle="1" w:styleId="QCAAtablestyle14">
    <w:name w:val="QCAA table style 14"/>
    <w:basedOn w:val="TableNormal"/>
    <w:rsid w:val="007C57C2"/>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7C57C2"/>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raliancurriculum.edu.au/Curriculum/ContentDescription/ACMNA238" TargetMode="Externa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www.australiancurriculum.edu.au/copyright-and-terms-of-u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qcaa.qld.edu.au/copyrigh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martcopying.edu.au/guidelines/copyright-basics/indigenous-cultural-and-intellectual-property-right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Unchecked%20plans\Year_10_plan_Mathemati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3260D7FE21C45BCBC43A2FC6EB7C277"/>
        <w:category>
          <w:name w:val="General"/>
          <w:gallery w:val="placeholder"/>
        </w:category>
        <w:types>
          <w:type w:val="bbPlcHdr"/>
        </w:types>
        <w:behaviors>
          <w:behavior w:val="content"/>
        </w:behaviors>
        <w:guid w:val="{BC886E26-310E-447C-8ED0-78D3A4FA6B78}"/>
      </w:docPartPr>
      <w:docPartBody>
        <w:p w:rsidR="00E843A7" w:rsidRDefault="00292507">
          <w:pPr>
            <w:pStyle w:val="B3260D7FE21C45BCBC43A2FC6EB7C277"/>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189A103902A7462C85287653869DB308"/>
        <w:category>
          <w:name w:val="General"/>
          <w:gallery w:val="placeholder"/>
        </w:category>
        <w:types>
          <w:type w:val="bbPlcHdr"/>
        </w:types>
        <w:behaviors>
          <w:behavior w:val="content"/>
        </w:behaviors>
        <w:guid w:val="{FDE298F3-829E-428D-8033-4AAF54149FFF}"/>
      </w:docPartPr>
      <w:docPartBody>
        <w:p w:rsidR="00E843A7" w:rsidRDefault="00292507">
          <w:pPr>
            <w:pStyle w:val="189A103902A7462C85287653869DB308"/>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4A0CA3D112AA4B6E966949C97C88EF0B"/>
        <w:category>
          <w:name w:val="General"/>
          <w:gallery w:val="placeholder"/>
        </w:category>
        <w:types>
          <w:type w:val="bbPlcHdr"/>
        </w:types>
        <w:behaviors>
          <w:behavior w:val="content"/>
        </w:behaviors>
        <w:guid w:val="{B492F61E-F0DD-4515-869B-BC41D5763D1D}"/>
      </w:docPartPr>
      <w:docPartBody>
        <w:p w:rsidR="00E843A7" w:rsidRDefault="00292507">
          <w:pPr>
            <w:pStyle w:val="4A0CA3D112AA4B6E966949C97C88EF0B"/>
          </w:pPr>
          <w:r w:rsidRPr="00D94E4F">
            <w:rPr>
              <w:shd w:val="clear" w:color="auto" w:fill="F7EA9F"/>
            </w:rPr>
            <w:t>[Year]</w:t>
          </w:r>
        </w:p>
      </w:docPartBody>
    </w:docPart>
    <w:docPart>
      <w:docPartPr>
        <w:name w:val="F636101200EB4402B4AB2E70FC1CEC4B"/>
        <w:category>
          <w:name w:val="General"/>
          <w:gallery w:val="placeholder"/>
        </w:category>
        <w:types>
          <w:type w:val="bbPlcHdr"/>
        </w:types>
        <w:behaviors>
          <w:behavior w:val="content"/>
        </w:behaviors>
        <w:guid w:val="{E432CAD7-057D-4AF3-BFD0-5A44B203FD0B}"/>
      </w:docPartPr>
      <w:docPartBody>
        <w:p w:rsidR="00E843A7" w:rsidRDefault="00292507">
          <w:pPr>
            <w:pStyle w:val="F636101200EB4402B4AB2E70FC1CEC4B"/>
          </w:pPr>
          <w:r w:rsidRPr="0014766D">
            <w:rPr>
              <w:b/>
              <w:bCs/>
              <w:shd w:val="clear" w:color="auto" w:fill="70AD47" w:themeFill="accent6"/>
            </w:rPr>
            <w:t>[Year level/band curriculum and assessment plan]</w:t>
          </w:r>
        </w:p>
      </w:docPartBody>
    </w:docPart>
    <w:docPart>
      <w:docPartPr>
        <w:name w:val="431F351ED2D349B5ADE6128B384400A1"/>
        <w:category>
          <w:name w:val="General"/>
          <w:gallery w:val="placeholder"/>
        </w:category>
        <w:types>
          <w:type w:val="bbPlcHdr"/>
        </w:types>
        <w:behaviors>
          <w:behavior w:val="content"/>
        </w:behaviors>
        <w:guid w:val="{F01B271E-A73A-42AC-86CA-4768301A14DA}"/>
      </w:docPartPr>
      <w:docPartBody>
        <w:p w:rsidR="00E843A7" w:rsidRDefault="00292507">
          <w:pPr>
            <w:pStyle w:val="431F351ED2D349B5ADE6128B384400A1"/>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94255568400C4576BCD713D22F2B1A22"/>
        <w:category>
          <w:name w:val="General"/>
          <w:gallery w:val="placeholder"/>
        </w:category>
        <w:types>
          <w:type w:val="bbPlcHdr"/>
        </w:types>
        <w:behaviors>
          <w:behavior w:val="content"/>
        </w:behaviors>
        <w:guid w:val="{440FF93F-906C-4BA0-905E-0D922C71205A}"/>
      </w:docPartPr>
      <w:docPartBody>
        <w:p w:rsidR="00E843A7" w:rsidRDefault="00292507">
          <w:pPr>
            <w:pStyle w:val="94255568400C4576BCD713D22F2B1A22"/>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E6AFA61F812048DC80FD1B28B0846787"/>
        <w:category>
          <w:name w:val="General"/>
          <w:gallery w:val="placeholder"/>
        </w:category>
        <w:types>
          <w:type w:val="bbPlcHdr"/>
        </w:types>
        <w:behaviors>
          <w:behavior w:val="content"/>
        </w:behaviors>
        <w:guid w:val="{531FA52E-0921-4E4C-A4AF-6B1D96F24183}"/>
      </w:docPartPr>
      <w:docPartBody>
        <w:p w:rsidR="00E843A7" w:rsidRDefault="00292507">
          <w:pPr>
            <w:pStyle w:val="E6AFA61F812048DC80FD1B28B084678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07"/>
    <w:rsid w:val="00292507"/>
    <w:rsid w:val="002C3141"/>
    <w:rsid w:val="002D403A"/>
    <w:rsid w:val="003329DB"/>
    <w:rsid w:val="006C2BCE"/>
    <w:rsid w:val="00791148"/>
    <w:rsid w:val="00A43BFC"/>
    <w:rsid w:val="00AD7A91"/>
    <w:rsid w:val="00C327F1"/>
    <w:rsid w:val="00E843A7"/>
    <w:rsid w:val="00EB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260D7FE21C45BCBC43A2FC6EB7C277">
    <w:name w:val="B3260D7FE21C45BCBC43A2FC6EB7C277"/>
  </w:style>
  <w:style w:type="paragraph" w:customStyle="1" w:styleId="189A103902A7462C85287653869DB308">
    <w:name w:val="189A103902A7462C85287653869DB308"/>
  </w:style>
  <w:style w:type="paragraph" w:customStyle="1" w:styleId="4A0CA3D112AA4B6E966949C97C88EF0B">
    <w:name w:val="4A0CA3D112AA4B6E966949C97C88EF0B"/>
  </w:style>
  <w:style w:type="paragraph" w:customStyle="1" w:styleId="F636101200EB4402B4AB2E70FC1CEC4B">
    <w:name w:val="F636101200EB4402B4AB2E70FC1CEC4B"/>
  </w:style>
  <w:style w:type="paragraph" w:customStyle="1" w:styleId="431F351ED2D349B5ADE6128B384400A1">
    <w:name w:val="431F351ED2D349B5ADE6128B384400A1"/>
  </w:style>
  <w:style w:type="paragraph" w:customStyle="1" w:styleId="94255568400C4576BCD713D22F2B1A22">
    <w:name w:val="94255568400C4576BCD713D22F2B1A22"/>
  </w:style>
  <w:style w:type="paragraph" w:customStyle="1" w:styleId="E6AFA61F812048DC80FD1B28B0846787">
    <w:name w:val="E6AFA61F812048DC80FD1B28B0846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QCAA xmlns="http://QCAA.qld.edu.au">
  <DocumentDate/>
  <DocumentTitle/>
  <DocumentSubtitle>Example </DocumentSubtitle>
  <DocumentJobNumber/>
  <DocumentField1/>
  <DocumentField2/>
  <DocumentField3/>
  <DocumentField4/>
  <DocumentField5/>
  <DocumentField6/>
  <DocumentField7/>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2021-10-06T00:00:00</DocumentDate>
  <DocumentTitle>Year 10 Mathematics curriculum and assessment plan </DocumentTitle>
  <DocumentSubtitle/>
  <DocumentJobNumber/>
  <DocumentField1/>
  <DocumentField2/>
  <DocumentField3/>
  <DocumentField4/>
</QCAA>
</file>

<file path=customXml/itemProps1.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8FB42799-0D5C-466E-8822-4323E3EBF4F9}">
  <ds:schemaRefs>
    <ds:schemaRef ds:uri="http://schemas.openxmlformats.org/officeDocument/2006/bibliography"/>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Year_10_plan_Mathematics.dotx</Template>
  <TotalTime>3</TotalTime>
  <Pages>5</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Year 10 Mathematics curriculum and assessment plan: Example</vt:lpstr>
    </vt:vector>
  </TitlesOfParts>
  <Company>Queensland Curriculum and Assessment Authority</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Mathematics curriculum and assessment plan: Example</dc:title>
  <dc:subject>Mathematics</dc:subject>
  <dc:creator>Queensland Curriculum and Assessment Authority</dc:creator>
  <dc:description>Creative Commons Attribution 4.0 International Licence https://creativecommons.org/licenses/by/4.0/legalcode Please give attribution to:  State of Queensland (QCAA) 2021</dc:description>
  <cp:lastModifiedBy>CMED</cp:lastModifiedBy>
  <cp:revision>3</cp:revision>
  <cp:lastPrinted>2017-07-03T22:50:00Z</cp:lastPrinted>
  <dcterms:created xsi:type="dcterms:W3CDTF">2021-10-14T01:14:00Z</dcterms:created>
  <dcterms:modified xsi:type="dcterms:W3CDTF">2021-10-14T02:07:00Z</dcterms:modified>
  <cp:category>210141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