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X="1" w:tblpY="285"/>
        <w:tblOverlap w:val="never"/>
        <w:tblW w:w="22113" w:type="dxa"/>
        <w:tblBorders>
          <w:bottom w:val="single" w:sz="12" w:space="0" w:color="D52B1E"/>
        </w:tblBorders>
        <w:tblCellMar>
          <w:left w:w="0" w:type="dxa"/>
        </w:tblCellMar>
        <w:tblLook w:val="0600" w:firstRow="0" w:lastRow="0" w:firstColumn="0" w:lastColumn="0" w:noHBand="1" w:noVBand="1"/>
      </w:tblPr>
      <w:tblGrid>
        <w:gridCol w:w="22113"/>
      </w:tblGrid>
      <w:tr w:rsidR="00DD64E1" w:rsidRPr="002D704B" w14:paraId="4F5B1872" w14:textId="77777777" w:rsidTr="000C1CBA">
        <w:trPr>
          <w:trHeight w:val="1615"/>
        </w:trPr>
        <w:tc>
          <w:tcPr>
            <w:tcW w:w="22113" w:type="dxa"/>
            <w:tcBorders>
              <w:bottom w:val="single" w:sz="12" w:space="0" w:color="D52B1E"/>
            </w:tcBorders>
            <w:vAlign w:val="bottom"/>
          </w:tcPr>
          <w:bookmarkStart w:id="0" w:name="_Toc234219367"/>
          <w:p w14:paraId="31B279AE" w14:textId="77777777" w:rsidR="00DD64E1" w:rsidRPr="002D704B" w:rsidRDefault="00F47C3E" w:rsidP="002D704B">
            <w:pPr>
              <w:pStyle w:val="Title"/>
            </w:pPr>
            <w:sdt>
              <w:sdtPr>
                <w:alias w:val="Document Title"/>
                <w:tag w:val="DocumentTitle"/>
                <w:id w:val="-1468812136"/>
                <w:placeholder>
                  <w:docPart w:val="B6AC49C0B94B41208755B873882C373F"/>
                </w:placeholder>
                <w:dataBinding w:prefixMappings="xmlns:ns0='http://QCAA.qld.edu.au' " w:xpath="/ns0:QCAA[1]/ns0:DocumentTitle[1]" w:storeItemID="{029BFAC3-A859-40E3-910E-708531540F3D}"/>
                <w:text/>
              </w:sdtPr>
              <w:sdtEndPr/>
              <w:sdtContent>
                <w:r w:rsidR="00DF6E36" w:rsidRPr="00DF6E36">
                  <w:t xml:space="preserve">Year </w:t>
                </w:r>
                <w:r w:rsidR="00965A2A">
                  <w:t>9 Mathematics</w:t>
                </w:r>
                <w:r w:rsidR="00DF6E36" w:rsidRPr="00DF6E36">
                  <w:t xml:space="preserve"> curriculum and assessment plan </w:t>
                </w:r>
              </w:sdtContent>
            </w:sdt>
          </w:p>
          <w:sdt>
            <w:sdtPr>
              <w:alias w:val="Document Subtitle"/>
              <w:tag w:val="DocumentSubtitle"/>
              <w:id w:val="892237444"/>
              <w:placeholder>
                <w:docPart w:val="A6FB30B4F9934AC997DCE7A49AA0FB2F"/>
              </w:placeholder>
              <w:dataBinding w:prefixMappings="xmlns:ns0='http://QCAA.qld.edu.au' " w:xpath="/ns0:QCAA[1]/ns0:DocumentSubtitle[1]" w:storeItemID="{ECF99190-FDC9-4DC7-BF4D-418697363580}"/>
              <w:text/>
            </w:sdtPr>
            <w:sdtEndPr/>
            <w:sdtContent>
              <w:p w14:paraId="26F2E580" w14:textId="77777777" w:rsidR="00DD64E1" w:rsidRPr="002D704B" w:rsidRDefault="00965A2A" w:rsidP="002D704B">
                <w:pPr>
                  <w:pStyle w:val="Subtitle"/>
                </w:pPr>
                <w:r>
                  <w:t>Example</w:t>
                </w:r>
                <w:r w:rsidR="00DF6E36" w:rsidRPr="00DF6E36">
                  <w:t xml:space="preserve"> </w:t>
                </w:r>
              </w:p>
            </w:sdtContent>
          </w:sdt>
        </w:tc>
      </w:tr>
    </w:tbl>
    <w:p w14:paraId="74C5A90C" w14:textId="77777777" w:rsidR="009F6529" w:rsidRPr="00B26BD8" w:rsidRDefault="009F6529" w:rsidP="009F6529">
      <w:pPr>
        <w:rPr>
          <w:sz w:val="2"/>
          <w:szCs w:val="2"/>
        </w:rPr>
      </w:pPr>
      <w:bookmarkStart w:id="1" w:name="_Toc488841092"/>
      <w:bookmarkEnd w:id="0"/>
    </w:p>
    <w:p w14:paraId="5DF3372E" w14:textId="77777777" w:rsidR="00B26BD8" w:rsidRPr="00B26BD8" w:rsidRDefault="00B26BD8" w:rsidP="009F6529">
      <w:pPr>
        <w:rPr>
          <w:sz w:val="2"/>
          <w:szCs w:val="2"/>
        </w:rPr>
        <w:sectPr w:rsidR="00B26BD8" w:rsidRPr="00B26BD8" w:rsidSect="000C1CBA">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docGrid w:linePitch="360"/>
        </w:sectPr>
      </w:pPr>
    </w:p>
    <w:p w14:paraId="5698C96F" w14:textId="77777777" w:rsidR="00B26BD8" w:rsidRPr="00B26BD8" w:rsidRDefault="00B26BD8" w:rsidP="00B26BD8"/>
    <w:bookmarkEnd w:id="1"/>
    <w:p w14:paraId="3E748C7A" w14:textId="77777777" w:rsidR="00AB580C" w:rsidRPr="00FC155E" w:rsidRDefault="000463BF" w:rsidP="00DF6E36">
      <w:pPr>
        <w:pStyle w:val="Heading1"/>
      </w:pPr>
      <w:r>
        <w:t>Curriculum overview</w:t>
      </w:r>
      <w:bookmarkStart w:id="3" w:name="_Hlk33697583"/>
    </w:p>
    <w:tbl>
      <w:tblPr>
        <w:tblStyle w:val="QCAAtablestyle1"/>
        <w:tblW w:w="5000" w:type="pct"/>
        <w:tblLook w:val="0620" w:firstRow="1" w:lastRow="0" w:firstColumn="0" w:lastColumn="0" w:noHBand="1" w:noVBand="1"/>
      </w:tblPr>
      <w:tblGrid>
        <w:gridCol w:w="10481"/>
        <w:gridCol w:w="10481"/>
      </w:tblGrid>
      <w:tr w:rsidR="00AB580C" w:rsidRPr="009A061A" w14:paraId="72FDE009" w14:textId="77777777" w:rsidTr="004725E5">
        <w:trPr>
          <w:cnfStyle w:val="100000000000" w:firstRow="1" w:lastRow="0" w:firstColumn="0" w:lastColumn="0" w:oddVBand="0" w:evenVBand="0" w:oddHBand="0" w:evenHBand="0" w:firstRowFirstColumn="0" w:firstRowLastColumn="0" w:lastRowFirstColumn="0" w:lastRowLastColumn="0"/>
          <w:trHeight w:val="346"/>
        </w:trPr>
        <w:tc>
          <w:tcPr>
            <w:tcW w:w="2500" w:type="pct"/>
          </w:tcPr>
          <w:p w14:paraId="183E0667" w14:textId="77777777" w:rsidR="00AB580C" w:rsidRPr="009A061A" w:rsidRDefault="00AB580C" w:rsidP="004725E5">
            <w:pPr>
              <w:pStyle w:val="Tableheading"/>
            </w:pPr>
            <w:r w:rsidRPr="009A061A">
              <w:t>Year level description</w:t>
            </w:r>
          </w:p>
        </w:tc>
        <w:tc>
          <w:tcPr>
            <w:tcW w:w="2500" w:type="pct"/>
            <w:shd w:val="clear" w:color="auto" w:fill="808080" w:themeFill="background1" w:themeFillShade="80"/>
          </w:tcPr>
          <w:p w14:paraId="1E886E58" w14:textId="77777777" w:rsidR="00AB580C" w:rsidRPr="00B54F18" w:rsidRDefault="00AB580C" w:rsidP="004725E5">
            <w:pPr>
              <w:pStyle w:val="Tableheading"/>
            </w:pPr>
            <w:r w:rsidRPr="009A061A">
              <w:t>Cohort description</w:t>
            </w:r>
            <w:r>
              <w:t xml:space="preserve"> </w:t>
            </w:r>
          </w:p>
        </w:tc>
      </w:tr>
      <w:tr w:rsidR="00AB580C" w14:paraId="2BE333A4" w14:textId="77777777" w:rsidTr="00955E6F">
        <w:trPr>
          <w:trHeight w:val="494"/>
        </w:trPr>
        <w:tc>
          <w:tcPr>
            <w:tcW w:w="2500" w:type="pct"/>
            <w:vMerge w:val="restart"/>
          </w:tcPr>
          <w:p w14:paraId="1088B0B5" w14:textId="77777777" w:rsidR="00944521" w:rsidRPr="00944521" w:rsidRDefault="00944521" w:rsidP="00944521">
            <w:pPr>
              <w:spacing w:before="100" w:beforeAutospacing="1" w:after="100" w:afterAutospacing="1"/>
              <w:contextualSpacing/>
              <w:rPr>
                <w:rFonts w:cstheme="minorHAnsi"/>
                <w:color w:val="222222"/>
                <w:sz w:val="19"/>
                <w:szCs w:val="19"/>
                <w:lang w:val="en"/>
              </w:rPr>
            </w:pPr>
            <w:r w:rsidRPr="00944521">
              <w:rPr>
                <w:rFonts w:cstheme="minorHAnsi"/>
                <w:color w:val="222222"/>
                <w:sz w:val="19"/>
                <w:szCs w:val="19"/>
                <w:lang w:val="en"/>
              </w:rPr>
              <w:t xml:space="preserve">The proficiency strands </w:t>
            </w:r>
            <w:r w:rsidRPr="00944521">
              <w:rPr>
                <w:rFonts w:cstheme="minorHAnsi"/>
                <w:b/>
                <w:bCs/>
                <w:color w:val="222222"/>
                <w:sz w:val="19"/>
                <w:szCs w:val="19"/>
                <w:lang w:val="en"/>
              </w:rPr>
              <w:t>understanding, fluency, problem-solving</w:t>
            </w:r>
            <w:r w:rsidRPr="00944521">
              <w:rPr>
                <w:rFonts w:cstheme="minorHAnsi"/>
                <w:color w:val="222222"/>
                <w:sz w:val="19"/>
                <w:szCs w:val="19"/>
                <w:lang w:val="en"/>
              </w:rPr>
              <w:t xml:space="preserve"> and </w:t>
            </w:r>
            <w:r w:rsidRPr="00944521">
              <w:rPr>
                <w:rFonts w:cstheme="minorHAnsi"/>
                <w:b/>
                <w:bCs/>
                <w:color w:val="222222"/>
                <w:sz w:val="19"/>
                <w:szCs w:val="19"/>
                <w:lang w:val="en"/>
              </w:rPr>
              <w:t>reasoning</w:t>
            </w:r>
            <w:r w:rsidRPr="00944521">
              <w:rPr>
                <w:rFonts w:cstheme="minorHAnsi"/>
                <w:color w:val="222222"/>
                <w:sz w:val="19"/>
                <w:szCs w:val="19"/>
                <w:lang w:val="en"/>
              </w:rPr>
              <w:t xml:space="preserve"> are an integral part of mathematics content across the three content strands: number and algebra, measurement and geometry, and statistics and probability. The proficiencies reinforce the significance of working mathematically within the content and describe how the content is explored or developed. They provide the language to build in the developmental aspects of the learning of mathematics. The achievement standards reflect the content and encompass the proficiencies.</w:t>
            </w:r>
            <w:r>
              <w:rPr>
                <w:rFonts w:cstheme="minorHAnsi"/>
                <w:color w:val="222222"/>
                <w:sz w:val="19"/>
                <w:szCs w:val="19"/>
                <w:lang w:val="en"/>
              </w:rPr>
              <w:t xml:space="preserve"> </w:t>
            </w:r>
          </w:p>
          <w:p w14:paraId="66EFD7E8" w14:textId="77777777" w:rsidR="00944521" w:rsidRPr="00944521" w:rsidRDefault="00944521" w:rsidP="00944521">
            <w:pPr>
              <w:pStyle w:val="TableBullet"/>
              <w:numPr>
                <w:ilvl w:val="0"/>
                <w:numId w:val="0"/>
              </w:numPr>
              <w:ind w:left="170" w:hanging="170"/>
              <w:contextualSpacing/>
              <w:rPr>
                <w:lang w:val="en"/>
              </w:rPr>
            </w:pPr>
            <w:r w:rsidRPr="00944521">
              <w:rPr>
                <w:lang w:val="en"/>
              </w:rPr>
              <w:t>At this year level:</w:t>
            </w:r>
          </w:p>
          <w:p w14:paraId="1A3ADC6A" w14:textId="665A107A" w:rsidR="00944521" w:rsidRPr="00944521" w:rsidRDefault="00944521" w:rsidP="00944521">
            <w:pPr>
              <w:pStyle w:val="TableBullet"/>
              <w:contextualSpacing/>
              <w:rPr>
                <w:lang w:val="en"/>
              </w:rPr>
            </w:pPr>
            <w:r w:rsidRPr="00944521">
              <w:rPr>
                <w:b/>
                <w:bCs/>
                <w:lang w:val="en"/>
              </w:rPr>
              <w:t>understanding</w:t>
            </w:r>
            <w:r w:rsidRPr="00944521">
              <w:rPr>
                <w:lang w:val="en"/>
              </w:rPr>
              <w:t xml:space="preserve"> includes describing the relationship between graphs and equations, simplifying a range of algebraic </w:t>
            </w:r>
            <w:r w:rsidR="00227003" w:rsidRPr="00944521">
              <w:rPr>
                <w:lang w:val="en"/>
              </w:rPr>
              <w:t>expressions,</w:t>
            </w:r>
            <w:r w:rsidRPr="00944521">
              <w:rPr>
                <w:lang w:val="en"/>
              </w:rPr>
              <w:t xml:space="preserve"> and explaining the use of relative frequencies to estimate probabilities and of the trigonometric ratios for right-angle triangles</w:t>
            </w:r>
          </w:p>
          <w:p w14:paraId="5F268F05" w14:textId="77777777" w:rsidR="00944521" w:rsidRPr="00944521" w:rsidRDefault="00944521" w:rsidP="00944521">
            <w:pPr>
              <w:pStyle w:val="TableBullet"/>
              <w:contextualSpacing/>
              <w:rPr>
                <w:lang w:val="en"/>
              </w:rPr>
            </w:pPr>
            <w:r w:rsidRPr="00944521">
              <w:rPr>
                <w:b/>
                <w:bCs/>
                <w:lang w:val="en"/>
              </w:rPr>
              <w:t>fluency</w:t>
            </w:r>
            <w:r w:rsidRPr="00944521">
              <w:rPr>
                <w:lang w:val="en"/>
              </w:rPr>
              <w:t xml:space="preserve"> includes applying the index laws to expressions with integer indices, expressing numbers in scientific notation, listing outcomes for experiments, developing familiarity with calculations involving the Cartesian plane and calculating areas of shapes and surface areas of prisms</w:t>
            </w:r>
          </w:p>
          <w:p w14:paraId="65499BB7" w14:textId="77777777" w:rsidR="00944521" w:rsidRPr="00944521" w:rsidRDefault="00944521" w:rsidP="00944521">
            <w:pPr>
              <w:pStyle w:val="TableBullet"/>
              <w:contextualSpacing/>
              <w:rPr>
                <w:lang w:val="en"/>
              </w:rPr>
            </w:pPr>
            <w:r w:rsidRPr="00944521">
              <w:rPr>
                <w:b/>
                <w:bCs/>
                <w:lang w:val="en"/>
              </w:rPr>
              <w:t>problem-solving</w:t>
            </w:r>
            <w:r w:rsidRPr="00944521">
              <w:rPr>
                <w:lang w:val="en"/>
              </w:rPr>
              <w:t xml:space="preserve"> includes formulating and modelling practical situations involving surface areas and volumes of right prisms, applying ratio and scale factors to similar figures, solving problems involving right-angle trigonometry and collecting data from secondary sources to investigate an issue</w:t>
            </w:r>
          </w:p>
          <w:p w14:paraId="53E7A0B5" w14:textId="77777777" w:rsidR="00AB580C" w:rsidRPr="00944521" w:rsidRDefault="00944521" w:rsidP="00944521">
            <w:pPr>
              <w:pStyle w:val="TableBullet"/>
              <w:contextualSpacing/>
              <w:rPr>
                <w:rFonts w:ascii="Helvetica" w:hAnsi="Helvetica" w:cs="Helvetica"/>
                <w:szCs w:val="22"/>
                <w:lang w:val="en"/>
              </w:rPr>
            </w:pPr>
            <w:r w:rsidRPr="00944521">
              <w:rPr>
                <w:b/>
                <w:bCs/>
                <w:lang w:val="en"/>
              </w:rPr>
              <w:t>reasoning</w:t>
            </w:r>
            <w:r w:rsidRPr="00944521">
              <w:rPr>
                <w:lang w:val="en"/>
              </w:rPr>
              <w:t xml:space="preserve"> includes following mathematical arguments, evaluating media reports and using statistical knowledge to clarify situations, developing strategies in investigating similarity and sketching linear graphs.</w:t>
            </w:r>
          </w:p>
        </w:tc>
        <w:tc>
          <w:tcPr>
            <w:tcW w:w="2500" w:type="pct"/>
          </w:tcPr>
          <w:p w14:paraId="780D28CD" w14:textId="77777777" w:rsidR="00AB580C" w:rsidRPr="000D1107" w:rsidRDefault="008303E9" w:rsidP="008303E9">
            <w:pPr>
              <w:pStyle w:val="Tabletext"/>
            </w:pPr>
            <w:r>
              <w:rPr>
                <w:szCs w:val="19"/>
              </w:rPr>
              <w:t>This year level plan has not been developed with a specific cohort in mind. It is provided as an example of the intent of the Australian Curriculum: Mathematics, and reflective of QCAA advice and resources.</w:t>
            </w:r>
          </w:p>
        </w:tc>
      </w:tr>
      <w:tr w:rsidR="00AB580C" w14:paraId="57238D96" w14:textId="77777777" w:rsidTr="004725E5">
        <w:trPr>
          <w:trHeight w:val="254"/>
        </w:trPr>
        <w:tc>
          <w:tcPr>
            <w:tcW w:w="2500" w:type="pct"/>
            <w:vMerge/>
          </w:tcPr>
          <w:p w14:paraId="4640D519" w14:textId="77777777" w:rsidR="00AB580C" w:rsidRPr="002C70AE" w:rsidRDefault="00AB580C" w:rsidP="004725E5">
            <w:pPr>
              <w:pStyle w:val="Instructiontowriters"/>
            </w:pPr>
          </w:p>
        </w:tc>
        <w:tc>
          <w:tcPr>
            <w:tcW w:w="2500" w:type="pct"/>
            <w:tcBorders>
              <w:bottom w:val="single" w:sz="12" w:space="0" w:color="FF0000"/>
            </w:tcBorders>
            <w:shd w:val="clear" w:color="auto" w:fill="808080" w:themeFill="background1" w:themeFillShade="80"/>
          </w:tcPr>
          <w:p w14:paraId="403BF49A" w14:textId="77777777" w:rsidR="00AB580C" w:rsidRPr="00636FB7" w:rsidRDefault="00AB580C" w:rsidP="004725E5">
            <w:pPr>
              <w:pStyle w:val="Tableheading"/>
              <w:tabs>
                <w:tab w:val="left" w:pos="5220"/>
              </w:tabs>
              <w:rPr>
                <w:color w:val="FFFFFF" w:themeColor="background1"/>
              </w:rPr>
            </w:pPr>
            <w:r w:rsidRPr="00636FB7">
              <w:rPr>
                <w:color w:val="FFFFFF" w:themeColor="background1"/>
              </w:rPr>
              <w:t xml:space="preserve">Course organisation </w:t>
            </w:r>
          </w:p>
        </w:tc>
      </w:tr>
      <w:tr w:rsidR="00AB580C" w14:paraId="11A28C3A" w14:textId="77777777" w:rsidTr="004725E5">
        <w:trPr>
          <w:trHeight w:val="1983"/>
        </w:trPr>
        <w:tc>
          <w:tcPr>
            <w:tcW w:w="2500" w:type="pct"/>
            <w:vMerge/>
          </w:tcPr>
          <w:p w14:paraId="09FBA4F0" w14:textId="77777777" w:rsidR="00AB580C" w:rsidRPr="002C70AE" w:rsidRDefault="00AB580C" w:rsidP="004725E5">
            <w:pPr>
              <w:pStyle w:val="Instructiontowriters"/>
            </w:pPr>
          </w:p>
        </w:tc>
        <w:tc>
          <w:tcPr>
            <w:tcW w:w="2500" w:type="pct"/>
            <w:tcBorders>
              <w:top w:val="single" w:sz="12" w:space="0" w:color="FF0000"/>
            </w:tcBorders>
          </w:tcPr>
          <w:p w14:paraId="15F33ED1" w14:textId="77777777" w:rsidR="008303E9" w:rsidRDefault="008303E9" w:rsidP="008303E9">
            <w:pPr>
              <w:pStyle w:val="Tabletext"/>
              <w:contextualSpacing/>
            </w:pPr>
            <w:r>
              <w:t xml:space="preserve">This year level plan is written with the consideration that all school scenarios for delivery of </w:t>
            </w:r>
            <w:r w:rsidR="005F2AF6">
              <w:t>Mathematics</w:t>
            </w:r>
            <w:r>
              <w:t xml:space="preserve"> are unique. It is written to:</w:t>
            </w:r>
          </w:p>
          <w:p w14:paraId="2FBD912C" w14:textId="77777777" w:rsidR="008303E9" w:rsidRDefault="008303E9" w:rsidP="008303E9">
            <w:pPr>
              <w:pStyle w:val="TableBullet"/>
              <w:numPr>
                <w:ilvl w:val="0"/>
                <w:numId w:val="4"/>
              </w:numPr>
              <w:tabs>
                <w:tab w:val="clear" w:pos="284"/>
              </w:tabs>
              <w:ind w:left="170" w:hanging="170"/>
              <w:contextualSpacing/>
            </w:pPr>
            <w:r>
              <w:t>offer units of work that could be adapted to suit multiple contexts as required by the school, including allocated time and resources</w:t>
            </w:r>
          </w:p>
          <w:p w14:paraId="16771622" w14:textId="77777777" w:rsidR="008303E9" w:rsidRDefault="008303E9" w:rsidP="008303E9">
            <w:pPr>
              <w:pStyle w:val="TableBullet"/>
              <w:numPr>
                <w:ilvl w:val="0"/>
                <w:numId w:val="4"/>
              </w:numPr>
              <w:tabs>
                <w:tab w:val="clear" w:pos="284"/>
              </w:tabs>
              <w:ind w:left="170" w:hanging="170"/>
              <w:contextualSpacing/>
            </w:pPr>
            <w:r>
              <w:t xml:space="preserve">consider different types of assessment that are suitable for the </w:t>
            </w:r>
            <w:r w:rsidR="005F2AF6">
              <w:t>Mathematics</w:t>
            </w:r>
            <w:r>
              <w:t xml:space="preserve"> learning area</w:t>
            </w:r>
          </w:p>
          <w:p w14:paraId="7198E553" w14:textId="77777777" w:rsidR="00AB580C" w:rsidRPr="002A7727" w:rsidRDefault="008303E9" w:rsidP="005F2AF6">
            <w:pPr>
              <w:pStyle w:val="TableBullet"/>
              <w:contextualSpacing/>
            </w:pPr>
            <w:r>
              <w:t>provide examples for schools to adapt to their own contexts.</w:t>
            </w:r>
          </w:p>
        </w:tc>
      </w:tr>
    </w:tbl>
    <w:p w14:paraId="23EA5647" w14:textId="77777777" w:rsidR="000463BF" w:rsidRDefault="00C019A4" w:rsidP="00DF6E36">
      <w:pPr>
        <w:pStyle w:val="Heading1"/>
      </w:pPr>
      <w:r>
        <w:t>Unit overview</w:t>
      </w:r>
    </w:p>
    <w:tbl>
      <w:tblPr>
        <w:tblStyle w:val="QCAAtablestyle1"/>
        <w:tblW w:w="5000" w:type="pct"/>
        <w:tblLook w:val="0620" w:firstRow="1" w:lastRow="0" w:firstColumn="0" w:lastColumn="0" w:noHBand="1" w:noVBand="1"/>
      </w:tblPr>
      <w:tblGrid>
        <w:gridCol w:w="5341"/>
        <w:gridCol w:w="5207"/>
        <w:gridCol w:w="5207"/>
        <w:gridCol w:w="5207"/>
      </w:tblGrid>
      <w:tr w:rsidR="00E13547" w:rsidRPr="00DF6E36" w14:paraId="01E6BB60" w14:textId="77777777" w:rsidTr="004725E5">
        <w:trPr>
          <w:cnfStyle w:val="100000000000" w:firstRow="1" w:lastRow="0" w:firstColumn="0" w:lastColumn="0" w:oddVBand="0" w:evenVBand="0" w:oddHBand="0" w:evenHBand="0" w:firstRowFirstColumn="0" w:firstRowLastColumn="0" w:lastRowFirstColumn="0" w:lastRowLastColumn="0"/>
        </w:trPr>
        <w:tc>
          <w:tcPr>
            <w:tcW w:w="1274" w:type="pct"/>
          </w:tcPr>
          <w:p w14:paraId="6FFCA706" w14:textId="77777777" w:rsidR="00E13547" w:rsidRPr="00DF6E36" w:rsidRDefault="00E13547" w:rsidP="004725E5">
            <w:pPr>
              <w:pStyle w:val="Tableheading"/>
            </w:pPr>
            <w:r w:rsidRPr="00DF6E36">
              <w:t>Term 1</w:t>
            </w:r>
          </w:p>
        </w:tc>
        <w:tc>
          <w:tcPr>
            <w:tcW w:w="1242" w:type="pct"/>
          </w:tcPr>
          <w:p w14:paraId="4AA08B16" w14:textId="77777777" w:rsidR="00E13547" w:rsidRPr="00DF6E36" w:rsidRDefault="00E13547" w:rsidP="004725E5">
            <w:pPr>
              <w:pStyle w:val="Tableheading"/>
            </w:pPr>
            <w:r w:rsidRPr="00DF6E36">
              <w:t>Term 2</w:t>
            </w:r>
          </w:p>
        </w:tc>
        <w:tc>
          <w:tcPr>
            <w:tcW w:w="1242" w:type="pct"/>
          </w:tcPr>
          <w:p w14:paraId="0C04B937" w14:textId="77777777" w:rsidR="00E13547" w:rsidRPr="00DF6E36" w:rsidRDefault="00E13547" w:rsidP="004725E5">
            <w:pPr>
              <w:pStyle w:val="Tableheading"/>
            </w:pPr>
            <w:r w:rsidRPr="00DF6E36">
              <w:t>Term 3</w:t>
            </w:r>
          </w:p>
        </w:tc>
        <w:tc>
          <w:tcPr>
            <w:tcW w:w="1242" w:type="pct"/>
          </w:tcPr>
          <w:p w14:paraId="2C422DE0" w14:textId="77777777" w:rsidR="00E13547" w:rsidRPr="00DF6E36" w:rsidRDefault="00E13547" w:rsidP="004725E5">
            <w:pPr>
              <w:pStyle w:val="Tableheading"/>
            </w:pPr>
            <w:r w:rsidRPr="00DF6E36">
              <w:t>Term 4</w:t>
            </w:r>
          </w:p>
        </w:tc>
      </w:tr>
      <w:tr w:rsidR="00E13547" w:rsidRPr="00DF6E36" w14:paraId="3DFE4435" w14:textId="77777777" w:rsidTr="004725E5">
        <w:tc>
          <w:tcPr>
            <w:tcW w:w="1274" w:type="pct"/>
          </w:tcPr>
          <w:p w14:paraId="0BAF12EB" w14:textId="77777777" w:rsidR="00E13547" w:rsidRPr="00DF6E36" w:rsidRDefault="00DF6E36" w:rsidP="00D4440E">
            <w:pPr>
              <w:pStyle w:val="Tablesubhead"/>
            </w:pPr>
            <w:r w:rsidRPr="00DF6E36">
              <w:t xml:space="preserve">Unit 1 — </w:t>
            </w:r>
            <w:r w:rsidR="00202829">
              <w:t>Keeping the balance</w:t>
            </w:r>
          </w:p>
        </w:tc>
        <w:tc>
          <w:tcPr>
            <w:tcW w:w="1242" w:type="pct"/>
          </w:tcPr>
          <w:p w14:paraId="567567F6" w14:textId="77777777" w:rsidR="00E13547" w:rsidRPr="00DF6E36" w:rsidRDefault="00E13547" w:rsidP="0062088B">
            <w:pPr>
              <w:pStyle w:val="Tablesubhead"/>
            </w:pPr>
            <w:r w:rsidRPr="00DF6E36">
              <w:t xml:space="preserve">Unit 2 </w:t>
            </w:r>
            <w:r w:rsidR="0062088B" w:rsidRPr="00DF6E36">
              <w:t xml:space="preserve">— </w:t>
            </w:r>
            <w:r w:rsidR="00202829">
              <w:t>Proving that you are right</w:t>
            </w:r>
          </w:p>
        </w:tc>
        <w:tc>
          <w:tcPr>
            <w:tcW w:w="1242" w:type="pct"/>
          </w:tcPr>
          <w:p w14:paraId="712227BD" w14:textId="77777777" w:rsidR="00E13547" w:rsidRPr="00DF6E36" w:rsidRDefault="00E13547" w:rsidP="0062088B">
            <w:pPr>
              <w:pStyle w:val="Tablesubhead"/>
            </w:pPr>
            <w:r w:rsidRPr="00DF6E36">
              <w:t xml:space="preserve">Unit 3 — </w:t>
            </w:r>
            <w:r w:rsidR="00202829">
              <w:t>Nothing in the world exists without a shape or a pattern</w:t>
            </w:r>
          </w:p>
        </w:tc>
        <w:tc>
          <w:tcPr>
            <w:tcW w:w="1242" w:type="pct"/>
          </w:tcPr>
          <w:p w14:paraId="465B7758" w14:textId="77777777" w:rsidR="00E13547" w:rsidRPr="00DF6E36" w:rsidRDefault="00E13547" w:rsidP="002D7769">
            <w:pPr>
              <w:pStyle w:val="Tablesubhead"/>
            </w:pPr>
            <w:r w:rsidRPr="00DF6E36">
              <w:t>Unit 4 —</w:t>
            </w:r>
            <w:r w:rsidR="00DF6E36" w:rsidRPr="00DF6E36">
              <w:t xml:space="preserve"> </w:t>
            </w:r>
            <w:r w:rsidR="00202829">
              <w:t>Be careful making claims</w:t>
            </w:r>
          </w:p>
        </w:tc>
      </w:tr>
      <w:tr w:rsidR="00E13547" w:rsidRPr="00DF6E36" w14:paraId="2DAFC3E1" w14:textId="77777777" w:rsidTr="004725E5">
        <w:trPr>
          <w:trHeight w:val="2131"/>
        </w:trPr>
        <w:tc>
          <w:tcPr>
            <w:tcW w:w="1274" w:type="pct"/>
          </w:tcPr>
          <w:p w14:paraId="5E8B8BE7" w14:textId="77777777" w:rsidR="00A9292D" w:rsidRPr="00A9292D" w:rsidRDefault="00A9292D" w:rsidP="00A9292D">
            <w:pPr>
              <w:pStyle w:val="Tabletext"/>
              <w:rPr>
                <w:rStyle w:val="TabletextChar"/>
              </w:rPr>
            </w:pPr>
            <w:r w:rsidRPr="00A9292D">
              <w:rPr>
                <w:rStyle w:val="TabletextChar"/>
              </w:rPr>
              <w:t xml:space="preserve">This unit </w:t>
            </w:r>
            <w:r w:rsidR="0001124C">
              <w:rPr>
                <w:rStyle w:val="TabletextChar"/>
              </w:rPr>
              <w:t xml:space="preserve">will </w:t>
            </w:r>
            <w:r w:rsidRPr="00A9292D">
              <w:rPr>
                <w:rStyle w:val="TabletextChar"/>
              </w:rPr>
              <w:t xml:space="preserve">extend students’ knowledge of indices from the Year 8 curriculum and introduce students to scientific notation and expanding binomials. </w:t>
            </w:r>
          </w:p>
          <w:p w14:paraId="2A831747" w14:textId="54193C9C" w:rsidR="00E13547" w:rsidRPr="00DF6E36" w:rsidRDefault="00A9292D" w:rsidP="00A9292D">
            <w:r w:rsidRPr="00A9292D">
              <w:rPr>
                <w:rStyle w:val="TabletextChar"/>
                <w:rFonts w:eastAsiaTheme="minorHAnsi"/>
              </w:rPr>
              <w:t xml:space="preserve">Using digital technologies, students will be able to explore why extremely large and small numbers and time scales are expressed using scientific notation. </w:t>
            </w:r>
            <w:bookmarkStart w:id="4" w:name="_Hlk68170648"/>
            <w:r w:rsidRPr="00A9292D">
              <w:rPr>
                <w:rStyle w:val="TabletextChar"/>
                <w:rFonts w:eastAsiaTheme="minorHAnsi"/>
              </w:rPr>
              <w:t xml:space="preserve">Through </w:t>
            </w:r>
            <w:r w:rsidR="00B620EC" w:rsidRPr="00B620EC">
              <w:rPr>
                <w:rStyle w:val="TabletextChar"/>
                <w:rFonts w:eastAsiaTheme="minorHAnsi"/>
              </w:rPr>
              <w:t>extending and applying index laws and expanding binomial expressions</w:t>
            </w:r>
            <w:r w:rsidR="00B620EC">
              <w:rPr>
                <w:rStyle w:val="TabletextChar"/>
                <w:rFonts w:eastAsiaTheme="minorHAnsi"/>
              </w:rPr>
              <w:t>,</w:t>
            </w:r>
            <w:r w:rsidRPr="00A9292D">
              <w:rPr>
                <w:rStyle w:val="TabletextChar"/>
                <w:rFonts w:eastAsiaTheme="minorHAnsi"/>
              </w:rPr>
              <w:t xml:space="preserve"> students </w:t>
            </w:r>
            <w:r w:rsidR="0001124C">
              <w:rPr>
                <w:rStyle w:val="TabletextChar"/>
                <w:rFonts w:eastAsiaTheme="minorHAnsi"/>
              </w:rPr>
              <w:t xml:space="preserve">will </w:t>
            </w:r>
            <w:r w:rsidR="00B620EC">
              <w:rPr>
                <w:rStyle w:val="TabletextChar"/>
                <w:rFonts w:eastAsiaTheme="minorHAnsi"/>
              </w:rPr>
              <w:t xml:space="preserve">have the opportunity to </w:t>
            </w:r>
            <w:r w:rsidR="0001124C">
              <w:rPr>
                <w:rStyle w:val="TabletextChar"/>
                <w:rFonts w:eastAsiaTheme="minorHAnsi"/>
              </w:rPr>
              <w:t>be</w:t>
            </w:r>
            <w:r w:rsidR="00B620EC">
              <w:rPr>
                <w:rStyle w:val="TabletextChar"/>
                <w:rFonts w:eastAsiaTheme="minorHAnsi"/>
              </w:rPr>
              <w:t>come</w:t>
            </w:r>
            <w:r w:rsidR="0001124C" w:rsidRPr="00A9292D">
              <w:rPr>
                <w:rStyle w:val="TabletextChar"/>
                <w:rFonts w:eastAsiaTheme="minorHAnsi"/>
              </w:rPr>
              <w:t xml:space="preserve"> </w:t>
            </w:r>
            <w:r w:rsidRPr="00A9292D">
              <w:rPr>
                <w:rStyle w:val="TabletextChar"/>
                <w:rFonts w:eastAsiaTheme="minorHAnsi"/>
              </w:rPr>
              <w:t xml:space="preserve">critical and creative thinkers </w:t>
            </w:r>
            <w:r w:rsidR="00B620EC">
              <w:rPr>
                <w:rStyle w:val="TabletextChar"/>
                <w:rFonts w:eastAsiaTheme="minorHAnsi"/>
              </w:rPr>
              <w:t>and</w:t>
            </w:r>
            <w:r w:rsidRPr="00A9292D">
              <w:rPr>
                <w:rStyle w:val="TabletextChar"/>
                <w:rFonts w:eastAsiaTheme="minorHAnsi"/>
              </w:rPr>
              <w:t xml:space="preserve"> solve </w:t>
            </w:r>
            <w:r w:rsidR="00D30E71">
              <w:rPr>
                <w:rStyle w:val="TabletextChar"/>
                <w:rFonts w:eastAsiaTheme="minorHAnsi"/>
              </w:rPr>
              <w:t xml:space="preserve">algebraic </w:t>
            </w:r>
            <w:r w:rsidRPr="00A9292D">
              <w:rPr>
                <w:rStyle w:val="TabletextChar"/>
                <w:rFonts w:eastAsiaTheme="minorHAnsi"/>
              </w:rPr>
              <w:t xml:space="preserve">complex problems. </w:t>
            </w:r>
            <w:bookmarkEnd w:id="4"/>
          </w:p>
        </w:tc>
        <w:tc>
          <w:tcPr>
            <w:tcW w:w="1242" w:type="pct"/>
          </w:tcPr>
          <w:p w14:paraId="0220CA06" w14:textId="77777777" w:rsidR="00A9292D" w:rsidRPr="00A9292D" w:rsidRDefault="00A9292D" w:rsidP="00A9292D">
            <w:pPr>
              <w:pStyle w:val="Tabletext"/>
              <w:contextualSpacing/>
              <w:rPr>
                <w:rStyle w:val="TabletextChar"/>
              </w:rPr>
            </w:pPr>
            <w:r w:rsidRPr="00A9292D">
              <w:rPr>
                <w:rStyle w:val="TabletextChar"/>
              </w:rPr>
              <w:t xml:space="preserve">This unit </w:t>
            </w:r>
            <w:r w:rsidR="0001124C">
              <w:rPr>
                <w:rStyle w:val="TabletextChar"/>
              </w:rPr>
              <w:t xml:space="preserve">will </w:t>
            </w:r>
            <w:r w:rsidRPr="00A9292D">
              <w:rPr>
                <w:rStyle w:val="TabletextChar"/>
              </w:rPr>
              <w:t xml:space="preserve">extend students’ knowledge of area, volume, and probability from the Year 8 curriculum and introduce students to simple interest. </w:t>
            </w:r>
          </w:p>
          <w:p w14:paraId="3EF309BE" w14:textId="673713EC" w:rsidR="00E13547" w:rsidRPr="00DF6E36" w:rsidRDefault="00A9292D" w:rsidP="00A9292D">
            <w:pPr>
              <w:pStyle w:val="Tabletext"/>
              <w:contextualSpacing/>
            </w:pPr>
            <w:r w:rsidRPr="00A9292D">
              <w:rPr>
                <w:rStyle w:val="TabletextChar"/>
              </w:rPr>
              <w:t xml:space="preserve">Using </w:t>
            </w:r>
            <w:r w:rsidR="00B0668D">
              <w:rPr>
                <w:rStyle w:val="TabletextChar"/>
              </w:rPr>
              <w:t xml:space="preserve">mathematical </w:t>
            </w:r>
            <w:r w:rsidR="00182792">
              <w:rPr>
                <w:rStyle w:val="TabletextChar"/>
              </w:rPr>
              <w:t>modelling</w:t>
            </w:r>
            <w:r w:rsidRPr="00A9292D">
              <w:rPr>
                <w:rStyle w:val="TabletextChar"/>
              </w:rPr>
              <w:t xml:space="preserve">, students </w:t>
            </w:r>
            <w:r w:rsidR="0001124C">
              <w:rPr>
                <w:rStyle w:val="TabletextChar"/>
              </w:rPr>
              <w:t>will be</w:t>
            </w:r>
            <w:r w:rsidR="0001124C" w:rsidRPr="00A9292D">
              <w:rPr>
                <w:rStyle w:val="TabletextChar"/>
              </w:rPr>
              <w:t xml:space="preserve"> </w:t>
            </w:r>
            <w:r w:rsidRPr="00A9292D">
              <w:rPr>
                <w:rStyle w:val="TabletextChar"/>
              </w:rPr>
              <w:t>encouraged to be critical and creative thinkers and solve problems involving simple interest, surface area and volume of right prisms. Through hands-on two-step chance experiments</w:t>
            </w:r>
            <w:r w:rsidR="00284BE2">
              <w:rPr>
                <w:rStyle w:val="TabletextChar"/>
              </w:rPr>
              <w:t>,</w:t>
            </w:r>
            <w:r w:rsidRPr="00A9292D">
              <w:rPr>
                <w:rStyle w:val="TabletextChar"/>
              </w:rPr>
              <w:t xml:space="preserve"> students will assign probabilities to outcomes, determine probabilities for events and calculate the relative frequencies. </w:t>
            </w:r>
          </w:p>
        </w:tc>
        <w:tc>
          <w:tcPr>
            <w:tcW w:w="1242" w:type="pct"/>
          </w:tcPr>
          <w:p w14:paraId="0CC99565" w14:textId="77777777" w:rsidR="00A9292D" w:rsidRPr="00A9292D" w:rsidRDefault="00A9292D" w:rsidP="00A9292D">
            <w:pPr>
              <w:spacing w:before="40" w:after="40"/>
              <w:contextualSpacing/>
              <w:rPr>
                <w:rFonts w:ascii="Arial" w:eastAsia="Times New Roman" w:hAnsi="Arial" w:cs="Times New Roman"/>
                <w:sz w:val="19"/>
                <w:szCs w:val="21"/>
                <w:lang w:eastAsia="en-AU"/>
              </w:rPr>
            </w:pPr>
            <w:r w:rsidRPr="00A9292D">
              <w:rPr>
                <w:rFonts w:ascii="Arial" w:eastAsia="Times New Roman" w:hAnsi="Arial" w:cs="Times New Roman"/>
                <w:sz w:val="19"/>
                <w:szCs w:val="21"/>
                <w:lang w:eastAsia="en-AU"/>
              </w:rPr>
              <w:t xml:space="preserve">This unit </w:t>
            </w:r>
            <w:r w:rsidR="0001124C">
              <w:rPr>
                <w:rFonts w:ascii="Arial" w:eastAsia="Times New Roman" w:hAnsi="Arial" w:cs="Times New Roman"/>
                <w:sz w:val="19"/>
                <w:szCs w:val="21"/>
                <w:lang w:eastAsia="en-AU"/>
              </w:rPr>
              <w:t xml:space="preserve">will </w:t>
            </w:r>
            <w:r w:rsidRPr="00A9292D">
              <w:rPr>
                <w:rFonts w:ascii="Arial" w:eastAsia="Times New Roman" w:hAnsi="Arial" w:cs="Times New Roman"/>
                <w:sz w:val="19"/>
                <w:szCs w:val="21"/>
                <w:lang w:eastAsia="en-AU"/>
              </w:rPr>
              <w:t xml:space="preserve">extend students’ knowledge on congruency and ratio from the Year 8 curriculum and introduce students to similarity, scale factor, trigonometry and Pythagoras’ </w:t>
            </w:r>
            <w:r w:rsidR="002B37DC">
              <w:rPr>
                <w:rFonts w:ascii="Arial" w:eastAsia="Times New Roman" w:hAnsi="Arial" w:cs="Times New Roman"/>
                <w:sz w:val="19"/>
                <w:szCs w:val="21"/>
                <w:lang w:eastAsia="en-AU"/>
              </w:rPr>
              <w:t>t</w:t>
            </w:r>
            <w:r w:rsidR="002B37DC" w:rsidRPr="00A9292D">
              <w:rPr>
                <w:rFonts w:ascii="Arial" w:eastAsia="Times New Roman" w:hAnsi="Arial" w:cs="Times New Roman"/>
                <w:sz w:val="19"/>
                <w:szCs w:val="21"/>
                <w:lang w:eastAsia="en-AU"/>
              </w:rPr>
              <w:t>heorem</w:t>
            </w:r>
            <w:r w:rsidRPr="00A9292D">
              <w:rPr>
                <w:rFonts w:ascii="Arial" w:eastAsia="Times New Roman" w:hAnsi="Arial" w:cs="Times New Roman"/>
                <w:sz w:val="19"/>
                <w:szCs w:val="21"/>
                <w:lang w:eastAsia="en-AU"/>
              </w:rPr>
              <w:t xml:space="preserve">.  </w:t>
            </w:r>
          </w:p>
          <w:p w14:paraId="2C75063B" w14:textId="77777777" w:rsidR="00A9292D" w:rsidRPr="00A9292D" w:rsidRDefault="00A9292D" w:rsidP="00A9292D">
            <w:pPr>
              <w:spacing w:before="40" w:after="40"/>
              <w:contextualSpacing/>
              <w:rPr>
                <w:rFonts w:ascii="Arial" w:eastAsia="Times New Roman" w:hAnsi="Arial" w:cs="Times New Roman"/>
                <w:szCs w:val="21"/>
                <w:lang w:eastAsia="en-AU"/>
                <w14:numForm w14:val="lining"/>
              </w:rPr>
            </w:pPr>
            <w:r w:rsidRPr="00A9292D">
              <w:rPr>
                <w:rFonts w:ascii="Arial" w:eastAsia="Times New Roman" w:hAnsi="Arial" w:cs="Times New Roman"/>
                <w:sz w:val="19"/>
                <w:szCs w:val="21"/>
                <w:lang w:eastAsia="en-AU"/>
              </w:rPr>
              <w:t xml:space="preserve">Using hands-on collaborative inquiry opportunities and digital technologies, students will solve problems using ratio and scale factor in similar figures and explain similarity in triangles. Students will also </w:t>
            </w:r>
            <w:r w:rsidR="001672A7">
              <w:rPr>
                <w:rFonts w:ascii="Arial" w:eastAsia="Times New Roman" w:hAnsi="Arial" w:cs="Times New Roman"/>
                <w:sz w:val="19"/>
                <w:szCs w:val="21"/>
                <w:lang w:eastAsia="en-AU"/>
              </w:rPr>
              <w:t xml:space="preserve">be encouraged to </w:t>
            </w:r>
            <w:r w:rsidRPr="00A9292D">
              <w:rPr>
                <w:rFonts w:ascii="Arial" w:eastAsia="Times New Roman" w:hAnsi="Arial" w:cs="Times New Roman"/>
                <w:sz w:val="19"/>
                <w:szCs w:val="21"/>
                <w:lang w:eastAsia="en-AU"/>
              </w:rPr>
              <w:t xml:space="preserve">be critical and creative thinkers as they use similarity to investigate trigonometric ratios and Pythagoras’ </w:t>
            </w:r>
            <w:r w:rsidR="002B37DC">
              <w:rPr>
                <w:rFonts w:ascii="Arial" w:eastAsia="Times New Roman" w:hAnsi="Arial" w:cs="Times New Roman"/>
                <w:sz w:val="19"/>
                <w:szCs w:val="21"/>
                <w:lang w:eastAsia="en-AU"/>
              </w:rPr>
              <w:t>t</w:t>
            </w:r>
            <w:r w:rsidRPr="00A9292D">
              <w:rPr>
                <w:rFonts w:ascii="Arial" w:eastAsia="Times New Roman" w:hAnsi="Arial" w:cs="Times New Roman"/>
                <w:sz w:val="19"/>
                <w:szCs w:val="21"/>
                <w:lang w:eastAsia="en-AU"/>
              </w:rPr>
              <w:t>heorem, and their application to solving simple problems involving right</w:t>
            </w:r>
            <w:r w:rsidR="00995FFC">
              <w:rPr>
                <w:rFonts w:ascii="Arial" w:eastAsia="Times New Roman" w:hAnsi="Arial" w:cs="Times New Roman"/>
                <w:sz w:val="19"/>
                <w:szCs w:val="21"/>
                <w:lang w:eastAsia="en-AU"/>
              </w:rPr>
              <w:t>-</w:t>
            </w:r>
            <w:r w:rsidRPr="00A9292D">
              <w:rPr>
                <w:rFonts w:ascii="Arial" w:eastAsia="Times New Roman" w:hAnsi="Arial" w:cs="Times New Roman"/>
                <w:sz w:val="19"/>
                <w:szCs w:val="21"/>
                <w:lang w:eastAsia="en-AU"/>
              </w:rPr>
              <w:t xml:space="preserve">angled triangles. </w:t>
            </w:r>
          </w:p>
          <w:p w14:paraId="207CC44D" w14:textId="77777777" w:rsidR="00E13547" w:rsidRPr="00DF6E36" w:rsidRDefault="00E13547" w:rsidP="00DF6E36">
            <w:pPr>
              <w:pStyle w:val="Tabletext"/>
              <w:rPr>
                <w:sz w:val="21"/>
                <w14:numForm w14:val="lining"/>
              </w:rPr>
            </w:pPr>
          </w:p>
          <w:p w14:paraId="6D8380A8" w14:textId="77777777" w:rsidR="00E13547" w:rsidRPr="00DF6E36" w:rsidRDefault="00E13547" w:rsidP="004725E5">
            <w:pPr>
              <w:pStyle w:val="Tabletext"/>
            </w:pPr>
          </w:p>
        </w:tc>
        <w:tc>
          <w:tcPr>
            <w:tcW w:w="1242" w:type="pct"/>
          </w:tcPr>
          <w:p w14:paraId="68EBA032" w14:textId="77777777" w:rsidR="00A9292D" w:rsidRDefault="00A9292D" w:rsidP="00A9292D">
            <w:pPr>
              <w:pStyle w:val="Tabletext"/>
              <w:contextualSpacing/>
            </w:pPr>
            <w:r>
              <w:t xml:space="preserve">This unit </w:t>
            </w:r>
            <w:r w:rsidR="00D61B41">
              <w:t xml:space="preserve">will </w:t>
            </w:r>
            <w:r>
              <w:t xml:space="preserve">extend students’ knowledge on plotting and solving linear equations from the Year 8 curriculum to being able to find the distance, gradient and midpoint between two points located on a Cartesian </w:t>
            </w:r>
            <w:r w:rsidR="002B37DC">
              <w:t>plane</w:t>
            </w:r>
            <w:r>
              <w:t xml:space="preserve">. Students will also apply their knowledge on data collection techniques, and further develop their skills in constructing data representations and data interpretation. </w:t>
            </w:r>
          </w:p>
          <w:p w14:paraId="326D7F0C" w14:textId="6CAEFD5C" w:rsidR="00E13547" w:rsidRPr="00DF6E36" w:rsidRDefault="00A9292D" w:rsidP="00A9292D">
            <w:pPr>
              <w:pStyle w:val="Tabletext"/>
              <w:contextualSpacing/>
            </w:pPr>
            <w:r>
              <w:t>Using digital technologies</w:t>
            </w:r>
            <w:r w:rsidR="008C3E3D">
              <w:t>,</w:t>
            </w:r>
            <w:r>
              <w:t xml:space="preserve"> students</w:t>
            </w:r>
            <w:r w:rsidR="008C3E3D">
              <w:t xml:space="preserve"> will</w:t>
            </w:r>
            <w:r>
              <w:t xml:space="preserve"> investigate graphical and algebraic techniques for finding the distance, midpoint and gradient of a line and determining the linear rules. They will </w:t>
            </w:r>
            <w:r w:rsidR="002F465C">
              <w:t xml:space="preserve">also </w:t>
            </w:r>
            <w:r>
              <w:t xml:space="preserve">sketch linear and simple non-linear relations. Students will </w:t>
            </w:r>
            <w:r w:rsidR="001672A7">
              <w:t>be encouraged to be</w:t>
            </w:r>
            <w:r>
              <w:t xml:space="preserve"> critical thinkers while investigating population a</w:t>
            </w:r>
            <w:r w:rsidR="004B3466">
              <w:t>s well as</w:t>
            </w:r>
            <w:r>
              <w:t xml:space="preserve"> environmental issues in the </w:t>
            </w:r>
            <w:r w:rsidR="00D54710">
              <w:t>Asia–P</w:t>
            </w:r>
            <w:r>
              <w:t xml:space="preserve">acific region that involve evaluating data </w:t>
            </w:r>
            <w:r w:rsidR="00671DE7">
              <w:t xml:space="preserve">collection </w:t>
            </w:r>
            <w:r>
              <w:t>techniques from a range of primary and secondary sources. They will use digital technologies to construct numerical and categorical data displays for interpretation, description and comparison.</w:t>
            </w:r>
          </w:p>
        </w:tc>
      </w:tr>
    </w:tbl>
    <w:p w14:paraId="4AFA6462" w14:textId="77777777" w:rsidR="00AB580C" w:rsidRPr="00306525" w:rsidRDefault="00DB6943" w:rsidP="006C7755">
      <w:pPr>
        <w:pStyle w:val="Heading1"/>
      </w:pPr>
      <w:r>
        <w:lastRenderedPageBreak/>
        <w:t>Assessment overview</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090A56" w:rsidRPr="00337583" w14:paraId="0A0A727C" w14:textId="77777777" w:rsidTr="00DB43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02E9CEAF" w14:textId="77777777" w:rsidR="00090A56" w:rsidRPr="00337583" w:rsidRDefault="00090A56" w:rsidP="00090A56">
            <w:pPr>
              <w:pStyle w:val="Tableheading"/>
            </w:pPr>
          </w:p>
        </w:tc>
        <w:tc>
          <w:tcPr>
            <w:tcW w:w="5051" w:type="dxa"/>
            <w:gridSpan w:val="2"/>
          </w:tcPr>
          <w:p w14:paraId="5EAAC333" w14:textId="77777777" w:rsidR="00090A56" w:rsidRPr="00337583"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337583">
              <w:t>Term 1</w:t>
            </w:r>
          </w:p>
        </w:tc>
        <w:tc>
          <w:tcPr>
            <w:tcW w:w="5051" w:type="dxa"/>
            <w:gridSpan w:val="2"/>
          </w:tcPr>
          <w:p w14:paraId="580F5B23" w14:textId="77777777" w:rsidR="00090A56" w:rsidRPr="00337583"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337583">
              <w:t>Term 2</w:t>
            </w:r>
          </w:p>
        </w:tc>
        <w:tc>
          <w:tcPr>
            <w:tcW w:w="5051" w:type="dxa"/>
            <w:gridSpan w:val="2"/>
          </w:tcPr>
          <w:p w14:paraId="602835DD" w14:textId="77777777" w:rsidR="00090A56" w:rsidRPr="00337583"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337583">
              <w:t>Term 3</w:t>
            </w:r>
          </w:p>
        </w:tc>
        <w:tc>
          <w:tcPr>
            <w:tcW w:w="5051" w:type="dxa"/>
            <w:gridSpan w:val="2"/>
          </w:tcPr>
          <w:p w14:paraId="01A74B90" w14:textId="77777777" w:rsidR="00090A56" w:rsidRPr="00337583"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337583">
              <w:t>Term 4</w:t>
            </w:r>
          </w:p>
        </w:tc>
      </w:tr>
      <w:tr w:rsidR="000F425C" w:rsidRPr="00337583" w14:paraId="1DA70C88" w14:textId="77777777" w:rsidTr="003839A1">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DD6C81A" w14:textId="77777777" w:rsidR="000F425C" w:rsidRPr="00337583" w:rsidRDefault="000F425C" w:rsidP="00090A56">
            <w:pPr>
              <w:pStyle w:val="Tabletext"/>
            </w:pPr>
          </w:p>
        </w:tc>
        <w:tc>
          <w:tcPr>
            <w:tcW w:w="4144" w:type="dxa"/>
          </w:tcPr>
          <w:p w14:paraId="43C7769B" w14:textId="77777777" w:rsidR="000F425C" w:rsidRPr="00337583" w:rsidRDefault="002E4C37" w:rsidP="0022393A">
            <w:pPr>
              <w:pStyle w:val="Tablesubhead"/>
              <w:cnfStyle w:val="000000000000" w:firstRow="0" w:lastRow="0" w:firstColumn="0" w:lastColumn="0" w:oddVBand="0" w:evenVBand="0" w:oddHBand="0" w:evenHBand="0" w:firstRowFirstColumn="0" w:firstRowLastColumn="0" w:lastRowFirstColumn="0" w:lastRowLastColumn="0"/>
            </w:pPr>
            <w:r>
              <w:t>Unit 1</w:t>
            </w:r>
            <w:r w:rsidR="0022393A" w:rsidRPr="00337583">
              <w:t xml:space="preserve"> — </w:t>
            </w:r>
            <w:r w:rsidR="00337583" w:rsidRPr="00337583">
              <w:t>Keeping the balance</w:t>
            </w:r>
          </w:p>
        </w:tc>
        <w:tc>
          <w:tcPr>
            <w:tcW w:w="907" w:type="dxa"/>
          </w:tcPr>
          <w:p w14:paraId="561E02B5" w14:textId="77777777" w:rsidR="000F425C" w:rsidRPr="00337583" w:rsidRDefault="0022393A" w:rsidP="0022393A">
            <w:pPr>
              <w:pStyle w:val="Tablesubhead"/>
              <w:cnfStyle w:val="000000000000" w:firstRow="0" w:lastRow="0" w:firstColumn="0" w:lastColumn="0" w:oddVBand="0" w:evenVBand="0" w:oddHBand="0" w:evenHBand="0" w:firstRowFirstColumn="0" w:firstRowLastColumn="0" w:lastRowFirstColumn="0" w:lastRowLastColumn="0"/>
            </w:pPr>
            <w:r w:rsidRPr="00337583">
              <w:t>Week/s</w:t>
            </w:r>
          </w:p>
        </w:tc>
        <w:tc>
          <w:tcPr>
            <w:tcW w:w="4144" w:type="dxa"/>
          </w:tcPr>
          <w:p w14:paraId="585AB0E5" w14:textId="77777777" w:rsidR="000F425C" w:rsidRPr="00337583" w:rsidRDefault="002E4C37" w:rsidP="0022393A">
            <w:pPr>
              <w:pStyle w:val="Tablesubhead"/>
              <w:cnfStyle w:val="000000000000" w:firstRow="0" w:lastRow="0" w:firstColumn="0" w:lastColumn="0" w:oddVBand="0" w:evenVBand="0" w:oddHBand="0" w:evenHBand="0" w:firstRowFirstColumn="0" w:firstRowLastColumn="0" w:lastRowFirstColumn="0" w:lastRowLastColumn="0"/>
            </w:pPr>
            <w:r>
              <w:t>Unit 2</w:t>
            </w:r>
            <w:r w:rsidR="00C4641B" w:rsidRPr="00337583">
              <w:t xml:space="preserve"> — </w:t>
            </w:r>
            <w:r w:rsidR="004A746C" w:rsidRPr="004A746C">
              <w:t>Proving that you are right</w:t>
            </w:r>
          </w:p>
        </w:tc>
        <w:tc>
          <w:tcPr>
            <w:tcW w:w="907" w:type="dxa"/>
          </w:tcPr>
          <w:p w14:paraId="2A41248C" w14:textId="77777777" w:rsidR="000F425C" w:rsidRPr="00337583"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rsidRPr="00337583">
              <w:t>Week/s</w:t>
            </w:r>
          </w:p>
        </w:tc>
        <w:tc>
          <w:tcPr>
            <w:tcW w:w="4144" w:type="dxa"/>
          </w:tcPr>
          <w:p w14:paraId="2023E328" w14:textId="77777777" w:rsidR="000F425C" w:rsidRPr="00337583" w:rsidRDefault="002E4C37" w:rsidP="0022393A">
            <w:pPr>
              <w:pStyle w:val="Tablesubhead"/>
              <w:cnfStyle w:val="000000000000" w:firstRow="0" w:lastRow="0" w:firstColumn="0" w:lastColumn="0" w:oddVBand="0" w:evenVBand="0" w:oddHBand="0" w:evenHBand="0" w:firstRowFirstColumn="0" w:firstRowLastColumn="0" w:lastRowFirstColumn="0" w:lastRowLastColumn="0"/>
            </w:pPr>
            <w:r>
              <w:t>Unit 3</w:t>
            </w:r>
            <w:r w:rsidR="00C4641B" w:rsidRPr="00337583">
              <w:t xml:space="preserve"> — </w:t>
            </w:r>
            <w:r w:rsidR="004A746C" w:rsidRPr="004A746C">
              <w:t>Nothing in the world exists without a shape or a pattern</w:t>
            </w:r>
          </w:p>
        </w:tc>
        <w:tc>
          <w:tcPr>
            <w:tcW w:w="907" w:type="dxa"/>
          </w:tcPr>
          <w:p w14:paraId="1BCE3646" w14:textId="77777777" w:rsidR="000F425C" w:rsidRPr="00337583"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rsidRPr="00337583">
              <w:t>Week/s</w:t>
            </w:r>
          </w:p>
        </w:tc>
        <w:tc>
          <w:tcPr>
            <w:tcW w:w="4144" w:type="dxa"/>
          </w:tcPr>
          <w:p w14:paraId="5104CC82" w14:textId="77777777" w:rsidR="000F425C" w:rsidRPr="00337583" w:rsidRDefault="002E4C37" w:rsidP="0022393A">
            <w:pPr>
              <w:pStyle w:val="Tablesubhead"/>
              <w:cnfStyle w:val="000000000000" w:firstRow="0" w:lastRow="0" w:firstColumn="0" w:lastColumn="0" w:oddVBand="0" w:evenVBand="0" w:oddHBand="0" w:evenHBand="0" w:firstRowFirstColumn="0" w:firstRowLastColumn="0" w:lastRowFirstColumn="0" w:lastRowLastColumn="0"/>
            </w:pPr>
            <w:r>
              <w:t>Unit 4</w:t>
            </w:r>
            <w:r w:rsidR="00C4641B" w:rsidRPr="00337583">
              <w:t xml:space="preserve"> — </w:t>
            </w:r>
            <w:r w:rsidR="004A746C" w:rsidRPr="004A746C">
              <w:t>Be careful making claims</w:t>
            </w:r>
          </w:p>
        </w:tc>
        <w:tc>
          <w:tcPr>
            <w:tcW w:w="907" w:type="dxa"/>
          </w:tcPr>
          <w:p w14:paraId="40267018" w14:textId="77777777" w:rsidR="000F425C" w:rsidRPr="00337583"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rsidRPr="00337583">
              <w:t>Week/s</w:t>
            </w:r>
          </w:p>
        </w:tc>
      </w:tr>
      <w:tr w:rsidR="000F425C" w:rsidRPr="00337583" w14:paraId="1056FA65" w14:textId="77777777" w:rsidTr="009D30E3">
        <w:trPr>
          <w:cantSplit/>
          <w:trHeight w:val="3402"/>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C987FA5" w14:textId="77777777" w:rsidR="000F425C" w:rsidRPr="00337583" w:rsidRDefault="009D30E3" w:rsidP="009D30E3">
            <w:pPr>
              <w:pStyle w:val="Tablesubhead"/>
              <w:ind w:left="113" w:right="113"/>
              <w:jc w:val="center"/>
            </w:pPr>
            <w:r w:rsidRPr="00337583">
              <w:t>Assessment</w:t>
            </w:r>
          </w:p>
        </w:tc>
        <w:tc>
          <w:tcPr>
            <w:tcW w:w="4144" w:type="dxa"/>
          </w:tcPr>
          <w:p w14:paraId="7165A64B" w14:textId="77777777" w:rsidR="00E470AA" w:rsidRPr="000D1107" w:rsidRDefault="00165034" w:rsidP="000D1107">
            <w:pPr>
              <w:pStyle w:val="Tabletext"/>
              <w:cnfStyle w:val="000000000000" w:firstRow="0" w:lastRow="0" w:firstColumn="0" w:lastColumn="0" w:oddVBand="0" w:evenVBand="0" w:oddHBand="0" w:evenHBand="0" w:firstRowFirstColumn="0" w:firstRowLastColumn="0" w:lastRowFirstColumn="0" w:lastRowLastColumn="0"/>
              <w:rPr>
                <w:rStyle w:val="TabletextChar"/>
                <w14:numForm w14:val="default"/>
              </w:rPr>
            </w:pPr>
            <w:r>
              <w:rPr>
                <w:rStyle w:val="TabletextChar"/>
                <w14:numForm w14:val="default"/>
              </w:rPr>
              <w:t xml:space="preserve">Technique: </w:t>
            </w:r>
            <w:r w:rsidR="00E470AA" w:rsidRPr="000D1107">
              <w:rPr>
                <w:rStyle w:val="TabletextChar"/>
                <w14:numForm w14:val="default"/>
              </w:rPr>
              <w:t xml:space="preserve">Examination </w:t>
            </w:r>
          </w:p>
          <w:p w14:paraId="63A984C7" w14:textId="77777777" w:rsidR="000D1107" w:rsidRDefault="000D1107" w:rsidP="000D1107">
            <w:pPr>
              <w:pStyle w:val="Tabletext"/>
              <w:cnfStyle w:val="000000000000" w:firstRow="0" w:lastRow="0" w:firstColumn="0" w:lastColumn="0" w:oddVBand="0" w:evenVBand="0" w:oddHBand="0" w:evenHBand="0" w:firstRowFirstColumn="0" w:firstRowLastColumn="0" w:lastRowFirstColumn="0" w:lastRowLastColumn="0"/>
              <w:rPr>
                <w:rStyle w:val="TabletextChar"/>
                <w14:numForm w14:val="default"/>
              </w:rPr>
            </w:pPr>
          </w:p>
          <w:p w14:paraId="7957B81B" w14:textId="77777777" w:rsidR="00E50705" w:rsidRDefault="002F030C" w:rsidP="00E50705">
            <w:pPr>
              <w:pStyle w:val="TableBullet"/>
              <w:numPr>
                <w:ilvl w:val="0"/>
                <w:numId w:val="0"/>
              </w:numPr>
              <w:contextualSpacing/>
              <w:cnfStyle w:val="000000000000" w:firstRow="0" w:lastRow="0" w:firstColumn="0" w:lastColumn="0" w:oddVBand="0" w:evenVBand="0" w:oddHBand="0" w:evenHBand="0" w:firstRowFirstColumn="0" w:firstRowLastColumn="0" w:lastRowFirstColumn="0" w:lastRowLastColumn="0"/>
              <w:rPr>
                <w:rStyle w:val="TabletextChar"/>
                <w14:numForm w14:val="default"/>
              </w:rPr>
            </w:pPr>
            <w:r>
              <w:rPr>
                <w:rStyle w:val="TabletextChar"/>
                <w14:numForm w14:val="default"/>
              </w:rPr>
              <w:t>In this</w:t>
            </w:r>
            <w:r w:rsidRPr="000D1107">
              <w:rPr>
                <w:rStyle w:val="TabletextChar"/>
                <w14:numForm w14:val="default"/>
              </w:rPr>
              <w:t xml:space="preserve"> </w:t>
            </w:r>
            <w:r w:rsidR="00A9292D" w:rsidRPr="000D1107">
              <w:rPr>
                <w:rStyle w:val="TabletextChar"/>
                <w14:numForm w14:val="default"/>
              </w:rPr>
              <w:t>examination</w:t>
            </w:r>
            <w:r>
              <w:rPr>
                <w:rStyle w:val="TabletextChar"/>
                <w14:numForm w14:val="default"/>
              </w:rPr>
              <w:t>, students</w:t>
            </w:r>
            <w:r w:rsidR="00A9292D" w:rsidRPr="000D1107">
              <w:rPr>
                <w:rStyle w:val="TabletextChar"/>
                <w14:numForm w14:val="default"/>
              </w:rPr>
              <w:t xml:space="preserve"> </w:t>
            </w:r>
            <w:r w:rsidR="00165034">
              <w:rPr>
                <w:rStyle w:val="TabletextChar"/>
                <w14:numForm w14:val="default"/>
              </w:rPr>
              <w:t xml:space="preserve">will answer short response questions that </w:t>
            </w:r>
            <w:r w:rsidR="00A9292D" w:rsidRPr="000D1107">
              <w:rPr>
                <w:rStyle w:val="TabletextChar"/>
                <w14:numForm w14:val="default"/>
              </w:rPr>
              <w:t>focus on the mathematical concepts of algebra, indices and scientific notation.</w:t>
            </w:r>
          </w:p>
          <w:p w14:paraId="353EE0A4" w14:textId="77777777" w:rsidR="008B47B3" w:rsidRDefault="008B47B3" w:rsidP="00E50705">
            <w:pPr>
              <w:pStyle w:val="TableBullet"/>
              <w:numPr>
                <w:ilvl w:val="0"/>
                <w:numId w:val="0"/>
              </w:numPr>
              <w:contextualSpacing/>
              <w:cnfStyle w:val="000000000000" w:firstRow="0" w:lastRow="0" w:firstColumn="0" w:lastColumn="0" w:oddVBand="0" w:evenVBand="0" w:oddHBand="0" w:evenHBand="0" w:firstRowFirstColumn="0" w:firstRowLastColumn="0" w:lastRowFirstColumn="0" w:lastRowLastColumn="0"/>
              <w:rPr>
                <w:rStyle w:val="TabletextChar"/>
                <w14:numForm w14:val="default"/>
              </w:rPr>
            </w:pPr>
          </w:p>
          <w:p w14:paraId="483CBEBB" w14:textId="77777777" w:rsidR="008B47B3" w:rsidRDefault="008B47B3" w:rsidP="00E50705">
            <w:pPr>
              <w:pStyle w:val="TableBullet"/>
              <w:numPr>
                <w:ilvl w:val="0"/>
                <w:numId w:val="0"/>
              </w:numPr>
              <w:contextualSpacing/>
              <w:cnfStyle w:val="000000000000" w:firstRow="0" w:lastRow="0" w:firstColumn="0" w:lastColumn="0" w:oddVBand="0" w:evenVBand="0" w:oddHBand="0" w:evenHBand="0" w:firstRowFirstColumn="0" w:firstRowLastColumn="0" w:lastRowFirstColumn="0" w:lastRowLastColumn="0"/>
              <w:rPr>
                <w:rStyle w:val="TabletextChar"/>
                <w14:numForm w14:val="default"/>
              </w:rPr>
            </w:pPr>
            <w:r>
              <w:rPr>
                <w:rStyle w:val="TabletextChar"/>
                <w14:numForm w14:val="default"/>
              </w:rPr>
              <w:t>Format: Written</w:t>
            </w:r>
          </w:p>
          <w:p w14:paraId="5D6DECE4" w14:textId="77777777" w:rsidR="00E470AA" w:rsidRPr="005C74CE" w:rsidRDefault="00E470AA" w:rsidP="00202829">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14:numForm w14:val="default"/>
              </w:rPr>
            </w:pPr>
            <w:r w:rsidRPr="005C74CE">
              <w:rPr>
                <w:rStyle w:val="TabletextChar"/>
                <w:szCs w:val="24"/>
                <w14:numForm w14:val="default"/>
              </w:rPr>
              <w:t xml:space="preserve">Part A </w:t>
            </w:r>
            <w:r w:rsidR="005C74CE">
              <w:rPr>
                <w:rStyle w:val="TabletextChar"/>
                <w:szCs w:val="24"/>
                <w14:numForm w14:val="default"/>
              </w:rPr>
              <w:t>—</w:t>
            </w:r>
            <w:r w:rsidR="005C74CE" w:rsidRPr="005C74CE">
              <w:rPr>
                <w:rStyle w:val="TabletextChar"/>
                <w:szCs w:val="24"/>
                <w14:numForm w14:val="default"/>
              </w:rPr>
              <w:t xml:space="preserve"> </w:t>
            </w:r>
            <w:r w:rsidRPr="005C74CE">
              <w:rPr>
                <w:rStyle w:val="TabletextChar"/>
                <w:szCs w:val="24"/>
                <w14:numForm w14:val="default"/>
              </w:rPr>
              <w:t xml:space="preserve">60% </w:t>
            </w:r>
            <w:r w:rsidR="008B47B3" w:rsidRPr="005C74CE">
              <w:rPr>
                <w:rStyle w:val="TabletextChar"/>
                <w:szCs w:val="24"/>
                <w14:numForm w14:val="default"/>
              </w:rPr>
              <w:t xml:space="preserve">simple familiar </w:t>
            </w:r>
            <w:r w:rsidRPr="005C74CE">
              <w:rPr>
                <w:rStyle w:val="TabletextChar"/>
                <w:szCs w:val="24"/>
                <w14:numForm w14:val="default"/>
              </w:rPr>
              <w:t>questions</w:t>
            </w:r>
          </w:p>
          <w:p w14:paraId="5D25C250" w14:textId="77777777" w:rsidR="005C74CE" w:rsidRPr="005C74CE" w:rsidRDefault="00E470AA" w:rsidP="005C74CE">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14:numForm w14:val="default"/>
              </w:rPr>
            </w:pPr>
            <w:r w:rsidRPr="005C74CE">
              <w:rPr>
                <w:rStyle w:val="TabletextChar"/>
                <w:szCs w:val="24"/>
                <w14:numForm w14:val="default"/>
              </w:rPr>
              <w:t xml:space="preserve">Part B </w:t>
            </w:r>
            <w:r w:rsidR="005C74CE">
              <w:rPr>
                <w:rStyle w:val="TabletextChar"/>
                <w:szCs w:val="24"/>
                <w14:numForm w14:val="default"/>
              </w:rPr>
              <w:t>—</w:t>
            </w:r>
            <w:r w:rsidR="005C74CE" w:rsidRPr="005C74CE">
              <w:rPr>
                <w:rStyle w:val="TabletextChar"/>
                <w:szCs w:val="24"/>
                <w14:numForm w14:val="default"/>
              </w:rPr>
              <w:t xml:space="preserve"> </w:t>
            </w:r>
            <w:r w:rsidRPr="005C74CE">
              <w:rPr>
                <w:rStyle w:val="TabletextChar"/>
                <w:szCs w:val="24"/>
                <w14:numForm w14:val="default"/>
              </w:rPr>
              <w:t xml:space="preserve">20% </w:t>
            </w:r>
            <w:r w:rsidR="008B47B3" w:rsidRPr="005C74CE">
              <w:rPr>
                <w:rStyle w:val="TabletextChar"/>
                <w:szCs w:val="24"/>
                <w14:numForm w14:val="default"/>
              </w:rPr>
              <w:t xml:space="preserve">complex familiar </w:t>
            </w:r>
            <w:r w:rsidRPr="005C74CE">
              <w:rPr>
                <w:rStyle w:val="TabletextChar"/>
                <w:szCs w:val="24"/>
                <w14:numForm w14:val="default"/>
              </w:rPr>
              <w:t>and 20% unfamiliar</w:t>
            </w:r>
            <w:r w:rsidR="008B47B3" w:rsidRPr="005C74CE">
              <w:rPr>
                <w:rStyle w:val="TabletextChar"/>
                <w:szCs w:val="24"/>
                <w14:numForm w14:val="default"/>
              </w:rPr>
              <w:t xml:space="preserve"> questions</w:t>
            </w:r>
          </w:p>
          <w:p w14:paraId="0C9C6EF4" w14:textId="77777777" w:rsidR="005C74CE" w:rsidRDefault="005C74CE" w:rsidP="005C74CE">
            <w:pPr>
              <w:pStyle w:val="Tabletext"/>
              <w:cnfStyle w:val="000000000000" w:firstRow="0" w:lastRow="0" w:firstColumn="0" w:lastColumn="0" w:oddVBand="0" w:evenVBand="0" w:oddHBand="0" w:evenHBand="0" w:firstRowFirstColumn="0" w:firstRowLastColumn="0" w:lastRowFirstColumn="0" w:lastRowLastColumn="0"/>
              <w:rPr>
                <w:rStyle w:val="TabletextChar"/>
                <w14:numForm w14:val="default"/>
              </w:rPr>
            </w:pPr>
          </w:p>
          <w:p w14:paraId="68592BBA" w14:textId="77777777" w:rsidR="00FA21B5" w:rsidRPr="00337583" w:rsidRDefault="00337583" w:rsidP="00BF20BD">
            <w:pPr>
              <w:pStyle w:val="Tabletext"/>
              <w:cnfStyle w:val="000000000000" w:firstRow="0" w:lastRow="0" w:firstColumn="0" w:lastColumn="0" w:oddVBand="0" w:evenVBand="0" w:oddHBand="0" w:evenHBand="0" w:firstRowFirstColumn="0" w:firstRowLastColumn="0" w:lastRowFirstColumn="0" w:lastRowLastColumn="0"/>
            </w:pPr>
            <w:r w:rsidRPr="005C74CE">
              <w:rPr>
                <w:rStyle w:val="TabletextChar"/>
              </w:rPr>
              <w:t>Conditions:</w:t>
            </w:r>
            <w:r w:rsidR="005C74CE">
              <w:rPr>
                <w:rStyle w:val="TabletextChar"/>
                <w14:numForm w14:val="default"/>
              </w:rPr>
              <w:t xml:space="preserve"> </w:t>
            </w:r>
            <w:r w:rsidRPr="000D1107">
              <w:rPr>
                <w:rStyle w:val="TabletextChar"/>
                <w14:numForm w14:val="default"/>
              </w:rPr>
              <w:t xml:space="preserve">60 minutes including </w:t>
            </w:r>
            <w:r w:rsidR="00C5529B">
              <w:rPr>
                <w:rStyle w:val="TabletextChar"/>
                <w14:numForm w14:val="default"/>
              </w:rPr>
              <w:t>10</w:t>
            </w:r>
            <w:r w:rsidR="000D1107">
              <w:rPr>
                <w:rStyle w:val="TabletextChar"/>
                <w14:numForm w14:val="default"/>
              </w:rPr>
              <w:t xml:space="preserve"> </w:t>
            </w:r>
            <w:r w:rsidR="00E470AA" w:rsidRPr="000D1107">
              <w:rPr>
                <w:rStyle w:val="TabletextChar"/>
                <w14:numForm w14:val="default"/>
              </w:rPr>
              <w:t>minute</w:t>
            </w:r>
            <w:r w:rsidR="000D1107">
              <w:rPr>
                <w:rStyle w:val="TabletextChar"/>
                <w14:numForm w14:val="default"/>
              </w:rPr>
              <w:t>s</w:t>
            </w:r>
            <w:r w:rsidR="00E470AA" w:rsidRPr="000D1107">
              <w:rPr>
                <w:rStyle w:val="TabletextChar"/>
                <w14:numForm w14:val="default"/>
              </w:rPr>
              <w:t xml:space="preserve"> </w:t>
            </w:r>
            <w:r w:rsidRPr="000D1107">
              <w:rPr>
                <w:rStyle w:val="TabletextChar"/>
                <w14:numForm w14:val="default"/>
              </w:rPr>
              <w:t xml:space="preserve">perusal </w:t>
            </w:r>
          </w:p>
        </w:tc>
        <w:tc>
          <w:tcPr>
            <w:tcW w:w="907" w:type="dxa"/>
          </w:tcPr>
          <w:p w14:paraId="3FEF7B67" w14:textId="77777777" w:rsidR="000F425C" w:rsidRPr="00337583" w:rsidRDefault="00337583" w:rsidP="00E85F78">
            <w:pPr>
              <w:pStyle w:val="Tabletext"/>
              <w:cnfStyle w:val="000000000000" w:firstRow="0" w:lastRow="0" w:firstColumn="0" w:lastColumn="0" w:oddVBand="0" w:evenVBand="0" w:oddHBand="0" w:evenHBand="0" w:firstRowFirstColumn="0" w:firstRowLastColumn="0" w:lastRowFirstColumn="0" w:lastRowLastColumn="0"/>
            </w:pPr>
            <w:r w:rsidRPr="00337583">
              <w:t>9</w:t>
            </w:r>
          </w:p>
        </w:tc>
        <w:tc>
          <w:tcPr>
            <w:tcW w:w="4144" w:type="dxa"/>
          </w:tcPr>
          <w:p w14:paraId="615DE96B" w14:textId="77777777" w:rsidR="00E470AA" w:rsidRPr="000D1107" w:rsidRDefault="00165034" w:rsidP="000D1107">
            <w:pPr>
              <w:pStyle w:val="Tabletext"/>
              <w:cnfStyle w:val="000000000000" w:firstRow="0" w:lastRow="0" w:firstColumn="0" w:lastColumn="0" w:oddVBand="0" w:evenVBand="0" w:oddHBand="0" w:evenHBand="0" w:firstRowFirstColumn="0" w:firstRowLastColumn="0" w:lastRowFirstColumn="0" w:lastRowLastColumn="0"/>
              <w:rPr>
                <w:rStyle w:val="TabletextChar"/>
                <w14:numForm w14:val="default"/>
              </w:rPr>
            </w:pPr>
            <w:r>
              <w:rPr>
                <w:rStyle w:val="TabletextChar"/>
                <w14:numForm w14:val="default"/>
              </w:rPr>
              <w:t xml:space="preserve">Technique: </w:t>
            </w:r>
            <w:r w:rsidR="00993354">
              <w:rPr>
                <w:rStyle w:val="TabletextChar"/>
                <w14:numForm w14:val="default"/>
              </w:rPr>
              <w:t>Project</w:t>
            </w:r>
          </w:p>
          <w:p w14:paraId="6AD0A741" w14:textId="77777777" w:rsidR="000D1107" w:rsidRDefault="000D1107" w:rsidP="000D1107">
            <w:pPr>
              <w:pStyle w:val="Tabletext"/>
              <w:cnfStyle w:val="000000000000" w:firstRow="0" w:lastRow="0" w:firstColumn="0" w:lastColumn="0" w:oddVBand="0" w:evenVBand="0" w:oddHBand="0" w:evenHBand="0" w:firstRowFirstColumn="0" w:firstRowLastColumn="0" w:lastRowFirstColumn="0" w:lastRowLastColumn="0"/>
              <w:rPr>
                <w:rStyle w:val="TabletextChar"/>
                <w14:numForm w14:val="default"/>
              </w:rPr>
            </w:pPr>
          </w:p>
          <w:p w14:paraId="61AD4C57" w14:textId="77777777" w:rsidR="00A9292D" w:rsidRPr="000D1107" w:rsidRDefault="00EE6E64" w:rsidP="000D1107">
            <w:pPr>
              <w:pStyle w:val="Tabletext"/>
              <w:cnfStyle w:val="000000000000" w:firstRow="0" w:lastRow="0" w:firstColumn="0" w:lastColumn="0" w:oddVBand="0" w:evenVBand="0" w:oddHBand="0" w:evenHBand="0" w:firstRowFirstColumn="0" w:firstRowLastColumn="0" w:lastRowFirstColumn="0" w:lastRowLastColumn="0"/>
              <w:rPr>
                <w:rStyle w:val="TabletextChar"/>
                <w14:numForm w14:val="default"/>
              </w:rPr>
            </w:pPr>
            <w:r>
              <w:rPr>
                <w:rStyle w:val="TabletextChar"/>
                <w14:numForm w14:val="default"/>
              </w:rPr>
              <w:t>In this</w:t>
            </w:r>
            <w:r w:rsidRPr="000D1107">
              <w:rPr>
                <w:rStyle w:val="TabletextChar"/>
                <w14:numForm w14:val="default"/>
              </w:rPr>
              <w:t xml:space="preserve"> </w:t>
            </w:r>
            <w:r w:rsidR="00A9292D" w:rsidRPr="000D1107">
              <w:rPr>
                <w:rStyle w:val="TabletextChar"/>
                <w14:numForm w14:val="default"/>
              </w:rPr>
              <w:t>problem</w:t>
            </w:r>
            <w:r>
              <w:rPr>
                <w:rStyle w:val="TabletextChar"/>
                <w14:numForm w14:val="default"/>
              </w:rPr>
              <w:t>-</w:t>
            </w:r>
            <w:r w:rsidR="00A9292D" w:rsidRPr="000D1107">
              <w:rPr>
                <w:rStyle w:val="TabletextChar"/>
                <w14:numForm w14:val="default"/>
              </w:rPr>
              <w:t xml:space="preserve">solving and modelling </w:t>
            </w:r>
            <w:r w:rsidR="000032EE">
              <w:rPr>
                <w:rStyle w:val="TabletextChar"/>
                <w14:numForm w14:val="default"/>
              </w:rPr>
              <w:t>project</w:t>
            </w:r>
            <w:r>
              <w:rPr>
                <w:rStyle w:val="TabletextChar"/>
                <w14:numForm w14:val="default"/>
              </w:rPr>
              <w:t>, students</w:t>
            </w:r>
            <w:r w:rsidR="00A9292D" w:rsidRPr="000D1107">
              <w:rPr>
                <w:rStyle w:val="TabletextChar"/>
                <w14:numForm w14:val="default"/>
              </w:rPr>
              <w:t xml:space="preserve"> </w:t>
            </w:r>
            <w:r w:rsidR="002F030C">
              <w:rPr>
                <w:rStyle w:val="TabletextChar"/>
                <w14:numForm w14:val="default"/>
              </w:rPr>
              <w:t xml:space="preserve">will </w:t>
            </w:r>
            <w:r w:rsidR="00A9292D" w:rsidRPr="000D1107">
              <w:rPr>
                <w:rStyle w:val="TabletextChar"/>
                <w14:numForm w14:val="default"/>
              </w:rPr>
              <w:t>prepare a report for their parents outlining the full costs of the</w:t>
            </w:r>
            <w:r w:rsidR="00E470AA" w:rsidRPr="000D1107">
              <w:rPr>
                <w:rStyle w:val="TabletextChar"/>
                <w14:numForm w14:val="default"/>
              </w:rPr>
              <w:t xml:space="preserve"> </w:t>
            </w:r>
            <w:r w:rsidR="00A9292D" w:rsidRPr="000D1107">
              <w:rPr>
                <w:rStyle w:val="TabletextChar"/>
                <w14:numForm w14:val="default"/>
              </w:rPr>
              <w:t>construction of a pool including a loan to pay for it.</w:t>
            </w:r>
          </w:p>
          <w:p w14:paraId="50569CD1" w14:textId="77777777" w:rsidR="00A9292D" w:rsidRDefault="00A9292D" w:rsidP="000D1107">
            <w:pPr>
              <w:pStyle w:val="Tabletext"/>
              <w:cnfStyle w:val="000000000000" w:firstRow="0" w:lastRow="0" w:firstColumn="0" w:lastColumn="0" w:oddVBand="0" w:evenVBand="0" w:oddHBand="0" w:evenHBand="0" w:firstRowFirstColumn="0" w:firstRowLastColumn="0" w:lastRowFirstColumn="0" w:lastRowLastColumn="0"/>
              <w:rPr>
                <w:rStyle w:val="TabletextChar"/>
                <w14:numForm w14:val="default"/>
              </w:rPr>
            </w:pPr>
          </w:p>
          <w:p w14:paraId="25CAD764" w14:textId="77777777" w:rsidR="008B47B3" w:rsidRDefault="008B47B3" w:rsidP="000D1107">
            <w:pPr>
              <w:pStyle w:val="Tabletext"/>
              <w:cnfStyle w:val="000000000000" w:firstRow="0" w:lastRow="0" w:firstColumn="0" w:lastColumn="0" w:oddVBand="0" w:evenVBand="0" w:oddHBand="0" w:evenHBand="0" w:firstRowFirstColumn="0" w:firstRowLastColumn="0" w:lastRowFirstColumn="0" w:lastRowLastColumn="0"/>
              <w:rPr>
                <w:rStyle w:val="TabletextChar"/>
                <w14:numForm w14:val="default"/>
              </w:rPr>
            </w:pPr>
            <w:r>
              <w:rPr>
                <w:rStyle w:val="TabletextChar"/>
                <w14:numForm w14:val="default"/>
              </w:rPr>
              <w:t>Format: Written</w:t>
            </w:r>
          </w:p>
          <w:p w14:paraId="71B5EC85" w14:textId="77777777" w:rsidR="008B47B3" w:rsidRPr="000D1107" w:rsidRDefault="008B47B3" w:rsidP="000D1107">
            <w:pPr>
              <w:pStyle w:val="Tabletext"/>
              <w:cnfStyle w:val="000000000000" w:firstRow="0" w:lastRow="0" w:firstColumn="0" w:lastColumn="0" w:oddVBand="0" w:evenVBand="0" w:oddHBand="0" w:evenHBand="0" w:firstRowFirstColumn="0" w:firstRowLastColumn="0" w:lastRowFirstColumn="0" w:lastRowLastColumn="0"/>
              <w:rPr>
                <w:rStyle w:val="TabletextChar"/>
                <w14:numForm w14:val="default"/>
              </w:rPr>
            </w:pPr>
          </w:p>
          <w:p w14:paraId="6B3F984F" w14:textId="77777777" w:rsidR="00A9292D" w:rsidRPr="000D1107" w:rsidRDefault="00A9292D" w:rsidP="000D1107">
            <w:pPr>
              <w:pStyle w:val="Tabletext"/>
              <w:cnfStyle w:val="000000000000" w:firstRow="0" w:lastRow="0" w:firstColumn="0" w:lastColumn="0" w:oddVBand="0" w:evenVBand="0" w:oddHBand="0" w:evenHBand="0" w:firstRowFirstColumn="0" w:firstRowLastColumn="0" w:lastRowFirstColumn="0" w:lastRowLastColumn="0"/>
              <w:rPr>
                <w:rStyle w:val="TabletextChar"/>
                <w14:numForm w14:val="default"/>
              </w:rPr>
            </w:pPr>
            <w:r w:rsidRPr="000D1107">
              <w:rPr>
                <w:rStyle w:val="TabletextChar"/>
                <w14:numForm w14:val="default"/>
              </w:rPr>
              <w:t>Conditions:</w:t>
            </w:r>
          </w:p>
          <w:p w14:paraId="01C3016B" w14:textId="77777777" w:rsidR="00A9292D" w:rsidRPr="000D1107" w:rsidRDefault="00A9292D" w:rsidP="00202829">
            <w:pPr>
              <w:pStyle w:val="TableBullet"/>
              <w:cnfStyle w:val="000000000000" w:firstRow="0" w:lastRow="0" w:firstColumn="0" w:lastColumn="0" w:oddVBand="0" w:evenVBand="0" w:oddHBand="0" w:evenHBand="0" w:firstRowFirstColumn="0" w:firstRowLastColumn="0" w:lastRowFirstColumn="0" w:lastRowLastColumn="0"/>
              <w:rPr>
                <w:rStyle w:val="TabletextChar"/>
                <w14:numForm w14:val="default"/>
              </w:rPr>
            </w:pPr>
            <w:r w:rsidRPr="000D1107">
              <w:rPr>
                <w:rStyle w:val="TabletextChar"/>
                <w14:numForm w14:val="default"/>
              </w:rPr>
              <w:t>3 weeks</w:t>
            </w:r>
            <w:r w:rsidR="008B49B2" w:rsidRPr="000D1107">
              <w:rPr>
                <w:rStyle w:val="TabletextChar"/>
                <w14:numForm w14:val="default"/>
              </w:rPr>
              <w:t xml:space="preserve"> </w:t>
            </w:r>
          </w:p>
          <w:p w14:paraId="311A1CF2" w14:textId="77777777" w:rsidR="008B47B3" w:rsidRDefault="000D1107" w:rsidP="00202829">
            <w:pPr>
              <w:pStyle w:val="TableBullet"/>
              <w:cnfStyle w:val="000000000000" w:firstRow="0" w:lastRow="0" w:firstColumn="0" w:lastColumn="0" w:oddVBand="0" w:evenVBand="0" w:oddHBand="0" w:evenHBand="0" w:firstRowFirstColumn="0" w:firstRowLastColumn="0" w:lastRowFirstColumn="0" w:lastRowLastColumn="0"/>
              <w:rPr>
                <w:rStyle w:val="TabletextChar"/>
                <w14:numForm w14:val="default"/>
              </w:rPr>
            </w:pPr>
            <w:r w:rsidRPr="000D1107">
              <w:rPr>
                <w:rStyle w:val="TabletextChar"/>
                <w14:numForm w14:val="default"/>
              </w:rPr>
              <w:t>Up to 6 pages (including tables, figures and diagrams)</w:t>
            </w:r>
          </w:p>
          <w:p w14:paraId="51D536CC" w14:textId="77777777" w:rsidR="000F425C" w:rsidRPr="00337583" w:rsidRDefault="00A9292D" w:rsidP="00202829">
            <w:pPr>
              <w:pStyle w:val="TableBullet"/>
              <w:cnfStyle w:val="000000000000" w:firstRow="0" w:lastRow="0" w:firstColumn="0" w:lastColumn="0" w:oddVBand="0" w:evenVBand="0" w:oddHBand="0" w:evenHBand="0" w:firstRowFirstColumn="0" w:firstRowLastColumn="0" w:lastRowFirstColumn="0" w:lastRowLastColumn="0"/>
            </w:pPr>
            <w:r w:rsidRPr="000D1107">
              <w:rPr>
                <w:rStyle w:val="TabletextChar"/>
                <w14:numForm w14:val="default"/>
              </w:rPr>
              <w:t>600–800 words</w:t>
            </w:r>
          </w:p>
        </w:tc>
        <w:tc>
          <w:tcPr>
            <w:tcW w:w="907" w:type="dxa"/>
          </w:tcPr>
          <w:p w14:paraId="7BA41A81" w14:textId="77777777" w:rsidR="000F425C" w:rsidRPr="00337583" w:rsidRDefault="004A746C" w:rsidP="00E85F78">
            <w:pPr>
              <w:pStyle w:val="Tabletext"/>
              <w:cnfStyle w:val="000000000000" w:firstRow="0" w:lastRow="0" w:firstColumn="0" w:lastColumn="0" w:oddVBand="0" w:evenVBand="0" w:oddHBand="0" w:evenHBand="0" w:firstRowFirstColumn="0" w:firstRowLastColumn="0" w:lastRowFirstColumn="0" w:lastRowLastColumn="0"/>
            </w:pPr>
            <w:r>
              <w:t>9</w:t>
            </w:r>
          </w:p>
        </w:tc>
        <w:tc>
          <w:tcPr>
            <w:tcW w:w="4144" w:type="dxa"/>
          </w:tcPr>
          <w:p w14:paraId="6199C45E" w14:textId="77777777" w:rsidR="000D1107" w:rsidRPr="00A9292D" w:rsidRDefault="000D1107" w:rsidP="000D110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165034">
              <w:rPr>
                <w:rStyle w:val="TabletextChar"/>
              </w:rPr>
              <w:t>Technique</w:t>
            </w:r>
            <w:r w:rsidRPr="00A9292D">
              <w:rPr>
                <w:rStyle w:val="TabletextChar"/>
              </w:rPr>
              <w:t>: Examination</w:t>
            </w:r>
          </w:p>
          <w:p w14:paraId="630F2D94" w14:textId="77777777" w:rsidR="000D1107" w:rsidRDefault="000D1107" w:rsidP="00A9292D">
            <w:pPr>
              <w:pStyle w:val="Tabletext"/>
              <w:cnfStyle w:val="000000000000" w:firstRow="0" w:lastRow="0" w:firstColumn="0" w:lastColumn="0" w:oddVBand="0" w:evenVBand="0" w:oddHBand="0" w:evenHBand="0" w:firstRowFirstColumn="0" w:firstRowLastColumn="0" w:lastRowFirstColumn="0" w:lastRowLastColumn="0"/>
              <w:rPr>
                <w:rStyle w:val="TabletextChar"/>
              </w:rPr>
            </w:pPr>
          </w:p>
          <w:p w14:paraId="58546207" w14:textId="77777777" w:rsidR="00A9292D" w:rsidRPr="00A9292D" w:rsidRDefault="00EB70D8" w:rsidP="00A9292D">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In t</w:t>
            </w:r>
            <w:r w:rsidRPr="00A9292D">
              <w:rPr>
                <w:rStyle w:val="TabletextChar"/>
              </w:rPr>
              <w:t>h</w:t>
            </w:r>
            <w:r>
              <w:rPr>
                <w:rStyle w:val="TabletextChar"/>
              </w:rPr>
              <w:t>is</w:t>
            </w:r>
            <w:r w:rsidRPr="00A9292D">
              <w:rPr>
                <w:rStyle w:val="TabletextChar"/>
              </w:rPr>
              <w:t xml:space="preserve"> </w:t>
            </w:r>
            <w:r w:rsidR="00A9292D" w:rsidRPr="00A9292D">
              <w:rPr>
                <w:rStyle w:val="TabletextChar"/>
              </w:rPr>
              <w:t>examination</w:t>
            </w:r>
            <w:r>
              <w:rPr>
                <w:rStyle w:val="TabletextChar"/>
              </w:rPr>
              <w:t>,</w:t>
            </w:r>
            <w:r w:rsidR="00A9292D" w:rsidRPr="00A9292D">
              <w:rPr>
                <w:rStyle w:val="TabletextChar"/>
              </w:rPr>
              <w:t xml:space="preserve"> students </w:t>
            </w:r>
            <w:r>
              <w:rPr>
                <w:rStyle w:val="TabletextChar"/>
              </w:rPr>
              <w:t xml:space="preserve">will </w:t>
            </w:r>
            <w:r w:rsidR="00A9292D" w:rsidRPr="00A9292D">
              <w:rPr>
                <w:rStyle w:val="TabletextChar"/>
              </w:rPr>
              <w:t>answer short response questions that focus on the mathematical concepts of Pythagoras</w:t>
            </w:r>
            <w:r>
              <w:rPr>
                <w:rStyle w:val="TabletextChar"/>
              </w:rPr>
              <w:t>'</w:t>
            </w:r>
            <w:r w:rsidR="00A9292D" w:rsidRPr="00A9292D">
              <w:rPr>
                <w:rStyle w:val="TabletextChar"/>
              </w:rPr>
              <w:t xml:space="preserve"> </w:t>
            </w:r>
            <w:r>
              <w:rPr>
                <w:rStyle w:val="TabletextChar"/>
              </w:rPr>
              <w:t>t</w:t>
            </w:r>
            <w:r w:rsidRPr="00A9292D">
              <w:rPr>
                <w:rStyle w:val="TabletextChar"/>
              </w:rPr>
              <w:t>heorem</w:t>
            </w:r>
            <w:r w:rsidR="00A9292D" w:rsidRPr="00A9292D">
              <w:rPr>
                <w:rStyle w:val="TabletextChar"/>
              </w:rPr>
              <w:t>, trigonometry, similarity, scale factor and chance.</w:t>
            </w:r>
          </w:p>
          <w:p w14:paraId="38418986" w14:textId="77777777" w:rsidR="00A9292D" w:rsidRPr="00A9292D" w:rsidRDefault="00A9292D" w:rsidP="00A9292D">
            <w:pPr>
              <w:pStyle w:val="Tabletext"/>
              <w:cnfStyle w:val="000000000000" w:firstRow="0" w:lastRow="0" w:firstColumn="0" w:lastColumn="0" w:oddVBand="0" w:evenVBand="0" w:oddHBand="0" w:evenHBand="0" w:firstRowFirstColumn="0" w:firstRowLastColumn="0" w:lastRowFirstColumn="0" w:lastRowLastColumn="0"/>
              <w:rPr>
                <w:rStyle w:val="TabletextChar"/>
              </w:rPr>
            </w:pPr>
          </w:p>
          <w:p w14:paraId="4545B17F" w14:textId="77777777" w:rsidR="008B47B3" w:rsidRDefault="008B47B3" w:rsidP="008B47B3">
            <w:pPr>
              <w:pStyle w:val="TableBullet"/>
              <w:numPr>
                <w:ilvl w:val="0"/>
                <w:numId w:val="0"/>
              </w:numPr>
              <w:contextualSpacing/>
              <w:cnfStyle w:val="000000000000" w:firstRow="0" w:lastRow="0" w:firstColumn="0" w:lastColumn="0" w:oddVBand="0" w:evenVBand="0" w:oddHBand="0" w:evenHBand="0" w:firstRowFirstColumn="0" w:firstRowLastColumn="0" w:lastRowFirstColumn="0" w:lastRowLastColumn="0"/>
              <w:rPr>
                <w:rStyle w:val="TabletextChar"/>
                <w14:numForm w14:val="default"/>
              </w:rPr>
            </w:pPr>
            <w:r>
              <w:rPr>
                <w:rStyle w:val="TabletextChar"/>
                <w14:numForm w14:val="default"/>
              </w:rPr>
              <w:t>Format: Written</w:t>
            </w:r>
          </w:p>
          <w:p w14:paraId="1DB72A7C" w14:textId="77777777" w:rsidR="008B47B3" w:rsidRDefault="008B47B3" w:rsidP="008B47B3">
            <w:pPr>
              <w:pStyle w:val="TableBullet"/>
              <w:contextualSpacing/>
              <w:cnfStyle w:val="000000000000" w:firstRow="0" w:lastRow="0" w:firstColumn="0" w:lastColumn="0" w:oddVBand="0" w:evenVBand="0" w:oddHBand="0" w:evenHBand="0" w:firstRowFirstColumn="0" w:firstRowLastColumn="0" w:lastRowFirstColumn="0" w:lastRowLastColumn="0"/>
              <w:rPr>
                <w:rStyle w:val="TabletextChar"/>
                <w14:numForm w14:val="default"/>
              </w:rPr>
            </w:pPr>
            <w:r w:rsidRPr="000D1107">
              <w:rPr>
                <w:rStyle w:val="TabletextChar"/>
                <w14:numForm w14:val="default"/>
              </w:rPr>
              <w:t xml:space="preserve">Part A </w:t>
            </w:r>
            <w:r w:rsidR="00EE6E64">
              <w:rPr>
                <w:rStyle w:val="TabletextChar"/>
                <w14:numForm w14:val="default"/>
              </w:rPr>
              <w:t xml:space="preserve">— </w:t>
            </w:r>
            <w:r w:rsidRPr="000D1107">
              <w:rPr>
                <w:rStyle w:val="TabletextChar"/>
                <w14:numForm w14:val="default"/>
              </w:rPr>
              <w:t xml:space="preserve">60% </w:t>
            </w:r>
            <w:r>
              <w:rPr>
                <w:rStyle w:val="TabletextChar"/>
                <w14:numForm w14:val="default"/>
              </w:rPr>
              <w:t xml:space="preserve">simple familiar </w:t>
            </w:r>
            <w:r w:rsidRPr="000D1107">
              <w:rPr>
                <w:rStyle w:val="TabletextChar"/>
                <w14:numForm w14:val="default"/>
              </w:rPr>
              <w:t>questions</w:t>
            </w:r>
          </w:p>
          <w:p w14:paraId="16E58641" w14:textId="77777777" w:rsidR="00B913C0" w:rsidRPr="00B913C0" w:rsidRDefault="008B47B3" w:rsidP="00B913C0">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sidRPr="000D1107">
              <w:rPr>
                <w:rStyle w:val="TabletextChar"/>
                <w14:numForm w14:val="default"/>
              </w:rPr>
              <w:t xml:space="preserve">Part B </w:t>
            </w:r>
            <w:r w:rsidR="00EE6E64">
              <w:rPr>
                <w:rStyle w:val="TabletextChar"/>
                <w14:numForm w14:val="default"/>
              </w:rPr>
              <w:t>—</w:t>
            </w:r>
            <w:r w:rsidR="00EE6E64" w:rsidRPr="000D1107">
              <w:rPr>
                <w:rStyle w:val="TabletextChar"/>
                <w14:numForm w14:val="default"/>
              </w:rPr>
              <w:t xml:space="preserve"> </w:t>
            </w:r>
            <w:r w:rsidRPr="000D1107">
              <w:rPr>
                <w:rStyle w:val="TabletextChar"/>
                <w14:numForm w14:val="default"/>
              </w:rPr>
              <w:t xml:space="preserve">20% </w:t>
            </w:r>
            <w:r>
              <w:rPr>
                <w:rStyle w:val="TabletextChar"/>
                <w14:numForm w14:val="default"/>
              </w:rPr>
              <w:t xml:space="preserve">complex familiar </w:t>
            </w:r>
            <w:r w:rsidRPr="000D1107">
              <w:rPr>
                <w:rStyle w:val="TabletextChar"/>
                <w14:numForm w14:val="default"/>
              </w:rPr>
              <w:t>and 20% unfamiliar</w:t>
            </w:r>
            <w:r>
              <w:rPr>
                <w:rStyle w:val="TabletextChar"/>
                <w14:numForm w14:val="default"/>
              </w:rPr>
              <w:t xml:space="preserve"> questions</w:t>
            </w:r>
          </w:p>
          <w:p w14:paraId="7E5C2FB8" w14:textId="77777777" w:rsidR="00B913C0" w:rsidRDefault="00B913C0" w:rsidP="00B913C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TabletextChar"/>
                <w14:numForm w14:val="default"/>
              </w:rPr>
            </w:pPr>
          </w:p>
          <w:p w14:paraId="319FAA51" w14:textId="77777777" w:rsidR="000F425C" w:rsidRPr="004A746C" w:rsidRDefault="008B47B3" w:rsidP="0020282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B913C0">
              <w:rPr>
                <w:rStyle w:val="TabletextChar"/>
                <w14:numForm w14:val="default"/>
              </w:rPr>
              <w:t>Conditions:</w:t>
            </w:r>
            <w:r w:rsidR="00EE6E64">
              <w:rPr>
                <w:rStyle w:val="TabletextChar"/>
                <w14:numForm w14:val="default"/>
              </w:rPr>
              <w:t xml:space="preserve"> </w:t>
            </w:r>
            <w:r w:rsidRPr="00B913C0">
              <w:rPr>
                <w:rStyle w:val="TabletextChar"/>
                <w14:numForm w14:val="default"/>
              </w:rPr>
              <w:t>60 minutes including 10 minutes perusal</w:t>
            </w:r>
          </w:p>
        </w:tc>
        <w:tc>
          <w:tcPr>
            <w:tcW w:w="907" w:type="dxa"/>
          </w:tcPr>
          <w:p w14:paraId="5555C4A9" w14:textId="77777777" w:rsidR="000F425C" w:rsidRPr="00337583" w:rsidRDefault="004A746C" w:rsidP="00E85F78">
            <w:pPr>
              <w:pStyle w:val="Tabletext"/>
              <w:cnfStyle w:val="000000000000" w:firstRow="0" w:lastRow="0" w:firstColumn="0" w:lastColumn="0" w:oddVBand="0" w:evenVBand="0" w:oddHBand="0" w:evenHBand="0" w:firstRowFirstColumn="0" w:firstRowLastColumn="0" w:lastRowFirstColumn="0" w:lastRowLastColumn="0"/>
            </w:pPr>
            <w:r>
              <w:t>9</w:t>
            </w:r>
          </w:p>
        </w:tc>
        <w:tc>
          <w:tcPr>
            <w:tcW w:w="4144" w:type="dxa"/>
          </w:tcPr>
          <w:p w14:paraId="56665C10" w14:textId="77777777" w:rsidR="000D1107" w:rsidRPr="00A9292D" w:rsidRDefault="000D1107" w:rsidP="000D110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5B1E9A">
              <w:rPr>
                <w:rStyle w:val="TabletextChar"/>
              </w:rPr>
              <w:t>Technique:</w:t>
            </w:r>
            <w:r w:rsidRPr="00A9292D">
              <w:rPr>
                <w:rStyle w:val="TabletextChar"/>
              </w:rPr>
              <w:t xml:space="preserve"> Examination</w:t>
            </w:r>
            <w:r>
              <w:rPr>
                <w:rStyle w:val="TabletextChar"/>
              </w:rPr>
              <w:t xml:space="preserve"> </w:t>
            </w:r>
          </w:p>
          <w:p w14:paraId="2FE6B565" w14:textId="77777777" w:rsidR="000D1107" w:rsidRDefault="000D1107" w:rsidP="00A9292D">
            <w:pPr>
              <w:pStyle w:val="Tabletext"/>
              <w:cnfStyle w:val="000000000000" w:firstRow="0" w:lastRow="0" w:firstColumn="0" w:lastColumn="0" w:oddVBand="0" w:evenVBand="0" w:oddHBand="0" w:evenHBand="0" w:firstRowFirstColumn="0" w:firstRowLastColumn="0" w:lastRowFirstColumn="0" w:lastRowLastColumn="0"/>
              <w:rPr>
                <w:rStyle w:val="TabletextChar"/>
              </w:rPr>
            </w:pPr>
          </w:p>
          <w:p w14:paraId="40C9A687" w14:textId="77777777" w:rsidR="00A9292D" w:rsidRDefault="00D3676D" w:rsidP="00A9292D">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In this</w:t>
            </w:r>
            <w:r w:rsidR="00A9292D" w:rsidRPr="00A9292D">
              <w:rPr>
                <w:rStyle w:val="TabletextChar"/>
              </w:rPr>
              <w:t xml:space="preserve"> examination</w:t>
            </w:r>
            <w:r>
              <w:rPr>
                <w:rStyle w:val="TabletextChar"/>
              </w:rPr>
              <w:t>,</w:t>
            </w:r>
            <w:r w:rsidR="00C41647">
              <w:rPr>
                <w:rStyle w:val="TabletextChar"/>
              </w:rPr>
              <w:t xml:space="preserve"> students </w:t>
            </w:r>
            <w:r>
              <w:rPr>
                <w:rStyle w:val="TabletextChar"/>
              </w:rPr>
              <w:t xml:space="preserve">will </w:t>
            </w:r>
            <w:r w:rsidR="00C41647">
              <w:rPr>
                <w:rStyle w:val="TabletextChar"/>
              </w:rPr>
              <w:t>answer short response questions that fo</w:t>
            </w:r>
            <w:r w:rsidR="00A9292D" w:rsidRPr="00A9292D">
              <w:rPr>
                <w:rStyle w:val="TabletextChar"/>
              </w:rPr>
              <w:t>cus on the mathematical concepts of linear relationships and statistics.</w:t>
            </w:r>
          </w:p>
          <w:p w14:paraId="130663C9" w14:textId="77777777" w:rsidR="008B47B3" w:rsidRPr="00A9292D" w:rsidRDefault="008B47B3" w:rsidP="00A9292D">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p>
          <w:p w14:paraId="772EC838" w14:textId="77777777" w:rsidR="008B47B3" w:rsidRDefault="008B47B3" w:rsidP="008B47B3">
            <w:pPr>
              <w:pStyle w:val="TableBullet"/>
              <w:numPr>
                <w:ilvl w:val="0"/>
                <w:numId w:val="0"/>
              </w:numPr>
              <w:contextualSpacing/>
              <w:cnfStyle w:val="000000000000" w:firstRow="0" w:lastRow="0" w:firstColumn="0" w:lastColumn="0" w:oddVBand="0" w:evenVBand="0" w:oddHBand="0" w:evenHBand="0" w:firstRowFirstColumn="0" w:firstRowLastColumn="0" w:lastRowFirstColumn="0" w:lastRowLastColumn="0"/>
              <w:rPr>
                <w:rStyle w:val="TabletextChar"/>
                <w14:numForm w14:val="default"/>
              </w:rPr>
            </w:pPr>
            <w:r>
              <w:rPr>
                <w:rStyle w:val="TabletextChar"/>
                <w14:numForm w14:val="default"/>
              </w:rPr>
              <w:t>Format: Written</w:t>
            </w:r>
          </w:p>
          <w:p w14:paraId="58C40102" w14:textId="77777777" w:rsidR="008B47B3" w:rsidRPr="000D1107" w:rsidRDefault="008B47B3" w:rsidP="008B47B3">
            <w:pPr>
              <w:pStyle w:val="TableBullet"/>
              <w:contextualSpacing/>
              <w:cnfStyle w:val="000000000000" w:firstRow="0" w:lastRow="0" w:firstColumn="0" w:lastColumn="0" w:oddVBand="0" w:evenVBand="0" w:oddHBand="0" w:evenHBand="0" w:firstRowFirstColumn="0" w:firstRowLastColumn="0" w:lastRowFirstColumn="0" w:lastRowLastColumn="0"/>
              <w:rPr>
                <w:rStyle w:val="TabletextChar"/>
                <w14:numForm w14:val="default"/>
              </w:rPr>
            </w:pPr>
            <w:r w:rsidRPr="000D1107">
              <w:rPr>
                <w:rStyle w:val="TabletextChar"/>
                <w14:numForm w14:val="default"/>
              </w:rPr>
              <w:t xml:space="preserve">Part A </w:t>
            </w:r>
            <w:r w:rsidR="00EE6E64">
              <w:rPr>
                <w:rStyle w:val="TabletextChar"/>
                <w14:numForm w14:val="default"/>
              </w:rPr>
              <w:t>—</w:t>
            </w:r>
            <w:r w:rsidR="00EE6E64" w:rsidRPr="000D1107">
              <w:rPr>
                <w:rStyle w:val="TabletextChar"/>
                <w14:numForm w14:val="default"/>
              </w:rPr>
              <w:t xml:space="preserve"> </w:t>
            </w:r>
            <w:r w:rsidRPr="000D1107">
              <w:rPr>
                <w:rStyle w:val="TabletextChar"/>
                <w14:numForm w14:val="default"/>
              </w:rPr>
              <w:t xml:space="preserve">60% </w:t>
            </w:r>
            <w:r>
              <w:rPr>
                <w:rStyle w:val="TabletextChar"/>
                <w14:numForm w14:val="default"/>
              </w:rPr>
              <w:t xml:space="preserve">simple familiar </w:t>
            </w:r>
            <w:r w:rsidRPr="000D1107">
              <w:rPr>
                <w:rStyle w:val="TabletextChar"/>
                <w14:numForm w14:val="default"/>
              </w:rPr>
              <w:t>questions</w:t>
            </w:r>
          </w:p>
          <w:p w14:paraId="72677C85" w14:textId="77777777" w:rsidR="00B913C0" w:rsidRPr="00B913C0" w:rsidRDefault="008B47B3" w:rsidP="00B913C0">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rPr>
            </w:pPr>
            <w:r w:rsidRPr="000D1107">
              <w:rPr>
                <w:rStyle w:val="TabletextChar"/>
                <w14:numForm w14:val="default"/>
              </w:rPr>
              <w:t xml:space="preserve">Part B </w:t>
            </w:r>
            <w:r w:rsidR="00EE6E64">
              <w:rPr>
                <w:rStyle w:val="TabletextChar"/>
                <w14:numForm w14:val="default"/>
              </w:rPr>
              <w:t>—</w:t>
            </w:r>
            <w:r w:rsidR="00EE6E64" w:rsidRPr="000D1107">
              <w:rPr>
                <w:rStyle w:val="TabletextChar"/>
                <w14:numForm w14:val="default"/>
              </w:rPr>
              <w:t xml:space="preserve"> </w:t>
            </w:r>
            <w:r w:rsidRPr="000D1107">
              <w:rPr>
                <w:rStyle w:val="TabletextChar"/>
                <w14:numForm w14:val="default"/>
              </w:rPr>
              <w:t xml:space="preserve">20% </w:t>
            </w:r>
            <w:r>
              <w:rPr>
                <w:rStyle w:val="TabletextChar"/>
                <w14:numForm w14:val="default"/>
              </w:rPr>
              <w:t xml:space="preserve">complex familiar </w:t>
            </w:r>
            <w:r w:rsidRPr="000D1107">
              <w:rPr>
                <w:rStyle w:val="TabletextChar"/>
                <w14:numForm w14:val="default"/>
              </w:rPr>
              <w:t>and 20% unfamiliar</w:t>
            </w:r>
            <w:r>
              <w:rPr>
                <w:rStyle w:val="TabletextChar"/>
                <w14:numForm w14:val="default"/>
              </w:rPr>
              <w:t xml:space="preserve"> questions</w:t>
            </w:r>
          </w:p>
          <w:p w14:paraId="0720EF82" w14:textId="77777777" w:rsidR="00B913C0" w:rsidRDefault="00B913C0" w:rsidP="00B913C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TabletextChar"/>
                <w14:numForm w14:val="default"/>
              </w:rPr>
            </w:pPr>
          </w:p>
          <w:p w14:paraId="15910501" w14:textId="77777777" w:rsidR="000F425C" w:rsidRPr="008B47B3" w:rsidRDefault="008B47B3" w:rsidP="00B913C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14:numForm w14:val="lining"/>
              </w:rPr>
            </w:pPr>
            <w:r w:rsidRPr="000D1107">
              <w:rPr>
                <w:rStyle w:val="TabletextChar"/>
                <w14:numForm w14:val="default"/>
              </w:rPr>
              <w:t>Conditions:</w:t>
            </w:r>
            <w:r w:rsidR="00EE6E64">
              <w:rPr>
                <w:rStyle w:val="TabletextChar"/>
                <w14:numForm w14:val="default"/>
              </w:rPr>
              <w:t xml:space="preserve"> </w:t>
            </w:r>
            <w:r w:rsidRPr="000D1107">
              <w:rPr>
                <w:rStyle w:val="TabletextChar"/>
                <w14:numForm w14:val="default"/>
              </w:rPr>
              <w:t xml:space="preserve">60 minutes including </w:t>
            </w:r>
            <w:r>
              <w:rPr>
                <w:rStyle w:val="TabletextChar"/>
                <w14:numForm w14:val="default"/>
              </w:rPr>
              <w:t xml:space="preserve">10 </w:t>
            </w:r>
            <w:r w:rsidRPr="000D1107">
              <w:rPr>
                <w:rStyle w:val="TabletextChar"/>
                <w14:numForm w14:val="default"/>
              </w:rPr>
              <w:t>minute</w:t>
            </w:r>
            <w:r>
              <w:rPr>
                <w:rStyle w:val="TabletextChar"/>
                <w14:numForm w14:val="default"/>
              </w:rPr>
              <w:t>s</w:t>
            </w:r>
            <w:r w:rsidRPr="000D1107">
              <w:rPr>
                <w:rStyle w:val="TabletextChar"/>
                <w14:numForm w14:val="default"/>
              </w:rPr>
              <w:t xml:space="preserve"> perusal</w:t>
            </w:r>
          </w:p>
        </w:tc>
        <w:tc>
          <w:tcPr>
            <w:tcW w:w="907" w:type="dxa"/>
          </w:tcPr>
          <w:p w14:paraId="7779A25E" w14:textId="77777777" w:rsidR="000F425C" w:rsidRPr="00337583" w:rsidRDefault="004A746C" w:rsidP="00E85F78">
            <w:pPr>
              <w:pStyle w:val="Tabletext"/>
              <w:cnfStyle w:val="000000000000" w:firstRow="0" w:lastRow="0" w:firstColumn="0" w:lastColumn="0" w:oddVBand="0" w:evenVBand="0" w:oddHBand="0" w:evenHBand="0" w:firstRowFirstColumn="0" w:firstRowLastColumn="0" w:lastRowFirstColumn="0" w:lastRowLastColumn="0"/>
            </w:pPr>
            <w:r>
              <w:t>8</w:t>
            </w:r>
          </w:p>
        </w:tc>
      </w:tr>
      <w:tr w:rsidR="000D1107" w:rsidRPr="00337583" w14:paraId="3A924B8F" w14:textId="77777777" w:rsidTr="002F030C">
        <w:trPr>
          <w:cantSplit/>
          <w:trHeight w:val="3402"/>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3D0AD1C" w14:textId="77777777" w:rsidR="000D1107" w:rsidRPr="00337583" w:rsidRDefault="000D1107" w:rsidP="009D30E3">
            <w:pPr>
              <w:pStyle w:val="Tablesubhead"/>
              <w:ind w:left="113" w:right="113"/>
              <w:jc w:val="center"/>
            </w:pPr>
            <w:bookmarkStart w:id="5" w:name="_Hlk67563590"/>
            <w:r w:rsidRPr="00337583">
              <w:t>Achievement standard</w:t>
            </w:r>
          </w:p>
        </w:tc>
        <w:tc>
          <w:tcPr>
            <w:tcW w:w="5051" w:type="dxa"/>
            <w:gridSpan w:val="2"/>
          </w:tcPr>
          <w:p w14:paraId="278E02C2" w14:textId="77777777" w:rsidR="000D1107" w:rsidRPr="00D16529" w:rsidRDefault="000D1107" w:rsidP="00D16529">
            <w:pPr>
              <w:pStyle w:val="Tabletext"/>
              <w:cnfStyle w:val="000000000000" w:firstRow="0" w:lastRow="0" w:firstColumn="0" w:lastColumn="0" w:oddVBand="0" w:evenVBand="0" w:oddHBand="0" w:evenHBand="0" w:firstRowFirstColumn="0" w:firstRowLastColumn="0" w:lastRowFirstColumn="0" w:lastRowLastColumn="0"/>
            </w:pPr>
            <w:r w:rsidRPr="00D16529">
              <w:t xml:space="preserve">By the end of </w:t>
            </w:r>
            <w:r>
              <w:t>Y</w:t>
            </w:r>
            <w:r w:rsidRPr="00D16529">
              <w:t>ear 9, students solve problems involving simple interest. They interpret ratio and scale factors in similar figures. Students explain similarity of triangles. They recognise the connections between similarity and the trigonometric ratios. Students compare techniques for collecting data from primary and secondary sources. They make sense of the position of the mean and median in skewed, symmetric and bi-modal displays to describe and interpret data.</w:t>
            </w:r>
          </w:p>
          <w:p w14:paraId="0E0CA26C" w14:textId="77777777" w:rsidR="000D1107" w:rsidRPr="00D16529" w:rsidRDefault="000D1107" w:rsidP="00D16529">
            <w:pPr>
              <w:pStyle w:val="Tabletext"/>
              <w:cnfStyle w:val="000000000000" w:firstRow="0" w:lastRow="0" w:firstColumn="0" w:lastColumn="0" w:oddVBand="0" w:evenVBand="0" w:oddHBand="0" w:evenHBand="0" w:firstRowFirstColumn="0" w:firstRowLastColumn="0" w:lastRowFirstColumn="0" w:lastRowLastColumn="0"/>
            </w:pPr>
          </w:p>
          <w:p w14:paraId="15BFC9D3" w14:textId="77777777" w:rsidR="000D1107" w:rsidRPr="00337583" w:rsidRDefault="000D1107" w:rsidP="000F425C">
            <w:pPr>
              <w:pStyle w:val="Tabletext"/>
              <w:cnfStyle w:val="000000000000" w:firstRow="0" w:lastRow="0" w:firstColumn="0" w:lastColumn="0" w:oddVBand="0" w:evenVBand="0" w:oddHBand="0" w:evenHBand="0" w:firstRowFirstColumn="0" w:firstRowLastColumn="0" w:lastRowFirstColumn="0" w:lastRowLastColumn="0"/>
            </w:pPr>
            <w:r w:rsidRPr="000720BB">
              <w:rPr>
                <w:rStyle w:val="Shading1"/>
                <w:rFonts w:eastAsiaTheme="minorHAnsi"/>
              </w:rPr>
              <w:t>Students apply the index laws to numbers and express numbers in scientific notation. They expand binomial expressions.</w:t>
            </w:r>
            <w:r w:rsidRPr="00D16529">
              <w:rPr>
                <w:rFonts w:asciiTheme="minorHAnsi" w:eastAsiaTheme="minorHAnsi" w:hAnsiTheme="minorHAnsi"/>
                <w:szCs w:val="19"/>
                <w:lang w:eastAsia="en-US"/>
              </w:rPr>
              <w:t xml:space="preserve"> They find the distance between two points on the Cartesian plane and the gradient and midpoint of a line segment. They sketch linear and non-linear relations. Students calculate areas of shapes and the volume and surface area of right prisms and cylinders. They use Pythagoras' Theorem and trigonometry to find unknown sides of right-angled triangles. Students calculate relative frequencies to estimate probabilities, list outcomes for two-step experiments and assign probabilities for those outcomes. They construct histograms and back-to-back stem-and-leaf plots</w:t>
            </w:r>
            <w:r>
              <w:rPr>
                <w:rFonts w:asciiTheme="minorHAnsi" w:eastAsiaTheme="minorHAnsi" w:hAnsiTheme="minorHAnsi"/>
                <w:szCs w:val="19"/>
                <w:lang w:eastAsia="en-US"/>
              </w:rPr>
              <w:t>.</w:t>
            </w:r>
          </w:p>
        </w:tc>
        <w:tc>
          <w:tcPr>
            <w:tcW w:w="5051" w:type="dxa"/>
            <w:gridSpan w:val="2"/>
          </w:tcPr>
          <w:p w14:paraId="79AE6D27" w14:textId="77777777" w:rsidR="000D1107" w:rsidRPr="00D16529" w:rsidRDefault="000D1107" w:rsidP="00D16529">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r w:rsidRPr="00D16529">
              <w:rPr>
                <w:rFonts w:ascii="Arial" w:eastAsia="Times New Roman" w:hAnsi="Arial" w:cs="Times New Roman"/>
                <w:sz w:val="19"/>
                <w:szCs w:val="21"/>
                <w:lang w:eastAsia="en-AU"/>
              </w:rPr>
              <w:t xml:space="preserve">By the end of </w:t>
            </w:r>
            <w:r>
              <w:rPr>
                <w:rFonts w:ascii="Arial" w:eastAsia="Times New Roman" w:hAnsi="Arial" w:cs="Times New Roman"/>
                <w:sz w:val="19"/>
                <w:szCs w:val="21"/>
                <w:lang w:eastAsia="en-AU"/>
              </w:rPr>
              <w:t>Y</w:t>
            </w:r>
            <w:r w:rsidRPr="00D16529">
              <w:rPr>
                <w:rFonts w:ascii="Arial" w:eastAsia="Times New Roman" w:hAnsi="Arial" w:cs="Times New Roman"/>
                <w:sz w:val="19"/>
                <w:szCs w:val="21"/>
                <w:lang w:eastAsia="en-AU"/>
              </w:rPr>
              <w:t xml:space="preserve">ear 9, </w:t>
            </w:r>
            <w:r w:rsidRPr="008C537B">
              <w:rPr>
                <w:rStyle w:val="Shading1"/>
                <w:rFonts w:asciiTheme="minorHAnsi" w:eastAsiaTheme="minorHAnsi" w:hAnsiTheme="minorHAnsi" w:cstheme="minorHAnsi"/>
                <w:sz w:val="19"/>
                <w:szCs w:val="19"/>
              </w:rPr>
              <w:t>students solve problems involving simple interest.</w:t>
            </w:r>
            <w:r w:rsidRPr="00D16529">
              <w:rPr>
                <w:rFonts w:ascii="Arial" w:eastAsia="Times New Roman" w:hAnsi="Arial" w:cs="Times New Roman"/>
                <w:sz w:val="19"/>
                <w:szCs w:val="21"/>
                <w:lang w:eastAsia="en-AU"/>
              </w:rPr>
              <w:t xml:space="preserve"> They interpret ratio and scale factors in similar figures. Students explain similarity of triangles. They recognise the connections between similarity and the trigonometric ratios. Students compare techniques for collecting data from primary and secondary sources. They make sense of the position of the mean and median in skewed, symmetric and bi-modal displays to describe and interpret data.</w:t>
            </w:r>
          </w:p>
          <w:p w14:paraId="339E78A4" w14:textId="77777777" w:rsidR="000D1107" w:rsidRPr="00D16529" w:rsidRDefault="000D1107" w:rsidP="00D16529">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19"/>
                <w:lang w:eastAsia="en-AU"/>
              </w:rPr>
            </w:pPr>
          </w:p>
          <w:p w14:paraId="6186EEA3" w14:textId="77777777" w:rsidR="000D1107" w:rsidRPr="00337583" w:rsidRDefault="000D1107" w:rsidP="000F425C">
            <w:pPr>
              <w:pStyle w:val="Tabletext"/>
              <w:cnfStyle w:val="000000000000" w:firstRow="0" w:lastRow="0" w:firstColumn="0" w:lastColumn="0" w:oddVBand="0" w:evenVBand="0" w:oddHBand="0" w:evenHBand="0" w:firstRowFirstColumn="0" w:firstRowLastColumn="0" w:lastRowFirstColumn="0" w:lastRowLastColumn="0"/>
            </w:pPr>
            <w:r w:rsidRPr="00D16529">
              <w:rPr>
                <w:rFonts w:asciiTheme="minorHAnsi" w:eastAsiaTheme="minorHAnsi" w:hAnsiTheme="minorHAnsi" w:cstheme="minorBidi"/>
                <w:szCs w:val="19"/>
                <w:lang w:eastAsia="en-US"/>
              </w:rPr>
              <w:t xml:space="preserve">Students apply the index laws to numbers and express numbers in scientific notation. They expand binomial expressions. They find the distance between two points on the Cartesian plane and the gradient and midpoint of a line segment. They sketch linear and non-linear relations. </w:t>
            </w:r>
            <w:r w:rsidRPr="00697EF2">
              <w:rPr>
                <w:rStyle w:val="Shading1"/>
                <w:rFonts w:eastAsiaTheme="minorHAnsi"/>
              </w:rPr>
              <w:t>Students calculate areas of shapes and the volume and surface area of right prisms and cylinders.</w:t>
            </w:r>
            <w:r w:rsidRPr="00D16529">
              <w:rPr>
                <w:rFonts w:asciiTheme="minorHAnsi" w:eastAsiaTheme="minorHAnsi" w:hAnsiTheme="minorHAnsi" w:cstheme="minorBidi"/>
                <w:szCs w:val="19"/>
                <w:lang w:eastAsia="en-US"/>
              </w:rPr>
              <w:t xml:space="preserve"> They use Pythagoras' Theorem and trigonometry to find unknown sides of right-angled triangles. Students calculate relative frequencies to estimate probabilities, list outcomes for two-step experiments and assign probabilities for those outcomes. They construct histograms and back-to-back stem-and-leaf plots</w:t>
            </w:r>
            <w:r>
              <w:rPr>
                <w:rFonts w:asciiTheme="minorHAnsi" w:eastAsiaTheme="minorHAnsi" w:hAnsiTheme="minorHAnsi" w:cstheme="minorBidi"/>
                <w:szCs w:val="19"/>
                <w:lang w:eastAsia="en-US"/>
              </w:rPr>
              <w:t>.</w:t>
            </w:r>
          </w:p>
        </w:tc>
        <w:tc>
          <w:tcPr>
            <w:tcW w:w="5051" w:type="dxa"/>
            <w:gridSpan w:val="2"/>
          </w:tcPr>
          <w:p w14:paraId="107DD2DC" w14:textId="77777777" w:rsidR="000D1107" w:rsidRPr="00D16529" w:rsidRDefault="000D1107" w:rsidP="00D16529">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19"/>
                <w:lang w:eastAsia="en-AU"/>
              </w:rPr>
            </w:pPr>
            <w:r w:rsidRPr="00D16529">
              <w:rPr>
                <w:rFonts w:ascii="Arial" w:eastAsia="Times New Roman" w:hAnsi="Arial" w:cs="Times New Roman"/>
                <w:sz w:val="19"/>
                <w:szCs w:val="21"/>
                <w:lang w:eastAsia="en-AU"/>
              </w:rPr>
              <w:t xml:space="preserve">By the end of </w:t>
            </w:r>
            <w:r>
              <w:rPr>
                <w:rFonts w:ascii="Arial" w:eastAsia="Times New Roman" w:hAnsi="Arial" w:cs="Times New Roman"/>
                <w:sz w:val="19"/>
                <w:szCs w:val="21"/>
                <w:lang w:eastAsia="en-AU"/>
              </w:rPr>
              <w:t>Y</w:t>
            </w:r>
            <w:r w:rsidRPr="00D16529">
              <w:rPr>
                <w:rFonts w:ascii="Arial" w:eastAsia="Times New Roman" w:hAnsi="Arial" w:cs="Times New Roman"/>
                <w:sz w:val="19"/>
                <w:szCs w:val="21"/>
                <w:lang w:eastAsia="en-AU"/>
              </w:rPr>
              <w:t xml:space="preserve">ear 9, students solve problems involving simple interest. </w:t>
            </w:r>
            <w:r w:rsidRPr="00697EF2">
              <w:rPr>
                <w:rStyle w:val="Shading1"/>
                <w:rFonts w:asciiTheme="minorHAnsi" w:eastAsiaTheme="minorHAnsi" w:hAnsiTheme="minorHAnsi" w:cstheme="minorHAnsi"/>
                <w:sz w:val="19"/>
                <w:szCs w:val="19"/>
              </w:rPr>
              <w:t>They interpret ratio and scale factors in similar figures. Students explain similarity of triangles. They recognise the connections between similarity and the trigonometric ratios.</w:t>
            </w:r>
            <w:r w:rsidRPr="00D16529">
              <w:rPr>
                <w:rFonts w:ascii="Arial" w:eastAsia="Times New Roman" w:hAnsi="Arial" w:cs="Times New Roman"/>
                <w:sz w:val="19"/>
                <w:szCs w:val="21"/>
                <w:lang w:eastAsia="en-AU"/>
              </w:rPr>
              <w:t xml:space="preserve"> Students compare techniques for collecting data from primary and secondary sources. They make sense of the position of the mean and median in skewed, symmetric and bi-modal displays to </w:t>
            </w:r>
            <w:r w:rsidRPr="00D16529">
              <w:rPr>
                <w:rFonts w:ascii="Arial" w:eastAsia="Times New Roman" w:hAnsi="Arial" w:cs="Times New Roman"/>
                <w:sz w:val="19"/>
                <w:szCs w:val="19"/>
                <w:lang w:eastAsia="en-AU"/>
              </w:rPr>
              <w:t>describe and interpret data.</w:t>
            </w:r>
          </w:p>
          <w:p w14:paraId="460F0E20" w14:textId="77777777" w:rsidR="000D1107" w:rsidRPr="00D16529" w:rsidRDefault="000D1107" w:rsidP="00D16529">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19"/>
                <w:lang w:eastAsia="en-AU"/>
              </w:rPr>
            </w:pPr>
          </w:p>
          <w:p w14:paraId="4A9DB10C" w14:textId="77777777" w:rsidR="000D1107" w:rsidRPr="00337583" w:rsidRDefault="000D1107" w:rsidP="000F425C">
            <w:pPr>
              <w:pStyle w:val="Tabletext"/>
              <w:cnfStyle w:val="000000000000" w:firstRow="0" w:lastRow="0" w:firstColumn="0" w:lastColumn="0" w:oddVBand="0" w:evenVBand="0" w:oddHBand="0" w:evenHBand="0" w:firstRowFirstColumn="0" w:firstRowLastColumn="0" w:lastRowFirstColumn="0" w:lastRowLastColumn="0"/>
            </w:pPr>
            <w:r w:rsidRPr="00D16529">
              <w:rPr>
                <w:rFonts w:asciiTheme="minorHAnsi" w:eastAsiaTheme="minorHAnsi" w:hAnsiTheme="minorHAnsi" w:cstheme="minorBidi"/>
                <w:szCs w:val="19"/>
                <w:lang w:eastAsia="en-US"/>
              </w:rPr>
              <w:t xml:space="preserve">Students apply the index laws to numbers and express numbers in scientific notation. They expand binomial expressions. They find the distance between two points on the Cartesian plane and the gradient and midpoint of a line segment. They sketch linear and non-linear relations. Students calculate areas of shapes and the volume and surface area of right prisms and cylinders. </w:t>
            </w:r>
            <w:r w:rsidRPr="00697EF2">
              <w:rPr>
                <w:rStyle w:val="Shading1"/>
                <w:rFonts w:eastAsiaTheme="minorHAnsi"/>
              </w:rPr>
              <w:t>They use Pythagoras' Theorem and trigonometry to find unknown sides of right-angled triangles. Students calculate relative frequencies to estimate probabilities, list outcomes for two-step experiments and assign probabilities for those outcomes.</w:t>
            </w:r>
            <w:r w:rsidRPr="00D16529">
              <w:rPr>
                <w:rFonts w:asciiTheme="minorHAnsi" w:eastAsiaTheme="minorHAnsi" w:hAnsiTheme="minorHAnsi" w:cstheme="minorBidi"/>
                <w:szCs w:val="19"/>
                <w:lang w:eastAsia="en-US"/>
              </w:rPr>
              <w:t xml:space="preserve"> They construct histograms and back-to-back stem-and-leaf plots</w:t>
            </w:r>
            <w:r>
              <w:rPr>
                <w:rFonts w:asciiTheme="minorHAnsi" w:eastAsiaTheme="minorHAnsi" w:hAnsiTheme="minorHAnsi" w:cstheme="minorBidi"/>
                <w:szCs w:val="19"/>
                <w:lang w:eastAsia="en-US"/>
              </w:rPr>
              <w:t>.</w:t>
            </w:r>
          </w:p>
        </w:tc>
        <w:tc>
          <w:tcPr>
            <w:tcW w:w="5051" w:type="dxa"/>
            <w:gridSpan w:val="2"/>
          </w:tcPr>
          <w:p w14:paraId="1E9E07E2" w14:textId="77777777" w:rsidR="000D1107" w:rsidRPr="00D16529" w:rsidRDefault="000D1107" w:rsidP="00D16529">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r w:rsidRPr="00D16529">
              <w:rPr>
                <w:rFonts w:ascii="Arial" w:eastAsia="Times New Roman" w:hAnsi="Arial" w:cs="Times New Roman"/>
                <w:sz w:val="19"/>
                <w:szCs w:val="21"/>
                <w:lang w:eastAsia="en-AU"/>
              </w:rPr>
              <w:t xml:space="preserve">By the end of </w:t>
            </w:r>
            <w:r>
              <w:rPr>
                <w:rFonts w:ascii="Arial" w:eastAsia="Times New Roman" w:hAnsi="Arial" w:cs="Times New Roman"/>
                <w:sz w:val="19"/>
                <w:szCs w:val="21"/>
                <w:lang w:eastAsia="en-AU"/>
              </w:rPr>
              <w:t>Y</w:t>
            </w:r>
            <w:r w:rsidRPr="00D16529">
              <w:rPr>
                <w:rFonts w:ascii="Arial" w:eastAsia="Times New Roman" w:hAnsi="Arial" w:cs="Times New Roman"/>
                <w:sz w:val="19"/>
                <w:szCs w:val="21"/>
                <w:lang w:eastAsia="en-AU"/>
              </w:rPr>
              <w:t xml:space="preserve">ear 9, students solve problems involving simple interest. They interpret ratio and scale factors in similar figures. Students explain similarity of triangles. They recognise the connections between similarity and the trigonometric ratios. </w:t>
            </w:r>
            <w:r w:rsidRPr="00F81FB6">
              <w:rPr>
                <w:rStyle w:val="Shading1"/>
                <w:rFonts w:asciiTheme="minorHAnsi" w:eastAsiaTheme="minorHAnsi" w:hAnsiTheme="minorHAnsi" w:cstheme="minorHAnsi"/>
                <w:sz w:val="19"/>
                <w:szCs w:val="19"/>
              </w:rPr>
              <w:t>Students compare techniques for collecting data from primary and secondary sources. They make sense of the position of the mean and median in skewed, symmetric and bi-modal displays to describe and interpret data.</w:t>
            </w:r>
          </w:p>
          <w:p w14:paraId="2FA11982" w14:textId="77777777" w:rsidR="000D1107" w:rsidRPr="00D16529" w:rsidRDefault="000D1107" w:rsidP="00D16529">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19"/>
                <w:lang w:eastAsia="en-AU"/>
              </w:rPr>
            </w:pPr>
          </w:p>
          <w:p w14:paraId="525C50BD" w14:textId="77777777" w:rsidR="000D1107" w:rsidRPr="00337583" w:rsidRDefault="000D1107" w:rsidP="000F425C">
            <w:pPr>
              <w:pStyle w:val="Tabletext"/>
              <w:cnfStyle w:val="000000000000" w:firstRow="0" w:lastRow="0" w:firstColumn="0" w:lastColumn="0" w:oddVBand="0" w:evenVBand="0" w:oddHBand="0" w:evenHBand="0" w:firstRowFirstColumn="0" w:firstRowLastColumn="0" w:lastRowFirstColumn="0" w:lastRowLastColumn="0"/>
            </w:pPr>
            <w:r w:rsidRPr="00D16529">
              <w:rPr>
                <w:rFonts w:asciiTheme="minorHAnsi" w:eastAsiaTheme="minorHAnsi" w:hAnsiTheme="minorHAnsi" w:cstheme="minorBidi"/>
                <w:szCs w:val="19"/>
                <w:lang w:eastAsia="en-US"/>
              </w:rPr>
              <w:t xml:space="preserve">Students apply the index laws to numbers and express numbers in scientific notation. They expand binomial expressions. </w:t>
            </w:r>
            <w:r w:rsidRPr="00697EF2">
              <w:rPr>
                <w:rStyle w:val="Shading1"/>
                <w:rFonts w:eastAsiaTheme="minorHAnsi"/>
              </w:rPr>
              <w:t>They find the distance between two points on the Cartesian plane and the gradient and midpoint of a line segment. They sketch linear and non-linear relations.</w:t>
            </w:r>
            <w:r w:rsidRPr="00D16529">
              <w:rPr>
                <w:rFonts w:asciiTheme="minorHAnsi" w:eastAsiaTheme="minorHAnsi" w:hAnsiTheme="minorHAnsi" w:cstheme="minorBidi"/>
                <w:szCs w:val="19"/>
                <w:lang w:eastAsia="en-US"/>
              </w:rPr>
              <w:t xml:space="preserve"> Students calculate areas of shapes and the volume and surface area of right prisms and cylinders. They use Pythagoras' Theorem and trigonometry to find unknown sides of right-angled triangles. Students calculate relative frequencies to estimate probabilities, list outcomes for two-step experiments and assign probabilities for those outcomes. </w:t>
            </w:r>
            <w:r w:rsidRPr="00697EF2">
              <w:rPr>
                <w:rStyle w:val="Shading1"/>
                <w:rFonts w:eastAsiaTheme="minorHAnsi"/>
              </w:rPr>
              <w:t>They construct histograms and back-to-back stem-and-leaf plots.</w:t>
            </w:r>
          </w:p>
        </w:tc>
      </w:tr>
      <w:bookmarkEnd w:id="5"/>
      <w:tr w:rsidR="000F425C" w:rsidRPr="00337583" w14:paraId="4D677A48" w14:textId="77777777" w:rsidTr="006E414E">
        <w:trPr>
          <w:cantSplit/>
          <w:trHeight w:val="1432"/>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969922E" w14:textId="77777777" w:rsidR="000F425C" w:rsidRPr="00337583" w:rsidRDefault="009D30E3" w:rsidP="009D30E3">
            <w:pPr>
              <w:pStyle w:val="Tablesubhead"/>
              <w:ind w:left="113" w:right="113"/>
              <w:jc w:val="center"/>
            </w:pPr>
            <w:r w:rsidRPr="00337583">
              <w:t>Moderation</w:t>
            </w:r>
          </w:p>
        </w:tc>
        <w:tc>
          <w:tcPr>
            <w:tcW w:w="5051" w:type="dxa"/>
            <w:gridSpan w:val="2"/>
          </w:tcPr>
          <w:p w14:paraId="0219B167" w14:textId="77777777" w:rsidR="00B97961" w:rsidRDefault="00B2798B" w:rsidP="006C7755">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 xml:space="preserve">Calibration: </w:t>
            </w:r>
            <w:r w:rsidR="00120242">
              <w:rPr>
                <w:rStyle w:val="TabletextChar"/>
              </w:rPr>
              <w:t>A</w:t>
            </w:r>
            <w:r w:rsidR="00706985">
              <w:rPr>
                <w:rStyle w:val="TabletextChar"/>
              </w:rPr>
              <w:t xml:space="preserve"> </w:t>
            </w:r>
            <w:r w:rsidR="0055292B">
              <w:rPr>
                <w:rStyle w:val="TabletextChar"/>
              </w:rPr>
              <w:t xml:space="preserve">facilitating teacher </w:t>
            </w:r>
            <w:r w:rsidR="00701DE2">
              <w:rPr>
                <w:rStyle w:val="TabletextChar"/>
              </w:rPr>
              <w:t xml:space="preserve">will </w:t>
            </w:r>
            <w:r w:rsidR="00B97961">
              <w:rPr>
                <w:rStyle w:val="TabletextChar"/>
              </w:rPr>
              <w:t>select samples represent</w:t>
            </w:r>
            <w:r w:rsidR="00120242">
              <w:rPr>
                <w:rStyle w:val="TabletextChar"/>
              </w:rPr>
              <w:t xml:space="preserve">ing </w:t>
            </w:r>
            <w:r w:rsidR="00701DE2">
              <w:rPr>
                <w:rStyle w:val="TabletextChar"/>
              </w:rPr>
              <w:t xml:space="preserve">each grade on </w:t>
            </w:r>
            <w:r w:rsidR="00B97961">
              <w:rPr>
                <w:rStyle w:val="TabletextChar"/>
              </w:rPr>
              <w:t xml:space="preserve">the five-point scale described in the task-specific standards </w:t>
            </w:r>
            <w:r w:rsidR="00F3474B">
              <w:rPr>
                <w:rStyle w:val="TabletextChar"/>
              </w:rPr>
              <w:t xml:space="preserve">from each class </w:t>
            </w:r>
            <w:r w:rsidR="00B97961">
              <w:rPr>
                <w:rStyle w:val="TabletextChar"/>
              </w:rPr>
              <w:t xml:space="preserve">to </w:t>
            </w:r>
            <w:r w:rsidR="000504FF">
              <w:rPr>
                <w:rStyle w:val="TabletextChar"/>
              </w:rPr>
              <w:t>use</w:t>
            </w:r>
            <w:r w:rsidR="00B97961">
              <w:rPr>
                <w:rStyle w:val="TabletextChar"/>
              </w:rPr>
              <w:t xml:space="preserve"> in the calibration process.  </w:t>
            </w:r>
          </w:p>
          <w:p w14:paraId="2EB762DC" w14:textId="77777777" w:rsidR="00B97961" w:rsidRDefault="00B97961" w:rsidP="006C7755">
            <w:pPr>
              <w:pStyle w:val="Tabletext"/>
              <w:cnfStyle w:val="000000000000" w:firstRow="0" w:lastRow="0" w:firstColumn="0" w:lastColumn="0" w:oddVBand="0" w:evenVBand="0" w:oddHBand="0" w:evenHBand="0" w:firstRowFirstColumn="0" w:firstRowLastColumn="0" w:lastRowFirstColumn="0" w:lastRowLastColumn="0"/>
              <w:rPr>
                <w:rStyle w:val="TabletextChar"/>
              </w:rPr>
            </w:pPr>
          </w:p>
          <w:p w14:paraId="4C584C5E" w14:textId="77777777" w:rsidR="00220FF4" w:rsidRPr="006E2E09" w:rsidRDefault="00F3324D" w:rsidP="006C7755">
            <w:pPr>
              <w:pStyle w:val="Tabletext"/>
              <w:cnfStyle w:val="000000000000" w:firstRow="0" w:lastRow="0" w:firstColumn="0" w:lastColumn="0" w:oddVBand="0" w:evenVBand="0" w:oddHBand="0" w:evenHBand="0" w:firstRowFirstColumn="0" w:firstRowLastColumn="0" w:lastRowFirstColumn="0" w:lastRowLastColumn="0"/>
              <w:rPr>
                <w14:numForm w14:val="lining"/>
              </w:rPr>
            </w:pPr>
            <w:r>
              <w:rPr>
                <w:rStyle w:val="TabletextChar"/>
              </w:rPr>
              <w:t>After the calibration process, the</w:t>
            </w:r>
            <w:r w:rsidR="00FD4BC8">
              <w:rPr>
                <w:rStyle w:val="TabletextChar"/>
              </w:rPr>
              <w:t xml:space="preserve"> class </w:t>
            </w:r>
            <w:r w:rsidR="006E2E09">
              <w:rPr>
                <w:rStyle w:val="TabletextChar"/>
              </w:rPr>
              <w:t>teacher</w:t>
            </w:r>
            <w:r w:rsidR="005E629C">
              <w:rPr>
                <w:rStyle w:val="TabletextChar"/>
              </w:rPr>
              <w:t xml:space="preserve"> will</w:t>
            </w:r>
            <w:r w:rsidR="006E2E09">
              <w:rPr>
                <w:rStyle w:val="TabletextChar"/>
              </w:rPr>
              <w:t xml:space="preserve"> grade their students’ responses, applying the</w:t>
            </w:r>
            <w:r w:rsidR="006E09FA">
              <w:rPr>
                <w:rStyle w:val="TabletextChar"/>
              </w:rPr>
              <w:t xml:space="preserve"> </w:t>
            </w:r>
            <w:r w:rsidR="006E2E09">
              <w:rPr>
                <w:rStyle w:val="TabletextChar"/>
              </w:rPr>
              <w:t>shared understanding</w:t>
            </w:r>
            <w:r>
              <w:rPr>
                <w:rStyle w:val="TabletextChar"/>
              </w:rPr>
              <w:t xml:space="preserve"> they have</w:t>
            </w:r>
            <w:r w:rsidR="006E2E09">
              <w:rPr>
                <w:rStyle w:val="TabletextChar"/>
              </w:rPr>
              <w:t xml:space="preserve"> gained</w:t>
            </w:r>
            <w:r>
              <w:rPr>
                <w:rStyle w:val="TabletextChar"/>
              </w:rPr>
              <w:t>.</w:t>
            </w:r>
          </w:p>
        </w:tc>
        <w:tc>
          <w:tcPr>
            <w:tcW w:w="5051" w:type="dxa"/>
            <w:gridSpan w:val="2"/>
          </w:tcPr>
          <w:p w14:paraId="727696B3" w14:textId="77777777" w:rsidR="007C57C2" w:rsidRDefault="00B2798B" w:rsidP="007C57C2">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 xml:space="preserve">Conferencing: </w:t>
            </w:r>
            <w:r w:rsidR="006E2E09">
              <w:rPr>
                <w:rStyle w:val="TabletextChar"/>
              </w:rPr>
              <w:t>T</w:t>
            </w:r>
            <w:r>
              <w:rPr>
                <w:rStyle w:val="TabletextChar"/>
              </w:rPr>
              <w:t>he class t</w:t>
            </w:r>
            <w:r w:rsidR="006E2E09">
              <w:rPr>
                <w:rStyle w:val="TabletextChar"/>
              </w:rPr>
              <w:t>eacher</w:t>
            </w:r>
            <w:r>
              <w:rPr>
                <w:rStyle w:val="TabletextChar"/>
              </w:rPr>
              <w:t xml:space="preserve"> will</w:t>
            </w:r>
            <w:r w:rsidR="006E2E09">
              <w:rPr>
                <w:rStyle w:val="TabletextChar"/>
              </w:rPr>
              <w:t xml:space="preserve"> grade all student responses using the task-specific standards. They </w:t>
            </w:r>
            <w:r>
              <w:rPr>
                <w:rStyle w:val="TabletextChar"/>
              </w:rPr>
              <w:t xml:space="preserve">will </w:t>
            </w:r>
            <w:r w:rsidR="006E2E09">
              <w:rPr>
                <w:rStyle w:val="TabletextChar"/>
              </w:rPr>
              <w:t xml:space="preserve">select samples </w:t>
            </w:r>
            <w:r w:rsidR="00120242">
              <w:rPr>
                <w:rStyle w:val="TabletextChar"/>
              </w:rPr>
              <w:t xml:space="preserve">representing each grade on </w:t>
            </w:r>
            <w:r w:rsidR="006E2E09">
              <w:rPr>
                <w:rStyle w:val="TabletextChar"/>
              </w:rPr>
              <w:t xml:space="preserve">the five-point scale </w:t>
            </w:r>
            <w:r w:rsidR="00105DA6">
              <w:rPr>
                <w:rStyle w:val="TabletextChar"/>
              </w:rPr>
              <w:t xml:space="preserve">described in the task-specific standards </w:t>
            </w:r>
            <w:r w:rsidR="00120242">
              <w:rPr>
                <w:rStyle w:val="TabletextChar"/>
              </w:rPr>
              <w:t xml:space="preserve">to </w:t>
            </w:r>
            <w:r w:rsidR="00944779">
              <w:rPr>
                <w:rStyle w:val="TabletextChar"/>
              </w:rPr>
              <w:t>use</w:t>
            </w:r>
            <w:r w:rsidR="006E2E09">
              <w:rPr>
                <w:rStyle w:val="TabletextChar"/>
              </w:rPr>
              <w:t xml:space="preserve"> in the conferencing process.</w:t>
            </w:r>
          </w:p>
          <w:p w14:paraId="4A804817" w14:textId="77777777" w:rsidR="006E2E09" w:rsidRDefault="006E2E09" w:rsidP="007C57C2">
            <w:pPr>
              <w:pStyle w:val="Tabletext"/>
              <w:cnfStyle w:val="000000000000" w:firstRow="0" w:lastRow="0" w:firstColumn="0" w:lastColumn="0" w:oddVBand="0" w:evenVBand="0" w:oddHBand="0" w:evenHBand="0" w:firstRowFirstColumn="0" w:firstRowLastColumn="0" w:lastRowFirstColumn="0" w:lastRowLastColumn="0"/>
              <w:rPr>
                <w:rStyle w:val="TabletextChar"/>
              </w:rPr>
            </w:pPr>
          </w:p>
          <w:p w14:paraId="365A65F6" w14:textId="77777777" w:rsidR="006E2E09" w:rsidRPr="007C57C2" w:rsidRDefault="00B2798B" w:rsidP="007C57C2">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After the conferencing process, the class</w:t>
            </w:r>
            <w:r w:rsidR="006E2E09">
              <w:rPr>
                <w:rStyle w:val="TabletextChar"/>
              </w:rPr>
              <w:t xml:space="preserve"> teacher</w:t>
            </w:r>
            <w:r>
              <w:rPr>
                <w:rStyle w:val="TabletextChar"/>
              </w:rPr>
              <w:t xml:space="preserve"> will</w:t>
            </w:r>
            <w:r w:rsidR="006E2E09">
              <w:rPr>
                <w:rStyle w:val="TabletextChar"/>
              </w:rPr>
              <w:t xml:space="preserve"> apply their shared understanding </w:t>
            </w:r>
            <w:r w:rsidR="00270784">
              <w:rPr>
                <w:rStyle w:val="TabletextChar"/>
              </w:rPr>
              <w:t xml:space="preserve">of the standards </w:t>
            </w:r>
            <w:r w:rsidR="006E2E09">
              <w:rPr>
                <w:rStyle w:val="TabletextChar"/>
              </w:rPr>
              <w:t xml:space="preserve">to </w:t>
            </w:r>
            <w:r w:rsidR="00270784">
              <w:rPr>
                <w:rStyle w:val="TabletextChar"/>
              </w:rPr>
              <w:t xml:space="preserve">review </w:t>
            </w:r>
            <w:r w:rsidR="00105DA6">
              <w:rPr>
                <w:rStyle w:val="TabletextChar"/>
              </w:rPr>
              <w:t xml:space="preserve">their </w:t>
            </w:r>
            <w:r w:rsidR="006E2E09">
              <w:rPr>
                <w:rStyle w:val="TabletextChar"/>
              </w:rPr>
              <w:t>students’ responses</w:t>
            </w:r>
            <w:r w:rsidR="00270784">
              <w:rPr>
                <w:rStyle w:val="TabletextChar"/>
              </w:rPr>
              <w:t xml:space="preserve"> and grades</w:t>
            </w:r>
            <w:r w:rsidR="006E2E09">
              <w:rPr>
                <w:rStyle w:val="TabletextChar"/>
              </w:rPr>
              <w:t xml:space="preserve">. </w:t>
            </w:r>
          </w:p>
          <w:p w14:paraId="45064C68" w14:textId="77777777" w:rsidR="000F425C" w:rsidRPr="00337583" w:rsidRDefault="000F425C" w:rsidP="007C57C2">
            <w:pPr>
              <w:pStyle w:val="Tabletext"/>
              <w:cnfStyle w:val="000000000000" w:firstRow="0" w:lastRow="0" w:firstColumn="0" w:lastColumn="0" w:oddVBand="0" w:evenVBand="0" w:oddHBand="0" w:evenHBand="0" w:firstRowFirstColumn="0" w:firstRowLastColumn="0" w:lastRowFirstColumn="0" w:lastRowLastColumn="0"/>
            </w:pPr>
          </w:p>
        </w:tc>
        <w:tc>
          <w:tcPr>
            <w:tcW w:w="5051" w:type="dxa"/>
            <w:gridSpan w:val="2"/>
          </w:tcPr>
          <w:p w14:paraId="1DAE1AE8" w14:textId="77777777" w:rsidR="007C57C2" w:rsidRDefault="007D69D9" w:rsidP="007C57C2">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 xml:space="preserve">Expert: </w:t>
            </w:r>
            <w:r w:rsidR="00270784">
              <w:rPr>
                <w:rStyle w:val="TabletextChar"/>
              </w:rPr>
              <w:t>T</w:t>
            </w:r>
            <w:r w:rsidR="00120242">
              <w:rPr>
                <w:rStyle w:val="TabletextChar"/>
              </w:rPr>
              <w:t>he class t</w:t>
            </w:r>
            <w:r w:rsidR="00270784">
              <w:rPr>
                <w:rStyle w:val="TabletextChar"/>
              </w:rPr>
              <w:t>eacher</w:t>
            </w:r>
            <w:r w:rsidR="00120242">
              <w:rPr>
                <w:rStyle w:val="TabletextChar"/>
              </w:rPr>
              <w:t xml:space="preserve"> will</w:t>
            </w:r>
            <w:r w:rsidR="00270784">
              <w:rPr>
                <w:rStyle w:val="TabletextChar"/>
              </w:rPr>
              <w:t xml:space="preserve"> </w:t>
            </w:r>
            <w:r w:rsidR="00580092">
              <w:rPr>
                <w:rStyle w:val="TabletextChar"/>
              </w:rPr>
              <w:t>select</w:t>
            </w:r>
            <w:r w:rsidR="00270784">
              <w:rPr>
                <w:rStyle w:val="TabletextChar"/>
              </w:rPr>
              <w:t xml:space="preserve"> samples </w:t>
            </w:r>
            <w:r w:rsidR="00105DA6">
              <w:rPr>
                <w:rStyle w:val="TabletextChar"/>
              </w:rPr>
              <w:t>representing each grade on</w:t>
            </w:r>
            <w:r w:rsidR="00270784">
              <w:rPr>
                <w:rStyle w:val="TabletextChar"/>
              </w:rPr>
              <w:t xml:space="preserve"> the five-point scale </w:t>
            </w:r>
            <w:r w:rsidR="00105DA6">
              <w:rPr>
                <w:rStyle w:val="TabletextChar"/>
              </w:rPr>
              <w:t xml:space="preserve">described in the </w:t>
            </w:r>
            <w:r w:rsidR="00270784">
              <w:rPr>
                <w:rStyle w:val="TabletextChar"/>
              </w:rPr>
              <w:t>task</w:t>
            </w:r>
            <w:r w:rsidR="006E09FA">
              <w:rPr>
                <w:rStyle w:val="TabletextChar"/>
              </w:rPr>
              <w:noBreakHyphen/>
            </w:r>
            <w:r w:rsidR="00270784">
              <w:rPr>
                <w:rStyle w:val="TabletextChar"/>
              </w:rPr>
              <w:t>specific standards</w:t>
            </w:r>
            <w:r w:rsidR="00580092">
              <w:rPr>
                <w:rStyle w:val="TabletextChar"/>
              </w:rPr>
              <w:t xml:space="preserve"> and submit these</w:t>
            </w:r>
            <w:r w:rsidR="00270784">
              <w:rPr>
                <w:rStyle w:val="TabletextChar"/>
              </w:rPr>
              <w:t xml:space="preserve"> to the </w:t>
            </w:r>
            <w:r w:rsidR="00580092">
              <w:rPr>
                <w:rStyle w:val="TabletextChar"/>
              </w:rPr>
              <w:t>HOD</w:t>
            </w:r>
            <w:r w:rsidR="00270784">
              <w:rPr>
                <w:rStyle w:val="TabletextChar"/>
              </w:rPr>
              <w:t xml:space="preserve">. </w:t>
            </w:r>
            <w:r w:rsidR="00580092">
              <w:rPr>
                <w:rStyle w:val="TabletextChar"/>
              </w:rPr>
              <w:t>The HOD will</w:t>
            </w:r>
            <w:r w:rsidR="00270784">
              <w:rPr>
                <w:rStyle w:val="TabletextChar"/>
              </w:rPr>
              <w:t xml:space="preserve"> mark the samples using the task</w:t>
            </w:r>
            <w:r w:rsidR="00580092">
              <w:rPr>
                <w:rStyle w:val="TabletextChar"/>
              </w:rPr>
              <w:t>-</w:t>
            </w:r>
            <w:r w:rsidR="00270784">
              <w:rPr>
                <w:rStyle w:val="TabletextChar"/>
              </w:rPr>
              <w:t xml:space="preserve">specific standards and compare their judgment with the </w:t>
            </w:r>
            <w:r w:rsidR="00580092">
              <w:rPr>
                <w:rStyle w:val="TabletextChar"/>
              </w:rPr>
              <w:t xml:space="preserve">grade </w:t>
            </w:r>
            <w:r w:rsidR="00270784">
              <w:rPr>
                <w:rStyle w:val="TabletextChar"/>
              </w:rPr>
              <w:t xml:space="preserve">awarded by the </w:t>
            </w:r>
            <w:r w:rsidR="00580092">
              <w:rPr>
                <w:rStyle w:val="TabletextChar"/>
              </w:rPr>
              <w:t xml:space="preserve">class </w:t>
            </w:r>
            <w:r w:rsidR="00270784">
              <w:rPr>
                <w:rStyle w:val="TabletextChar"/>
              </w:rPr>
              <w:t>teacher.</w:t>
            </w:r>
          </w:p>
          <w:p w14:paraId="3B4B0A0D" w14:textId="77777777" w:rsidR="00270784" w:rsidRDefault="00270784" w:rsidP="007C57C2">
            <w:pPr>
              <w:pStyle w:val="Tabletext"/>
              <w:cnfStyle w:val="000000000000" w:firstRow="0" w:lastRow="0" w:firstColumn="0" w:lastColumn="0" w:oddVBand="0" w:evenVBand="0" w:oddHBand="0" w:evenHBand="0" w:firstRowFirstColumn="0" w:firstRowLastColumn="0" w:lastRowFirstColumn="0" w:lastRowLastColumn="0"/>
              <w:rPr>
                <w:rStyle w:val="TabletextChar"/>
              </w:rPr>
            </w:pPr>
          </w:p>
          <w:p w14:paraId="48CD7169" w14:textId="77777777" w:rsidR="000F425C" w:rsidRPr="00337583" w:rsidRDefault="00270784" w:rsidP="007C57C2">
            <w:pPr>
              <w:pStyle w:val="Tabletext"/>
              <w:cnfStyle w:val="000000000000" w:firstRow="0" w:lastRow="0" w:firstColumn="0" w:lastColumn="0" w:oddVBand="0" w:evenVBand="0" w:oddHBand="0" w:evenHBand="0" w:firstRowFirstColumn="0" w:firstRowLastColumn="0" w:lastRowFirstColumn="0" w:lastRowLastColumn="0"/>
            </w:pPr>
            <w:r>
              <w:rPr>
                <w:rStyle w:val="TabletextChar"/>
              </w:rPr>
              <w:t>T</w:t>
            </w:r>
            <w:r w:rsidR="00B84169">
              <w:rPr>
                <w:rStyle w:val="TabletextChar"/>
              </w:rPr>
              <w:t>he class t</w:t>
            </w:r>
            <w:r>
              <w:rPr>
                <w:rStyle w:val="TabletextChar"/>
              </w:rPr>
              <w:t xml:space="preserve">eacher </w:t>
            </w:r>
            <w:r w:rsidR="00B84169">
              <w:rPr>
                <w:rStyle w:val="TabletextChar"/>
              </w:rPr>
              <w:t xml:space="preserve">will </w:t>
            </w:r>
            <w:r>
              <w:rPr>
                <w:rStyle w:val="TabletextChar"/>
              </w:rPr>
              <w:t xml:space="preserve">use the </w:t>
            </w:r>
            <w:r w:rsidR="00B84169">
              <w:rPr>
                <w:rStyle w:val="TabletextChar"/>
              </w:rPr>
              <w:t>HOD's</w:t>
            </w:r>
            <w:r>
              <w:rPr>
                <w:rStyle w:val="TabletextChar"/>
              </w:rPr>
              <w:t xml:space="preserve"> advice to </w:t>
            </w:r>
            <w:r w:rsidR="00B84169">
              <w:rPr>
                <w:rStyle w:val="TabletextChar"/>
              </w:rPr>
              <w:t>review their students’ responses and grades</w:t>
            </w:r>
            <w:r w:rsidR="006E09FA">
              <w:rPr>
                <w:rStyle w:val="TabletextChar"/>
              </w:rPr>
              <w:t xml:space="preserve">, applying the </w:t>
            </w:r>
            <w:r w:rsidR="007D69D9">
              <w:rPr>
                <w:rStyle w:val="TabletextChar"/>
              </w:rPr>
              <w:t>shared understanding they have gained.</w:t>
            </w:r>
          </w:p>
        </w:tc>
        <w:tc>
          <w:tcPr>
            <w:tcW w:w="5051" w:type="dxa"/>
            <w:gridSpan w:val="2"/>
          </w:tcPr>
          <w:p w14:paraId="0C849713" w14:textId="77777777" w:rsidR="00270784" w:rsidRDefault="00706985" w:rsidP="00270784">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 xml:space="preserve">Calibration: </w:t>
            </w:r>
            <w:r w:rsidR="006E09FA">
              <w:rPr>
                <w:rStyle w:val="TabletextChar"/>
              </w:rPr>
              <w:t xml:space="preserve">A facilitating teacher will select samples representing each grade on the five-point scale described in the task-specific standards from each class to use in the calibration process.  </w:t>
            </w:r>
          </w:p>
          <w:p w14:paraId="55A463C8" w14:textId="77777777" w:rsidR="00270784" w:rsidRDefault="00270784" w:rsidP="00270784">
            <w:pPr>
              <w:pStyle w:val="Tabletext"/>
              <w:cnfStyle w:val="000000000000" w:firstRow="0" w:lastRow="0" w:firstColumn="0" w:lastColumn="0" w:oddVBand="0" w:evenVBand="0" w:oddHBand="0" w:evenHBand="0" w:firstRowFirstColumn="0" w:firstRowLastColumn="0" w:lastRowFirstColumn="0" w:lastRowLastColumn="0"/>
              <w:rPr>
                <w:rStyle w:val="TabletextChar"/>
              </w:rPr>
            </w:pPr>
          </w:p>
          <w:p w14:paraId="1E94CC1F" w14:textId="77777777" w:rsidR="000F425C" w:rsidRPr="00337583" w:rsidRDefault="00B3182D" w:rsidP="00270784">
            <w:pPr>
              <w:pStyle w:val="Tabletext"/>
              <w:cnfStyle w:val="000000000000" w:firstRow="0" w:lastRow="0" w:firstColumn="0" w:lastColumn="0" w:oddVBand="0" w:evenVBand="0" w:oddHBand="0" w:evenHBand="0" w:firstRowFirstColumn="0" w:firstRowLastColumn="0" w:lastRowFirstColumn="0" w:lastRowLastColumn="0"/>
            </w:pPr>
            <w:r>
              <w:rPr>
                <w:rStyle w:val="TabletextChar"/>
              </w:rPr>
              <w:t>After the calibration process, the c</w:t>
            </w:r>
            <w:r w:rsidR="00270784">
              <w:rPr>
                <w:rStyle w:val="TabletextChar"/>
              </w:rPr>
              <w:t xml:space="preserve">lass teacher </w:t>
            </w:r>
            <w:r>
              <w:rPr>
                <w:rStyle w:val="TabletextChar"/>
              </w:rPr>
              <w:t xml:space="preserve">will </w:t>
            </w:r>
            <w:r w:rsidR="00270784">
              <w:rPr>
                <w:rStyle w:val="TabletextChar"/>
              </w:rPr>
              <w:t xml:space="preserve">grade all their students’ responses, applying the shared understanding </w:t>
            </w:r>
            <w:r>
              <w:rPr>
                <w:rStyle w:val="TabletextChar"/>
              </w:rPr>
              <w:t xml:space="preserve">they have </w:t>
            </w:r>
            <w:r w:rsidR="00270784">
              <w:rPr>
                <w:rStyle w:val="TabletextChar"/>
              </w:rPr>
              <w:t>gained</w:t>
            </w:r>
            <w:r>
              <w:rPr>
                <w:rStyle w:val="TabletextChar"/>
              </w:rPr>
              <w:t>.</w:t>
            </w:r>
          </w:p>
        </w:tc>
      </w:tr>
    </w:tbl>
    <w:p w14:paraId="15CAFEC4" w14:textId="77777777" w:rsidR="0028764B" w:rsidRPr="0028764B" w:rsidRDefault="006904F7" w:rsidP="00C2788A">
      <w:pPr>
        <w:pStyle w:val="Heading1"/>
      </w:pPr>
      <w:r>
        <w:lastRenderedPageBreak/>
        <w:t>Teaching and learning focus</w:t>
      </w:r>
    </w:p>
    <w:tbl>
      <w:tblPr>
        <w:tblStyle w:val="QCAAtablestyle13"/>
        <w:tblW w:w="20950" w:type="dxa"/>
        <w:tblInd w:w="0" w:type="dxa"/>
        <w:tblLook w:val="04A0" w:firstRow="1" w:lastRow="0" w:firstColumn="1" w:lastColumn="0" w:noHBand="0" w:noVBand="1"/>
      </w:tblPr>
      <w:tblGrid>
        <w:gridCol w:w="4623"/>
        <w:gridCol w:w="586"/>
        <w:gridCol w:w="594"/>
        <w:gridCol w:w="602"/>
        <w:gridCol w:w="588"/>
        <w:gridCol w:w="4632"/>
        <w:gridCol w:w="586"/>
        <w:gridCol w:w="598"/>
        <w:gridCol w:w="586"/>
        <w:gridCol w:w="652"/>
        <w:gridCol w:w="4464"/>
        <w:gridCol w:w="586"/>
        <w:gridCol w:w="586"/>
        <w:gridCol w:w="586"/>
        <w:gridCol w:w="681"/>
      </w:tblGrid>
      <w:tr w:rsidR="005066AF" w14:paraId="343C5A4C" w14:textId="77777777" w:rsidTr="0028764B">
        <w:trPr>
          <w:cnfStyle w:val="100000000000" w:firstRow="1" w:lastRow="0" w:firstColumn="0" w:lastColumn="0" w:oddVBand="0" w:evenVBand="0" w:oddHBand="0" w:evenHBand="0" w:firstRowFirstColumn="0" w:firstRowLastColumn="0" w:lastRowFirstColumn="0" w:lastRowLastColumn="0"/>
          <w:trHeight w:val="253"/>
        </w:trPr>
        <w:tc>
          <w:tcPr>
            <w:tcW w:w="20950" w:type="dxa"/>
            <w:gridSpan w:val="15"/>
          </w:tcPr>
          <w:p w14:paraId="279C5A2E" w14:textId="77777777" w:rsidR="005066AF" w:rsidRPr="00840CEB" w:rsidRDefault="005066AF" w:rsidP="00840CEB">
            <w:pPr>
              <w:pStyle w:val="Tableheading"/>
            </w:pPr>
            <w:r w:rsidRPr="00840CEB">
              <w:t>Content descriptions</w:t>
            </w:r>
          </w:p>
        </w:tc>
      </w:tr>
      <w:tr w:rsidR="0028764B" w14:paraId="5293522A" w14:textId="77777777" w:rsidTr="00806941">
        <w:trPr>
          <w:trHeight w:val="241"/>
        </w:trPr>
        <w:tc>
          <w:tcPr>
            <w:tcW w:w="4623" w:type="dxa"/>
            <w:shd w:val="clear" w:color="auto" w:fill="E6E6E6" w:themeFill="background2"/>
          </w:tcPr>
          <w:p w14:paraId="0A60E94F" w14:textId="77777777" w:rsidR="005066AF" w:rsidRPr="002A3076" w:rsidRDefault="005066AF" w:rsidP="00840CEB">
            <w:pPr>
              <w:pStyle w:val="Tablesubhead"/>
              <w:jc w:val="center"/>
            </w:pPr>
            <w:r>
              <w:t>Number and Algebra</w:t>
            </w:r>
          </w:p>
        </w:tc>
        <w:tc>
          <w:tcPr>
            <w:tcW w:w="586" w:type="dxa"/>
            <w:shd w:val="clear" w:color="auto" w:fill="E6E6E6" w:themeFill="background2"/>
            <w:vAlign w:val="center"/>
          </w:tcPr>
          <w:p w14:paraId="42E32B0E" w14:textId="77777777" w:rsidR="005066AF" w:rsidRPr="002A3076" w:rsidRDefault="005066AF" w:rsidP="00840CEB">
            <w:pPr>
              <w:pStyle w:val="Tablesubhead"/>
              <w:jc w:val="center"/>
            </w:pPr>
            <w:r w:rsidRPr="000308CD">
              <w:t>Unit 1</w:t>
            </w:r>
          </w:p>
        </w:tc>
        <w:tc>
          <w:tcPr>
            <w:tcW w:w="594" w:type="dxa"/>
            <w:shd w:val="clear" w:color="auto" w:fill="E6E6E6" w:themeFill="background2"/>
            <w:vAlign w:val="center"/>
          </w:tcPr>
          <w:p w14:paraId="1FF78A22" w14:textId="77777777" w:rsidR="005066AF" w:rsidRPr="002A3076" w:rsidRDefault="005066AF" w:rsidP="00840CEB">
            <w:pPr>
              <w:pStyle w:val="Tablesubhead"/>
              <w:jc w:val="center"/>
            </w:pPr>
            <w:r w:rsidRPr="000308CD">
              <w:t>Unit 2</w:t>
            </w:r>
          </w:p>
        </w:tc>
        <w:tc>
          <w:tcPr>
            <w:tcW w:w="602" w:type="dxa"/>
            <w:shd w:val="clear" w:color="auto" w:fill="E6E6E6" w:themeFill="background2"/>
            <w:vAlign w:val="center"/>
          </w:tcPr>
          <w:p w14:paraId="767B1037" w14:textId="77777777" w:rsidR="005066AF" w:rsidRPr="002A3076" w:rsidRDefault="005066AF" w:rsidP="00840CEB">
            <w:pPr>
              <w:pStyle w:val="Tablesubhead"/>
              <w:jc w:val="center"/>
            </w:pPr>
            <w:r w:rsidRPr="000308CD">
              <w:t>Unit 3</w:t>
            </w:r>
          </w:p>
        </w:tc>
        <w:tc>
          <w:tcPr>
            <w:tcW w:w="588" w:type="dxa"/>
            <w:shd w:val="clear" w:color="auto" w:fill="E6E6E6" w:themeFill="background2"/>
            <w:vAlign w:val="center"/>
          </w:tcPr>
          <w:p w14:paraId="6A2A1453" w14:textId="77777777" w:rsidR="005066AF" w:rsidRPr="002A3076" w:rsidRDefault="005066AF" w:rsidP="00840CEB">
            <w:pPr>
              <w:pStyle w:val="Tablesubhead"/>
              <w:jc w:val="center"/>
            </w:pPr>
            <w:r w:rsidRPr="000308CD">
              <w:t>Unit 4</w:t>
            </w:r>
          </w:p>
        </w:tc>
        <w:tc>
          <w:tcPr>
            <w:tcW w:w="4632" w:type="dxa"/>
            <w:shd w:val="clear" w:color="auto" w:fill="E6E6E6" w:themeFill="background2"/>
          </w:tcPr>
          <w:p w14:paraId="6B5AA837" w14:textId="77777777" w:rsidR="005066AF" w:rsidRDefault="005066AF" w:rsidP="00840CEB">
            <w:pPr>
              <w:pStyle w:val="Tablesubhead"/>
              <w:jc w:val="center"/>
            </w:pPr>
            <w:r>
              <w:t>Measurement and Geometry</w:t>
            </w:r>
          </w:p>
        </w:tc>
        <w:tc>
          <w:tcPr>
            <w:tcW w:w="586" w:type="dxa"/>
            <w:shd w:val="clear" w:color="auto" w:fill="E6E6E6" w:themeFill="background2"/>
          </w:tcPr>
          <w:p w14:paraId="0FF42DAF" w14:textId="77777777" w:rsidR="005066AF" w:rsidRDefault="005066AF" w:rsidP="00840CEB">
            <w:pPr>
              <w:pStyle w:val="Tablesubhead"/>
              <w:jc w:val="center"/>
            </w:pPr>
            <w:r>
              <w:t>Unit 1</w:t>
            </w:r>
          </w:p>
        </w:tc>
        <w:tc>
          <w:tcPr>
            <w:tcW w:w="598" w:type="dxa"/>
            <w:shd w:val="clear" w:color="auto" w:fill="E6E6E6" w:themeFill="background2"/>
          </w:tcPr>
          <w:p w14:paraId="2589550A" w14:textId="77777777" w:rsidR="005066AF" w:rsidRDefault="005066AF" w:rsidP="00840CEB">
            <w:pPr>
              <w:pStyle w:val="Tablesubhead"/>
              <w:jc w:val="center"/>
            </w:pPr>
            <w:r>
              <w:t>Unit 2</w:t>
            </w:r>
          </w:p>
        </w:tc>
        <w:tc>
          <w:tcPr>
            <w:tcW w:w="586" w:type="dxa"/>
            <w:shd w:val="clear" w:color="auto" w:fill="E6E6E6" w:themeFill="background2"/>
          </w:tcPr>
          <w:p w14:paraId="20901888" w14:textId="77777777" w:rsidR="005066AF" w:rsidRDefault="005066AF" w:rsidP="00840CEB">
            <w:pPr>
              <w:pStyle w:val="Tablesubhead"/>
              <w:jc w:val="center"/>
            </w:pPr>
            <w:r>
              <w:t>Unit 3</w:t>
            </w:r>
          </w:p>
        </w:tc>
        <w:tc>
          <w:tcPr>
            <w:tcW w:w="652" w:type="dxa"/>
            <w:shd w:val="clear" w:color="auto" w:fill="E6E6E6" w:themeFill="background2"/>
          </w:tcPr>
          <w:p w14:paraId="5309E036" w14:textId="77777777" w:rsidR="005066AF" w:rsidRDefault="005066AF" w:rsidP="00840CEB">
            <w:pPr>
              <w:pStyle w:val="Tablesubhead"/>
              <w:jc w:val="center"/>
            </w:pPr>
            <w:r>
              <w:t>Unit 4</w:t>
            </w:r>
          </w:p>
        </w:tc>
        <w:tc>
          <w:tcPr>
            <w:tcW w:w="4464" w:type="dxa"/>
            <w:shd w:val="clear" w:color="auto" w:fill="E6E6E6" w:themeFill="background2"/>
          </w:tcPr>
          <w:p w14:paraId="3CEB6A68" w14:textId="77777777" w:rsidR="005066AF" w:rsidRPr="002A3076" w:rsidRDefault="005066AF" w:rsidP="00840CEB">
            <w:pPr>
              <w:pStyle w:val="Tablesubhead"/>
              <w:jc w:val="center"/>
            </w:pPr>
            <w:r>
              <w:t>Statistics and Probability</w:t>
            </w:r>
          </w:p>
        </w:tc>
        <w:tc>
          <w:tcPr>
            <w:tcW w:w="586" w:type="dxa"/>
            <w:shd w:val="clear" w:color="auto" w:fill="E6E6E6" w:themeFill="background2"/>
            <w:vAlign w:val="center"/>
          </w:tcPr>
          <w:p w14:paraId="2E5DFC1D" w14:textId="77777777" w:rsidR="005066AF" w:rsidRPr="002A3076" w:rsidRDefault="005066AF" w:rsidP="00840CEB">
            <w:pPr>
              <w:pStyle w:val="Tablesubhead"/>
              <w:jc w:val="center"/>
            </w:pPr>
            <w:r w:rsidRPr="000308CD">
              <w:t>Unit 1</w:t>
            </w:r>
          </w:p>
        </w:tc>
        <w:tc>
          <w:tcPr>
            <w:tcW w:w="586" w:type="dxa"/>
            <w:shd w:val="clear" w:color="auto" w:fill="E6E6E6" w:themeFill="background2"/>
            <w:vAlign w:val="center"/>
          </w:tcPr>
          <w:p w14:paraId="669DA053" w14:textId="77777777" w:rsidR="005066AF" w:rsidRPr="002A3076" w:rsidRDefault="005066AF" w:rsidP="00840CEB">
            <w:pPr>
              <w:pStyle w:val="Tablesubhead"/>
              <w:jc w:val="center"/>
            </w:pPr>
            <w:r w:rsidRPr="000308CD">
              <w:t>Unit 2</w:t>
            </w:r>
          </w:p>
        </w:tc>
        <w:tc>
          <w:tcPr>
            <w:tcW w:w="586" w:type="dxa"/>
            <w:shd w:val="clear" w:color="auto" w:fill="E6E6E6" w:themeFill="background2"/>
            <w:vAlign w:val="center"/>
          </w:tcPr>
          <w:p w14:paraId="481C8E68" w14:textId="77777777" w:rsidR="005066AF" w:rsidRPr="002A3076" w:rsidRDefault="005066AF" w:rsidP="00840CEB">
            <w:pPr>
              <w:pStyle w:val="Tablesubhead"/>
              <w:jc w:val="center"/>
            </w:pPr>
            <w:r w:rsidRPr="000308CD">
              <w:t>Unit 3</w:t>
            </w:r>
          </w:p>
        </w:tc>
        <w:tc>
          <w:tcPr>
            <w:tcW w:w="681" w:type="dxa"/>
            <w:shd w:val="clear" w:color="auto" w:fill="E6E6E6" w:themeFill="background2"/>
            <w:vAlign w:val="center"/>
          </w:tcPr>
          <w:p w14:paraId="0A900819" w14:textId="77777777" w:rsidR="005066AF" w:rsidRPr="002A3076" w:rsidRDefault="005066AF" w:rsidP="00840CEB">
            <w:pPr>
              <w:pStyle w:val="Tablesubhead"/>
              <w:jc w:val="center"/>
            </w:pPr>
            <w:r w:rsidRPr="000308CD">
              <w:t>Unit 4</w:t>
            </w:r>
          </w:p>
        </w:tc>
      </w:tr>
      <w:tr w:rsidR="00806941" w14:paraId="3F638775" w14:textId="77777777" w:rsidTr="00F5197E">
        <w:trPr>
          <w:trHeight w:val="253"/>
        </w:trPr>
        <w:tc>
          <w:tcPr>
            <w:tcW w:w="4623" w:type="dxa"/>
            <w:shd w:val="clear" w:color="auto" w:fill="FFFFFF" w:themeFill="background1"/>
          </w:tcPr>
          <w:p w14:paraId="78C4001A" w14:textId="77777777" w:rsidR="00806941" w:rsidRDefault="00806941" w:rsidP="00806941">
            <w:pPr>
              <w:pStyle w:val="Tablesubhead"/>
              <w:rPr>
                <w:color w:val="000000" w:themeColor="text1"/>
                <w:sz w:val="18"/>
                <w:szCs w:val="18"/>
              </w:rPr>
            </w:pPr>
            <w:r w:rsidRPr="00DF7D2A">
              <w:t>Real numbers</w:t>
            </w:r>
            <w:r w:rsidRPr="00DF7D2A">
              <w:rPr>
                <w:color w:val="000000" w:themeColor="text1"/>
                <w:sz w:val="18"/>
                <w:szCs w:val="18"/>
              </w:rPr>
              <w:t xml:space="preserve"> </w:t>
            </w:r>
          </w:p>
          <w:p w14:paraId="1244E666" w14:textId="77777777" w:rsidR="00806941" w:rsidRPr="005F36CD" w:rsidRDefault="00806941" w:rsidP="00806941">
            <w:pPr>
              <w:pStyle w:val="Tabletext"/>
              <w:rPr>
                <w:sz w:val="18"/>
                <w:szCs w:val="18"/>
              </w:rPr>
            </w:pPr>
            <w:r w:rsidRPr="00DF7D2A">
              <w:rPr>
                <w:color w:val="000000" w:themeColor="text1"/>
                <w:sz w:val="18"/>
                <w:szCs w:val="18"/>
              </w:rPr>
              <w:t>Solve problems involving direct proportion. Explore the relationship between graphs and equations corresponding to simple rate problems</w:t>
            </w:r>
          </w:p>
        </w:tc>
        <w:tc>
          <w:tcPr>
            <w:tcW w:w="586" w:type="dxa"/>
            <w:shd w:val="clear" w:color="auto" w:fill="FFFFFF" w:themeFill="background1"/>
          </w:tcPr>
          <w:p w14:paraId="7847A1C1" w14:textId="77777777" w:rsidR="00806941" w:rsidRPr="005F36CD" w:rsidRDefault="00806941" w:rsidP="00806941">
            <w:pPr>
              <w:pStyle w:val="Tabletext"/>
              <w:jc w:val="center"/>
              <w:rPr>
                <w:sz w:val="18"/>
                <w:szCs w:val="18"/>
              </w:rPr>
            </w:pPr>
          </w:p>
        </w:tc>
        <w:tc>
          <w:tcPr>
            <w:tcW w:w="594" w:type="dxa"/>
            <w:shd w:val="clear" w:color="auto" w:fill="FFFFFF" w:themeFill="background1"/>
          </w:tcPr>
          <w:p w14:paraId="6F156CFC" w14:textId="77777777" w:rsidR="00806941" w:rsidRPr="005F36CD" w:rsidRDefault="00806941" w:rsidP="00806941">
            <w:pPr>
              <w:pStyle w:val="Tabletext"/>
              <w:jc w:val="center"/>
              <w:rPr>
                <w:sz w:val="18"/>
                <w:szCs w:val="18"/>
              </w:rPr>
            </w:pPr>
          </w:p>
        </w:tc>
        <w:tc>
          <w:tcPr>
            <w:tcW w:w="602" w:type="dxa"/>
            <w:shd w:val="clear" w:color="auto" w:fill="FFFFFF" w:themeFill="background1"/>
          </w:tcPr>
          <w:p w14:paraId="2402F3C3" w14:textId="77777777" w:rsidR="00806941" w:rsidRPr="005F36CD" w:rsidRDefault="00806941" w:rsidP="00806941">
            <w:pPr>
              <w:pStyle w:val="Tabletext"/>
              <w:jc w:val="center"/>
              <w:rPr>
                <w:sz w:val="18"/>
                <w:szCs w:val="18"/>
              </w:rPr>
            </w:pPr>
          </w:p>
        </w:tc>
        <w:tc>
          <w:tcPr>
            <w:tcW w:w="588" w:type="dxa"/>
            <w:shd w:val="clear" w:color="auto" w:fill="FFFFFF" w:themeFill="background1"/>
          </w:tcPr>
          <w:p w14:paraId="204E4F31" w14:textId="77777777" w:rsidR="00806941" w:rsidRPr="005F36CD" w:rsidRDefault="00806941" w:rsidP="00806941">
            <w:pPr>
              <w:pStyle w:val="Tabletext"/>
              <w:jc w:val="center"/>
              <w:rPr>
                <w:sz w:val="18"/>
                <w:szCs w:val="18"/>
              </w:rPr>
            </w:pPr>
            <w:r w:rsidRPr="00DF7D2A">
              <w:rPr>
                <w:color w:val="000000" w:themeColor="text1"/>
                <w:sz w:val="18"/>
                <w:szCs w:val="18"/>
              </w:rPr>
              <w:sym w:font="Wingdings" w:char="F0FC"/>
            </w:r>
          </w:p>
        </w:tc>
        <w:tc>
          <w:tcPr>
            <w:tcW w:w="4632" w:type="dxa"/>
            <w:shd w:val="clear" w:color="auto" w:fill="FFFFFF" w:themeFill="background1"/>
          </w:tcPr>
          <w:p w14:paraId="7740CBFC" w14:textId="77777777" w:rsidR="00806941" w:rsidRDefault="00806941" w:rsidP="00806941">
            <w:pPr>
              <w:pStyle w:val="Tablesubhead"/>
              <w:rPr>
                <w:sz w:val="18"/>
                <w:szCs w:val="18"/>
              </w:rPr>
            </w:pPr>
            <w:r w:rsidRPr="005F36CD">
              <w:t>Using units of measure</w:t>
            </w:r>
            <w:r w:rsidRPr="00804637">
              <w:rPr>
                <w:sz w:val="18"/>
                <w:szCs w:val="18"/>
              </w:rPr>
              <w:t xml:space="preserve"> </w:t>
            </w:r>
          </w:p>
          <w:p w14:paraId="0BDE83CD" w14:textId="77777777" w:rsidR="00806941" w:rsidRPr="005F36CD" w:rsidRDefault="00806941" w:rsidP="00806941">
            <w:pPr>
              <w:pStyle w:val="Tabletext"/>
              <w:rPr>
                <w:sz w:val="18"/>
                <w:szCs w:val="18"/>
              </w:rPr>
            </w:pPr>
            <w:r w:rsidRPr="00804637">
              <w:rPr>
                <w:sz w:val="18"/>
                <w:szCs w:val="18"/>
              </w:rPr>
              <w:t>Calculate areas of composite shapes </w:t>
            </w:r>
            <w:hyperlink r:id="rId19" w:tgtFrame="_blank" w:history="1">
              <w:r w:rsidRPr="00804637">
                <w:rPr>
                  <w:rStyle w:val="Hyperlink"/>
                  <w:sz w:val="18"/>
                  <w:szCs w:val="18"/>
                </w:rPr>
                <w:t> </w:t>
              </w:r>
            </w:hyperlink>
          </w:p>
        </w:tc>
        <w:tc>
          <w:tcPr>
            <w:tcW w:w="586" w:type="dxa"/>
            <w:shd w:val="clear" w:color="auto" w:fill="FFFFFF" w:themeFill="background1"/>
          </w:tcPr>
          <w:p w14:paraId="72730FAF" w14:textId="77777777" w:rsidR="00806941" w:rsidRPr="005F36CD" w:rsidRDefault="00806941" w:rsidP="002D3802">
            <w:pPr>
              <w:pStyle w:val="Tabletext"/>
              <w:jc w:val="center"/>
              <w:rPr>
                <w:sz w:val="18"/>
                <w:szCs w:val="18"/>
              </w:rPr>
            </w:pPr>
          </w:p>
        </w:tc>
        <w:tc>
          <w:tcPr>
            <w:tcW w:w="598" w:type="dxa"/>
            <w:shd w:val="clear" w:color="auto" w:fill="FFFFFF" w:themeFill="background1"/>
          </w:tcPr>
          <w:p w14:paraId="432D9FF7" w14:textId="77777777" w:rsidR="00806941" w:rsidRPr="005F36CD" w:rsidRDefault="00806941" w:rsidP="002D3802">
            <w:pPr>
              <w:pStyle w:val="Tabletext"/>
              <w:jc w:val="center"/>
              <w:rPr>
                <w:sz w:val="18"/>
                <w:szCs w:val="18"/>
              </w:rPr>
            </w:pPr>
            <w:r w:rsidRPr="005F36CD">
              <w:rPr>
                <w:sz w:val="18"/>
                <w:szCs w:val="18"/>
              </w:rPr>
              <w:sym w:font="Wingdings" w:char="F0FC"/>
            </w:r>
          </w:p>
        </w:tc>
        <w:tc>
          <w:tcPr>
            <w:tcW w:w="586" w:type="dxa"/>
            <w:shd w:val="clear" w:color="auto" w:fill="FFFFFF" w:themeFill="background1"/>
          </w:tcPr>
          <w:p w14:paraId="485E9614" w14:textId="77777777" w:rsidR="00806941" w:rsidRPr="005F36CD" w:rsidRDefault="00806941" w:rsidP="002D3802">
            <w:pPr>
              <w:pStyle w:val="Tabletext"/>
              <w:jc w:val="center"/>
              <w:rPr>
                <w:sz w:val="18"/>
                <w:szCs w:val="18"/>
              </w:rPr>
            </w:pPr>
          </w:p>
        </w:tc>
        <w:tc>
          <w:tcPr>
            <w:tcW w:w="652" w:type="dxa"/>
            <w:shd w:val="clear" w:color="auto" w:fill="FFFFFF" w:themeFill="background1"/>
          </w:tcPr>
          <w:p w14:paraId="6FB064D0" w14:textId="77777777" w:rsidR="00806941" w:rsidRPr="005F36CD" w:rsidRDefault="00806941" w:rsidP="002D3802">
            <w:pPr>
              <w:pStyle w:val="Tabletext"/>
              <w:jc w:val="center"/>
              <w:rPr>
                <w:sz w:val="18"/>
                <w:szCs w:val="18"/>
              </w:rPr>
            </w:pPr>
          </w:p>
        </w:tc>
        <w:tc>
          <w:tcPr>
            <w:tcW w:w="4464" w:type="dxa"/>
            <w:shd w:val="clear" w:color="auto" w:fill="FFFFFF" w:themeFill="background1"/>
          </w:tcPr>
          <w:p w14:paraId="5D1880D0" w14:textId="77777777" w:rsidR="00806941" w:rsidRDefault="00806941" w:rsidP="00806941">
            <w:pPr>
              <w:pStyle w:val="Tablesubhead"/>
              <w:rPr>
                <w:sz w:val="18"/>
                <w:szCs w:val="18"/>
              </w:rPr>
            </w:pPr>
            <w:r w:rsidRPr="005F36CD">
              <w:t>Chance</w:t>
            </w:r>
            <w:r w:rsidRPr="00145592">
              <w:rPr>
                <w:sz w:val="18"/>
                <w:szCs w:val="18"/>
              </w:rPr>
              <w:t xml:space="preserve"> </w:t>
            </w:r>
          </w:p>
          <w:p w14:paraId="10129225" w14:textId="77777777" w:rsidR="00806941" w:rsidRPr="005F36CD" w:rsidRDefault="00806941" w:rsidP="00806941">
            <w:pPr>
              <w:pStyle w:val="Tabletext"/>
              <w:rPr>
                <w:sz w:val="18"/>
                <w:szCs w:val="18"/>
              </w:rPr>
            </w:pPr>
            <w:r w:rsidRPr="00145592">
              <w:rPr>
                <w:sz w:val="18"/>
                <w:szCs w:val="18"/>
              </w:rPr>
              <w:t xml:space="preserve">List all outcomes for two-step chance experiments, both with and without replacement using tree diagrams or arrays. Assign probabilities to outcomes and determine probabilities for events </w:t>
            </w:r>
          </w:p>
        </w:tc>
        <w:tc>
          <w:tcPr>
            <w:tcW w:w="586" w:type="dxa"/>
            <w:shd w:val="clear" w:color="auto" w:fill="FFFFFF" w:themeFill="background1"/>
          </w:tcPr>
          <w:p w14:paraId="337D3C1B" w14:textId="77777777" w:rsidR="00806941" w:rsidRPr="005F36CD" w:rsidRDefault="00806941" w:rsidP="002D3802">
            <w:pPr>
              <w:pStyle w:val="Tabletext"/>
              <w:jc w:val="center"/>
              <w:rPr>
                <w:sz w:val="18"/>
                <w:szCs w:val="18"/>
              </w:rPr>
            </w:pPr>
          </w:p>
        </w:tc>
        <w:tc>
          <w:tcPr>
            <w:tcW w:w="586" w:type="dxa"/>
            <w:shd w:val="clear" w:color="auto" w:fill="FFFFFF" w:themeFill="background1"/>
          </w:tcPr>
          <w:p w14:paraId="6677A728" w14:textId="77777777" w:rsidR="00806941" w:rsidRPr="005F36CD" w:rsidRDefault="00806941" w:rsidP="002D3802">
            <w:pPr>
              <w:pStyle w:val="Tabletext"/>
              <w:jc w:val="center"/>
              <w:rPr>
                <w:sz w:val="18"/>
                <w:szCs w:val="18"/>
              </w:rPr>
            </w:pPr>
          </w:p>
        </w:tc>
        <w:tc>
          <w:tcPr>
            <w:tcW w:w="586" w:type="dxa"/>
            <w:shd w:val="clear" w:color="auto" w:fill="FFFFFF" w:themeFill="background1"/>
          </w:tcPr>
          <w:p w14:paraId="17549116" w14:textId="53DFBAA2" w:rsidR="00806941" w:rsidRPr="005F36CD" w:rsidRDefault="00EF0695" w:rsidP="002D3802">
            <w:pPr>
              <w:pStyle w:val="Tabletext"/>
              <w:jc w:val="center"/>
              <w:rPr>
                <w:sz w:val="18"/>
                <w:szCs w:val="18"/>
              </w:rPr>
            </w:pPr>
            <w:r w:rsidRPr="005F36CD">
              <w:rPr>
                <w:sz w:val="18"/>
                <w:szCs w:val="18"/>
              </w:rPr>
              <w:sym w:font="Wingdings" w:char="F0FC"/>
            </w:r>
          </w:p>
        </w:tc>
        <w:tc>
          <w:tcPr>
            <w:tcW w:w="681" w:type="dxa"/>
            <w:shd w:val="clear" w:color="auto" w:fill="FFFFFF" w:themeFill="background1"/>
          </w:tcPr>
          <w:p w14:paraId="224EAD85" w14:textId="21BF7888" w:rsidR="00806941" w:rsidRPr="005F36CD" w:rsidRDefault="00806941" w:rsidP="002D3802">
            <w:pPr>
              <w:pStyle w:val="Tabletext"/>
              <w:jc w:val="center"/>
              <w:rPr>
                <w:sz w:val="18"/>
                <w:szCs w:val="18"/>
              </w:rPr>
            </w:pPr>
          </w:p>
        </w:tc>
      </w:tr>
      <w:tr w:rsidR="00806941" w14:paraId="39362A62" w14:textId="77777777" w:rsidTr="002B27C3">
        <w:trPr>
          <w:trHeight w:val="428"/>
        </w:trPr>
        <w:tc>
          <w:tcPr>
            <w:tcW w:w="4623" w:type="dxa"/>
            <w:shd w:val="clear" w:color="auto" w:fill="FFFFFF" w:themeFill="background1"/>
          </w:tcPr>
          <w:p w14:paraId="6850598F" w14:textId="77777777" w:rsidR="00806941" w:rsidRPr="00373709" w:rsidRDefault="00806941" w:rsidP="00806941">
            <w:pPr>
              <w:pStyle w:val="Tabletext"/>
              <w:rPr>
                <w:sz w:val="18"/>
                <w:szCs w:val="18"/>
              </w:rPr>
            </w:pPr>
            <w:r w:rsidRPr="00373709">
              <w:rPr>
                <w:color w:val="000000" w:themeColor="text1"/>
                <w:sz w:val="18"/>
                <w:szCs w:val="18"/>
              </w:rPr>
              <w:t>Apply index laws to numerical expressions with integer indices </w:t>
            </w:r>
          </w:p>
        </w:tc>
        <w:tc>
          <w:tcPr>
            <w:tcW w:w="586" w:type="dxa"/>
            <w:shd w:val="clear" w:color="auto" w:fill="FFFFFF" w:themeFill="background1"/>
          </w:tcPr>
          <w:p w14:paraId="6D88BCC8" w14:textId="77777777" w:rsidR="00806941" w:rsidRPr="005F36CD" w:rsidRDefault="00806941" w:rsidP="00806941">
            <w:pPr>
              <w:pStyle w:val="Tabletext"/>
              <w:jc w:val="center"/>
              <w:rPr>
                <w:sz w:val="18"/>
                <w:szCs w:val="18"/>
              </w:rPr>
            </w:pPr>
            <w:r w:rsidRPr="00373709">
              <w:rPr>
                <w:color w:val="000000" w:themeColor="text1"/>
                <w:sz w:val="18"/>
                <w:szCs w:val="18"/>
              </w:rPr>
              <w:sym w:font="Wingdings" w:char="F0FC"/>
            </w:r>
          </w:p>
        </w:tc>
        <w:tc>
          <w:tcPr>
            <w:tcW w:w="594" w:type="dxa"/>
            <w:shd w:val="clear" w:color="auto" w:fill="FFFFFF" w:themeFill="background1"/>
          </w:tcPr>
          <w:p w14:paraId="31BF2BD5" w14:textId="77777777" w:rsidR="00806941" w:rsidRPr="005F36CD" w:rsidRDefault="00806941" w:rsidP="00806941">
            <w:pPr>
              <w:pStyle w:val="Tabletext"/>
              <w:jc w:val="center"/>
              <w:rPr>
                <w:sz w:val="18"/>
                <w:szCs w:val="18"/>
              </w:rPr>
            </w:pPr>
          </w:p>
        </w:tc>
        <w:tc>
          <w:tcPr>
            <w:tcW w:w="602" w:type="dxa"/>
            <w:shd w:val="clear" w:color="auto" w:fill="FFFFFF" w:themeFill="background1"/>
          </w:tcPr>
          <w:p w14:paraId="0E0168DE" w14:textId="77777777" w:rsidR="00806941" w:rsidRPr="005F36CD" w:rsidRDefault="00806941" w:rsidP="00806941">
            <w:pPr>
              <w:pStyle w:val="Tabletext"/>
              <w:jc w:val="center"/>
              <w:rPr>
                <w:sz w:val="18"/>
                <w:szCs w:val="18"/>
              </w:rPr>
            </w:pPr>
          </w:p>
        </w:tc>
        <w:tc>
          <w:tcPr>
            <w:tcW w:w="588" w:type="dxa"/>
            <w:shd w:val="clear" w:color="auto" w:fill="FFFFFF" w:themeFill="background1"/>
          </w:tcPr>
          <w:p w14:paraId="6720C1FF" w14:textId="77777777" w:rsidR="00806941" w:rsidRPr="005F36CD" w:rsidRDefault="00806941" w:rsidP="00806941">
            <w:pPr>
              <w:pStyle w:val="Tabletext"/>
              <w:jc w:val="center"/>
              <w:rPr>
                <w:sz w:val="18"/>
                <w:szCs w:val="18"/>
              </w:rPr>
            </w:pPr>
          </w:p>
        </w:tc>
        <w:tc>
          <w:tcPr>
            <w:tcW w:w="4632" w:type="dxa"/>
            <w:shd w:val="clear" w:color="auto" w:fill="FFFFFF" w:themeFill="background1"/>
          </w:tcPr>
          <w:p w14:paraId="6EBF3A10" w14:textId="77777777" w:rsidR="00806941" w:rsidRDefault="00806941" w:rsidP="00806941">
            <w:pPr>
              <w:pStyle w:val="Tabletext"/>
            </w:pPr>
            <w:r w:rsidRPr="00804637">
              <w:rPr>
                <w:color w:val="000000" w:themeColor="text1"/>
                <w:sz w:val="18"/>
                <w:szCs w:val="18"/>
              </w:rPr>
              <w:t>Calculate the surface area and volume of cylinders and solve related problems</w:t>
            </w:r>
          </w:p>
          <w:p w14:paraId="39235D44" w14:textId="77777777" w:rsidR="00806941" w:rsidRPr="00804637" w:rsidRDefault="00806941" w:rsidP="00806941">
            <w:pPr>
              <w:pStyle w:val="Tabletext"/>
              <w:rPr>
                <w:color w:val="000000" w:themeColor="text1"/>
                <w:sz w:val="18"/>
                <w:szCs w:val="18"/>
              </w:rPr>
            </w:pPr>
          </w:p>
        </w:tc>
        <w:tc>
          <w:tcPr>
            <w:tcW w:w="586" w:type="dxa"/>
            <w:shd w:val="clear" w:color="auto" w:fill="FFFFFF" w:themeFill="background1"/>
          </w:tcPr>
          <w:p w14:paraId="1CBDD172" w14:textId="77777777" w:rsidR="00806941" w:rsidRPr="005F36CD" w:rsidRDefault="00806941" w:rsidP="002D3802">
            <w:pPr>
              <w:pStyle w:val="Tabletext"/>
              <w:jc w:val="center"/>
              <w:rPr>
                <w:sz w:val="18"/>
                <w:szCs w:val="18"/>
              </w:rPr>
            </w:pPr>
          </w:p>
        </w:tc>
        <w:tc>
          <w:tcPr>
            <w:tcW w:w="598" w:type="dxa"/>
            <w:shd w:val="clear" w:color="auto" w:fill="FFFFFF" w:themeFill="background1"/>
          </w:tcPr>
          <w:p w14:paraId="3918D0CA" w14:textId="77777777" w:rsidR="00806941" w:rsidRPr="00090629" w:rsidRDefault="00806941" w:rsidP="002D3802">
            <w:pPr>
              <w:pStyle w:val="Tabletext"/>
              <w:jc w:val="center"/>
              <w:rPr>
                <w:color w:val="000000" w:themeColor="text1"/>
                <w:sz w:val="18"/>
                <w:szCs w:val="18"/>
              </w:rPr>
            </w:pPr>
            <w:r w:rsidRPr="00090629">
              <w:rPr>
                <w:color w:val="000000" w:themeColor="text1"/>
                <w:sz w:val="18"/>
                <w:szCs w:val="18"/>
              </w:rPr>
              <w:sym w:font="Wingdings" w:char="F0FC"/>
            </w:r>
          </w:p>
        </w:tc>
        <w:tc>
          <w:tcPr>
            <w:tcW w:w="586" w:type="dxa"/>
            <w:shd w:val="clear" w:color="auto" w:fill="FFFFFF" w:themeFill="background1"/>
          </w:tcPr>
          <w:p w14:paraId="080EAF13" w14:textId="77777777" w:rsidR="00806941" w:rsidRPr="005F36CD" w:rsidRDefault="00806941" w:rsidP="002D3802">
            <w:pPr>
              <w:pStyle w:val="Tabletext"/>
              <w:jc w:val="center"/>
              <w:rPr>
                <w:sz w:val="18"/>
                <w:szCs w:val="18"/>
              </w:rPr>
            </w:pPr>
          </w:p>
        </w:tc>
        <w:tc>
          <w:tcPr>
            <w:tcW w:w="652" w:type="dxa"/>
            <w:shd w:val="clear" w:color="auto" w:fill="FFFFFF" w:themeFill="background1"/>
          </w:tcPr>
          <w:p w14:paraId="365F2FA3" w14:textId="77777777" w:rsidR="00806941" w:rsidRPr="005F36CD" w:rsidRDefault="00806941" w:rsidP="002D3802">
            <w:pPr>
              <w:pStyle w:val="Tabletext"/>
              <w:jc w:val="center"/>
              <w:rPr>
                <w:sz w:val="18"/>
                <w:szCs w:val="18"/>
              </w:rPr>
            </w:pPr>
          </w:p>
        </w:tc>
        <w:tc>
          <w:tcPr>
            <w:tcW w:w="4464" w:type="dxa"/>
            <w:shd w:val="clear" w:color="auto" w:fill="FFFFFF" w:themeFill="background1"/>
          </w:tcPr>
          <w:p w14:paraId="7CB361D8" w14:textId="77777777" w:rsidR="00806941" w:rsidRPr="00145592" w:rsidRDefault="00806941" w:rsidP="00806941">
            <w:pPr>
              <w:pStyle w:val="Tabletext"/>
              <w:rPr>
                <w:sz w:val="18"/>
                <w:szCs w:val="18"/>
              </w:rPr>
            </w:pPr>
            <w:r w:rsidRPr="00145592">
              <w:rPr>
                <w:sz w:val="18"/>
                <w:szCs w:val="18"/>
              </w:rPr>
              <w:t>Calculate relative frequencies from given or collected data to estimate probabilities of events involving 'and' or 'or'</w:t>
            </w:r>
          </w:p>
        </w:tc>
        <w:tc>
          <w:tcPr>
            <w:tcW w:w="586" w:type="dxa"/>
            <w:shd w:val="clear" w:color="auto" w:fill="FFFFFF" w:themeFill="background1"/>
          </w:tcPr>
          <w:p w14:paraId="08BD8F50" w14:textId="77777777" w:rsidR="00806941" w:rsidRPr="005F36CD" w:rsidRDefault="00806941" w:rsidP="002D3802">
            <w:pPr>
              <w:pStyle w:val="Tabletext"/>
              <w:jc w:val="center"/>
              <w:rPr>
                <w:sz w:val="18"/>
                <w:szCs w:val="18"/>
              </w:rPr>
            </w:pPr>
          </w:p>
        </w:tc>
        <w:tc>
          <w:tcPr>
            <w:tcW w:w="586" w:type="dxa"/>
            <w:shd w:val="clear" w:color="auto" w:fill="FFFFFF" w:themeFill="background1"/>
          </w:tcPr>
          <w:p w14:paraId="6B2F9CA4" w14:textId="77777777" w:rsidR="00806941" w:rsidRPr="005F36CD" w:rsidRDefault="00806941" w:rsidP="002D3802">
            <w:pPr>
              <w:pStyle w:val="Tabletext"/>
              <w:jc w:val="center"/>
              <w:rPr>
                <w:sz w:val="18"/>
                <w:szCs w:val="18"/>
              </w:rPr>
            </w:pPr>
          </w:p>
        </w:tc>
        <w:tc>
          <w:tcPr>
            <w:tcW w:w="586" w:type="dxa"/>
            <w:shd w:val="clear" w:color="auto" w:fill="FFFFFF" w:themeFill="background1"/>
          </w:tcPr>
          <w:p w14:paraId="1C9942B5" w14:textId="4907BC82" w:rsidR="00806941" w:rsidRPr="005F36CD" w:rsidRDefault="00EF0695" w:rsidP="002D3802">
            <w:pPr>
              <w:pStyle w:val="Tabletext"/>
              <w:jc w:val="center"/>
              <w:rPr>
                <w:sz w:val="18"/>
                <w:szCs w:val="18"/>
              </w:rPr>
            </w:pPr>
            <w:r w:rsidRPr="005F36CD">
              <w:rPr>
                <w:sz w:val="18"/>
                <w:szCs w:val="18"/>
              </w:rPr>
              <w:sym w:font="Wingdings" w:char="F0FC"/>
            </w:r>
          </w:p>
        </w:tc>
        <w:tc>
          <w:tcPr>
            <w:tcW w:w="681" w:type="dxa"/>
            <w:shd w:val="clear" w:color="auto" w:fill="FFFFFF" w:themeFill="background1"/>
          </w:tcPr>
          <w:p w14:paraId="3EA0C86F" w14:textId="497FCFE0" w:rsidR="00806941" w:rsidRPr="005F36CD" w:rsidRDefault="00806941" w:rsidP="002D3802">
            <w:pPr>
              <w:pStyle w:val="Tabletext"/>
              <w:jc w:val="center"/>
              <w:rPr>
                <w:sz w:val="18"/>
                <w:szCs w:val="18"/>
              </w:rPr>
            </w:pPr>
          </w:p>
        </w:tc>
      </w:tr>
      <w:tr w:rsidR="00806941" w14:paraId="6B2C009C" w14:textId="77777777" w:rsidTr="00F5197E">
        <w:trPr>
          <w:trHeight w:val="253"/>
        </w:trPr>
        <w:tc>
          <w:tcPr>
            <w:tcW w:w="4623" w:type="dxa"/>
            <w:shd w:val="clear" w:color="auto" w:fill="FFFFFF" w:themeFill="background1"/>
          </w:tcPr>
          <w:p w14:paraId="6E04C631" w14:textId="77777777" w:rsidR="00806941" w:rsidRPr="005F36CD" w:rsidRDefault="00806941" w:rsidP="00806941">
            <w:pPr>
              <w:pStyle w:val="Tabletext"/>
              <w:rPr>
                <w:sz w:val="18"/>
                <w:szCs w:val="18"/>
              </w:rPr>
            </w:pPr>
            <w:r w:rsidRPr="00373709">
              <w:rPr>
                <w:sz w:val="18"/>
                <w:szCs w:val="18"/>
              </w:rPr>
              <w:t>Express numbers in scientific notation</w:t>
            </w:r>
          </w:p>
        </w:tc>
        <w:tc>
          <w:tcPr>
            <w:tcW w:w="586" w:type="dxa"/>
            <w:shd w:val="clear" w:color="auto" w:fill="FFFFFF" w:themeFill="background1"/>
          </w:tcPr>
          <w:p w14:paraId="483448C6" w14:textId="77777777" w:rsidR="00806941" w:rsidRPr="005F36CD" w:rsidRDefault="00806941" w:rsidP="00806941">
            <w:pPr>
              <w:pStyle w:val="Tabletext"/>
              <w:jc w:val="center"/>
              <w:rPr>
                <w:sz w:val="18"/>
                <w:szCs w:val="18"/>
              </w:rPr>
            </w:pPr>
            <w:r w:rsidRPr="00373709">
              <w:rPr>
                <w:color w:val="000000" w:themeColor="text1"/>
                <w:sz w:val="18"/>
                <w:szCs w:val="18"/>
              </w:rPr>
              <w:sym w:font="Wingdings" w:char="F0FC"/>
            </w:r>
          </w:p>
        </w:tc>
        <w:tc>
          <w:tcPr>
            <w:tcW w:w="594" w:type="dxa"/>
            <w:shd w:val="clear" w:color="auto" w:fill="FFFFFF" w:themeFill="background1"/>
          </w:tcPr>
          <w:p w14:paraId="18D8C141" w14:textId="77777777" w:rsidR="00806941" w:rsidRPr="005F36CD" w:rsidRDefault="00806941" w:rsidP="00806941">
            <w:pPr>
              <w:pStyle w:val="Tabletext"/>
              <w:jc w:val="center"/>
              <w:rPr>
                <w:sz w:val="18"/>
                <w:szCs w:val="18"/>
              </w:rPr>
            </w:pPr>
          </w:p>
        </w:tc>
        <w:tc>
          <w:tcPr>
            <w:tcW w:w="602" w:type="dxa"/>
            <w:shd w:val="clear" w:color="auto" w:fill="FFFFFF" w:themeFill="background1"/>
          </w:tcPr>
          <w:p w14:paraId="4E7A8E9D" w14:textId="77777777" w:rsidR="00806941" w:rsidRPr="005F36CD" w:rsidRDefault="00806941" w:rsidP="00806941">
            <w:pPr>
              <w:pStyle w:val="Tabletext"/>
              <w:jc w:val="center"/>
              <w:rPr>
                <w:sz w:val="18"/>
                <w:szCs w:val="18"/>
              </w:rPr>
            </w:pPr>
          </w:p>
        </w:tc>
        <w:tc>
          <w:tcPr>
            <w:tcW w:w="588" w:type="dxa"/>
            <w:shd w:val="clear" w:color="auto" w:fill="FFFFFF" w:themeFill="background1"/>
          </w:tcPr>
          <w:p w14:paraId="4EBDF91F" w14:textId="77777777" w:rsidR="00806941" w:rsidRPr="005F36CD" w:rsidRDefault="00806941" w:rsidP="00806941">
            <w:pPr>
              <w:pStyle w:val="Tabletext"/>
              <w:jc w:val="center"/>
              <w:rPr>
                <w:sz w:val="18"/>
                <w:szCs w:val="18"/>
              </w:rPr>
            </w:pPr>
          </w:p>
        </w:tc>
        <w:tc>
          <w:tcPr>
            <w:tcW w:w="4632" w:type="dxa"/>
            <w:shd w:val="clear" w:color="auto" w:fill="FFFFFF" w:themeFill="background1"/>
          </w:tcPr>
          <w:p w14:paraId="690AFD2A" w14:textId="77777777" w:rsidR="00806941" w:rsidRPr="005F36CD" w:rsidRDefault="00806941" w:rsidP="00806941">
            <w:pPr>
              <w:pStyle w:val="Tabletext"/>
              <w:rPr>
                <w:sz w:val="18"/>
                <w:szCs w:val="18"/>
              </w:rPr>
            </w:pPr>
            <w:r w:rsidRPr="00531EBC">
              <w:rPr>
                <w:sz w:val="18"/>
                <w:szCs w:val="18"/>
              </w:rPr>
              <w:t xml:space="preserve">Solve problems involving the surface area and volume of right prisms </w:t>
            </w:r>
          </w:p>
        </w:tc>
        <w:tc>
          <w:tcPr>
            <w:tcW w:w="586" w:type="dxa"/>
            <w:shd w:val="clear" w:color="auto" w:fill="FFFFFF" w:themeFill="background1"/>
          </w:tcPr>
          <w:p w14:paraId="659F2B77" w14:textId="77777777" w:rsidR="00806941" w:rsidRPr="005F36CD" w:rsidRDefault="00806941" w:rsidP="002D3802">
            <w:pPr>
              <w:pStyle w:val="Tabletext"/>
              <w:jc w:val="center"/>
              <w:rPr>
                <w:sz w:val="18"/>
                <w:szCs w:val="18"/>
              </w:rPr>
            </w:pPr>
          </w:p>
        </w:tc>
        <w:tc>
          <w:tcPr>
            <w:tcW w:w="598" w:type="dxa"/>
            <w:shd w:val="clear" w:color="auto" w:fill="FFFFFF" w:themeFill="background1"/>
          </w:tcPr>
          <w:p w14:paraId="2653740F" w14:textId="77777777" w:rsidR="00806941" w:rsidRPr="005F36CD" w:rsidRDefault="00806941" w:rsidP="002D3802">
            <w:pPr>
              <w:pStyle w:val="Tabletext"/>
              <w:jc w:val="center"/>
              <w:rPr>
                <w:sz w:val="18"/>
                <w:szCs w:val="18"/>
              </w:rPr>
            </w:pPr>
            <w:r w:rsidRPr="00090629">
              <w:rPr>
                <w:color w:val="000000" w:themeColor="text1"/>
                <w:sz w:val="18"/>
                <w:szCs w:val="18"/>
              </w:rPr>
              <w:sym w:font="Wingdings" w:char="F0FC"/>
            </w:r>
          </w:p>
        </w:tc>
        <w:tc>
          <w:tcPr>
            <w:tcW w:w="586" w:type="dxa"/>
            <w:shd w:val="clear" w:color="auto" w:fill="FFFFFF" w:themeFill="background1"/>
          </w:tcPr>
          <w:p w14:paraId="6A9838A4" w14:textId="77777777" w:rsidR="00806941" w:rsidRPr="005F36CD" w:rsidRDefault="00806941" w:rsidP="002D3802">
            <w:pPr>
              <w:pStyle w:val="Tabletext"/>
              <w:jc w:val="center"/>
              <w:rPr>
                <w:sz w:val="18"/>
                <w:szCs w:val="18"/>
              </w:rPr>
            </w:pPr>
          </w:p>
        </w:tc>
        <w:tc>
          <w:tcPr>
            <w:tcW w:w="652" w:type="dxa"/>
            <w:shd w:val="clear" w:color="auto" w:fill="FFFFFF" w:themeFill="background1"/>
          </w:tcPr>
          <w:p w14:paraId="6CC1D992" w14:textId="77777777" w:rsidR="00806941" w:rsidRPr="005F36CD" w:rsidRDefault="00806941" w:rsidP="002D3802">
            <w:pPr>
              <w:pStyle w:val="Tabletext"/>
              <w:jc w:val="center"/>
              <w:rPr>
                <w:sz w:val="18"/>
                <w:szCs w:val="18"/>
              </w:rPr>
            </w:pPr>
          </w:p>
        </w:tc>
        <w:tc>
          <w:tcPr>
            <w:tcW w:w="4464" w:type="dxa"/>
            <w:tcBorders>
              <w:bottom w:val="single" w:sz="4" w:space="0" w:color="A6A8AB"/>
            </w:tcBorders>
            <w:shd w:val="clear" w:color="auto" w:fill="FFFFFF" w:themeFill="background1"/>
          </w:tcPr>
          <w:p w14:paraId="63C4A8C1" w14:textId="77777777" w:rsidR="00806941" w:rsidRPr="00145592" w:rsidRDefault="00806941" w:rsidP="00806941">
            <w:pPr>
              <w:pStyle w:val="Tabletext"/>
              <w:rPr>
                <w:color w:val="000000" w:themeColor="text1"/>
                <w:sz w:val="18"/>
                <w:szCs w:val="18"/>
              </w:rPr>
            </w:pPr>
            <w:r w:rsidRPr="00145592">
              <w:rPr>
                <w:color w:val="000000" w:themeColor="text1"/>
                <w:sz w:val="18"/>
                <w:szCs w:val="18"/>
              </w:rPr>
              <w:t xml:space="preserve">Investigate reports of surveys in digital media and elsewhere for information on how data were obtained to estimate population means and medians </w:t>
            </w:r>
          </w:p>
        </w:tc>
        <w:tc>
          <w:tcPr>
            <w:tcW w:w="586" w:type="dxa"/>
            <w:tcBorders>
              <w:bottom w:val="single" w:sz="4" w:space="0" w:color="A6A8AB"/>
            </w:tcBorders>
            <w:shd w:val="clear" w:color="auto" w:fill="FFFFFF" w:themeFill="background1"/>
          </w:tcPr>
          <w:p w14:paraId="0A8AD18D" w14:textId="77777777" w:rsidR="00806941" w:rsidRPr="00145592" w:rsidRDefault="00806941" w:rsidP="002D3802">
            <w:pPr>
              <w:pStyle w:val="Tabletext"/>
              <w:jc w:val="center"/>
              <w:rPr>
                <w:color w:val="000000" w:themeColor="text1"/>
                <w:sz w:val="18"/>
                <w:szCs w:val="18"/>
              </w:rPr>
            </w:pPr>
          </w:p>
        </w:tc>
        <w:tc>
          <w:tcPr>
            <w:tcW w:w="586" w:type="dxa"/>
            <w:tcBorders>
              <w:bottom w:val="single" w:sz="4" w:space="0" w:color="A6A8AB"/>
            </w:tcBorders>
            <w:shd w:val="clear" w:color="auto" w:fill="FFFFFF" w:themeFill="background1"/>
          </w:tcPr>
          <w:p w14:paraId="0A95D51C" w14:textId="77777777" w:rsidR="00806941" w:rsidRPr="00145592" w:rsidRDefault="00806941" w:rsidP="002D3802">
            <w:pPr>
              <w:pStyle w:val="Tabletext"/>
              <w:jc w:val="center"/>
              <w:rPr>
                <w:color w:val="000000" w:themeColor="text1"/>
                <w:sz w:val="18"/>
                <w:szCs w:val="18"/>
              </w:rPr>
            </w:pPr>
          </w:p>
        </w:tc>
        <w:tc>
          <w:tcPr>
            <w:tcW w:w="586" w:type="dxa"/>
            <w:tcBorders>
              <w:bottom w:val="single" w:sz="4" w:space="0" w:color="A6A8AB"/>
            </w:tcBorders>
            <w:shd w:val="clear" w:color="auto" w:fill="FFFFFF" w:themeFill="background1"/>
          </w:tcPr>
          <w:p w14:paraId="311D4034" w14:textId="77777777" w:rsidR="00806941" w:rsidRPr="00145592" w:rsidRDefault="00806941" w:rsidP="002D3802">
            <w:pPr>
              <w:pStyle w:val="Tabletext"/>
              <w:jc w:val="center"/>
              <w:rPr>
                <w:color w:val="000000" w:themeColor="text1"/>
                <w:sz w:val="18"/>
                <w:szCs w:val="18"/>
              </w:rPr>
            </w:pPr>
          </w:p>
        </w:tc>
        <w:tc>
          <w:tcPr>
            <w:tcW w:w="681" w:type="dxa"/>
            <w:tcBorders>
              <w:bottom w:val="single" w:sz="4" w:space="0" w:color="A6A8AB"/>
            </w:tcBorders>
            <w:shd w:val="clear" w:color="auto" w:fill="FFFFFF" w:themeFill="background1"/>
          </w:tcPr>
          <w:p w14:paraId="4A34EB19" w14:textId="77777777" w:rsidR="00806941" w:rsidRPr="00145592" w:rsidRDefault="00806941" w:rsidP="002D3802">
            <w:pPr>
              <w:pStyle w:val="Tabletext"/>
              <w:jc w:val="center"/>
              <w:rPr>
                <w:color w:val="000000" w:themeColor="text1"/>
                <w:sz w:val="18"/>
                <w:szCs w:val="18"/>
              </w:rPr>
            </w:pPr>
            <w:r w:rsidRPr="00145592">
              <w:rPr>
                <w:color w:val="000000" w:themeColor="text1"/>
                <w:sz w:val="18"/>
                <w:szCs w:val="18"/>
              </w:rPr>
              <w:sym w:font="Wingdings" w:char="F0FC"/>
            </w:r>
          </w:p>
        </w:tc>
      </w:tr>
      <w:tr w:rsidR="00806941" w14:paraId="628CA96B" w14:textId="77777777" w:rsidTr="00F5197E">
        <w:trPr>
          <w:trHeight w:val="253"/>
        </w:trPr>
        <w:tc>
          <w:tcPr>
            <w:tcW w:w="4623" w:type="dxa"/>
            <w:shd w:val="clear" w:color="auto" w:fill="FFFFFF" w:themeFill="background1"/>
          </w:tcPr>
          <w:p w14:paraId="12205B68" w14:textId="77777777" w:rsidR="00806941" w:rsidRDefault="00806941" w:rsidP="00806941">
            <w:pPr>
              <w:pStyle w:val="Tablesubhead"/>
            </w:pPr>
            <w:r w:rsidRPr="005F36CD">
              <w:t>Money and financial mathematics</w:t>
            </w:r>
          </w:p>
          <w:p w14:paraId="7E5F6CA2" w14:textId="77777777" w:rsidR="00806941" w:rsidRPr="005F36CD" w:rsidRDefault="00806941" w:rsidP="00806941">
            <w:pPr>
              <w:pStyle w:val="Tabletext"/>
              <w:rPr>
                <w:sz w:val="18"/>
                <w:szCs w:val="18"/>
              </w:rPr>
            </w:pPr>
            <w:r w:rsidRPr="00DF7D2A">
              <w:rPr>
                <w:sz w:val="18"/>
                <w:szCs w:val="18"/>
              </w:rPr>
              <w:t xml:space="preserve">Solve problems involving simple interest </w:t>
            </w:r>
          </w:p>
        </w:tc>
        <w:tc>
          <w:tcPr>
            <w:tcW w:w="586" w:type="dxa"/>
            <w:shd w:val="clear" w:color="auto" w:fill="FFFFFF" w:themeFill="background1"/>
          </w:tcPr>
          <w:p w14:paraId="2DD78A79" w14:textId="77777777" w:rsidR="00806941" w:rsidRPr="005F36CD" w:rsidRDefault="00806941" w:rsidP="00806941">
            <w:pPr>
              <w:pStyle w:val="Tabletext"/>
              <w:jc w:val="center"/>
              <w:rPr>
                <w:sz w:val="18"/>
                <w:szCs w:val="18"/>
              </w:rPr>
            </w:pPr>
          </w:p>
        </w:tc>
        <w:tc>
          <w:tcPr>
            <w:tcW w:w="594" w:type="dxa"/>
            <w:shd w:val="clear" w:color="auto" w:fill="FFFFFF" w:themeFill="background1"/>
          </w:tcPr>
          <w:p w14:paraId="40E8151B" w14:textId="77777777" w:rsidR="00806941" w:rsidRPr="005F36CD" w:rsidRDefault="00806941" w:rsidP="00806941">
            <w:pPr>
              <w:pStyle w:val="Tabletext"/>
              <w:jc w:val="center"/>
              <w:rPr>
                <w:sz w:val="18"/>
                <w:szCs w:val="18"/>
              </w:rPr>
            </w:pPr>
            <w:r w:rsidRPr="005F36CD">
              <w:rPr>
                <w:sz w:val="18"/>
                <w:szCs w:val="18"/>
              </w:rPr>
              <w:sym w:font="Wingdings" w:char="F0FC"/>
            </w:r>
          </w:p>
        </w:tc>
        <w:tc>
          <w:tcPr>
            <w:tcW w:w="602" w:type="dxa"/>
            <w:shd w:val="clear" w:color="auto" w:fill="FFFFFF" w:themeFill="background1"/>
          </w:tcPr>
          <w:p w14:paraId="227E7BC9" w14:textId="77777777" w:rsidR="00806941" w:rsidRPr="005F36CD" w:rsidRDefault="00806941" w:rsidP="00806941">
            <w:pPr>
              <w:pStyle w:val="Tabletext"/>
              <w:jc w:val="center"/>
              <w:rPr>
                <w:sz w:val="18"/>
                <w:szCs w:val="18"/>
              </w:rPr>
            </w:pPr>
          </w:p>
        </w:tc>
        <w:tc>
          <w:tcPr>
            <w:tcW w:w="588" w:type="dxa"/>
            <w:shd w:val="clear" w:color="auto" w:fill="FFFFFF" w:themeFill="background1"/>
          </w:tcPr>
          <w:p w14:paraId="695F92BA" w14:textId="77777777" w:rsidR="00806941" w:rsidRPr="005F36CD" w:rsidRDefault="00806941" w:rsidP="00806941">
            <w:pPr>
              <w:pStyle w:val="Tabletext"/>
              <w:jc w:val="center"/>
              <w:rPr>
                <w:sz w:val="18"/>
                <w:szCs w:val="18"/>
              </w:rPr>
            </w:pPr>
          </w:p>
        </w:tc>
        <w:tc>
          <w:tcPr>
            <w:tcW w:w="4632" w:type="dxa"/>
            <w:tcBorders>
              <w:bottom w:val="single" w:sz="4" w:space="0" w:color="A6A8AB"/>
            </w:tcBorders>
            <w:shd w:val="clear" w:color="auto" w:fill="FFFFFF" w:themeFill="background1"/>
          </w:tcPr>
          <w:p w14:paraId="128CD911" w14:textId="77777777" w:rsidR="00806941" w:rsidRPr="005F36CD" w:rsidRDefault="00806941" w:rsidP="00806941">
            <w:pPr>
              <w:pStyle w:val="Tabletext"/>
              <w:rPr>
                <w:sz w:val="18"/>
                <w:szCs w:val="18"/>
              </w:rPr>
            </w:pPr>
            <w:r w:rsidRPr="002D3CBD">
              <w:rPr>
                <w:sz w:val="18"/>
                <w:szCs w:val="18"/>
              </w:rPr>
              <w:t>Investigate very small and very large time scales and intervals</w:t>
            </w:r>
          </w:p>
        </w:tc>
        <w:tc>
          <w:tcPr>
            <w:tcW w:w="586" w:type="dxa"/>
            <w:tcBorders>
              <w:bottom w:val="single" w:sz="4" w:space="0" w:color="A6A8AB"/>
            </w:tcBorders>
            <w:shd w:val="clear" w:color="auto" w:fill="FFFFFF" w:themeFill="background1"/>
          </w:tcPr>
          <w:p w14:paraId="40701F71" w14:textId="77777777" w:rsidR="00806941" w:rsidRPr="005F36CD" w:rsidRDefault="00806941" w:rsidP="002D3802">
            <w:pPr>
              <w:pStyle w:val="Tabletext"/>
              <w:jc w:val="center"/>
              <w:rPr>
                <w:sz w:val="18"/>
                <w:szCs w:val="18"/>
              </w:rPr>
            </w:pPr>
            <w:r w:rsidRPr="005F36CD">
              <w:rPr>
                <w:sz w:val="18"/>
                <w:szCs w:val="18"/>
              </w:rPr>
              <w:sym w:font="Wingdings" w:char="F0FC"/>
            </w:r>
          </w:p>
        </w:tc>
        <w:tc>
          <w:tcPr>
            <w:tcW w:w="598" w:type="dxa"/>
            <w:tcBorders>
              <w:bottom w:val="single" w:sz="4" w:space="0" w:color="A6A8AB"/>
            </w:tcBorders>
            <w:shd w:val="clear" w:color="auto" w:fill="FFFFFF" w:themeFill="background1"/>
          </w:tcPr>
          <w:p w14:paraId="287309B8" w14:textId="77777777" w:rsidR="00806941" w:rsidRPr="005F36CD" w:rsidRDefault="00806941" w:rsidP="002D3802">
            <w:pPr>
              <w:pStyle w:val="Tabletext"/>
              <w:jc w:val="center"/>
              <w:rPr>
                <w:sz w:val="18"/>
                <w:szCs w:val="18"/>
              </w:rPr>
            </w:pPr>
          </w:p>
        </w:tc>
        <w:tc>
          <w:tcPr>
            <w:tcW w:w="586" w:type="dxa"/>
            <w:tcBorders>
              <w:bottom w:val="single" w:sz="4" w:space="0" w:color="A6A8AB"/>
            </w:tcBorders>
            <w:shd w:val="clear" w:color="auto" w:fill="FFFFFF" w:themeFill="background1"/>
          </w:tcPr>
          <w:p w14:paraId="60489F40" w14:textId="77777777" w:rsidR="00806941" w:rsidRPr="005F36CD" w:rsidRDefault="00806941" w:rsidP="002D3802">
            <w:pPr>
              <w:pStyle w:val="Tabletext"/>
              <w:jc w:val="center"/>
              <w:rPr>
                <w:sz w:val="18"/>
                <w:szCs w:val="18"/>
              </w:rPr>
            </w:pPr>
          </w:p>
        </w:tc>
        <w:tc>
          <w:tcPr>
            <w:tcW w:w="652" w:type="dxa"/>
            <w:tcBorders>
              <w:bottom w:val="single" w:sz="4" w:space="0" w:color="A6A8AB"/>
            </w:tcBorders>
            <w:shd w:val="clear" w:color="auto" w:fill="FFFFFF" w:themeFill="background1"/>
          </w:tcPr>
          <w:p w14:paraId="5D12380F" w14:textId="77777777" w:rsidR="00806941" w:rsidRPr="005F36CD" w:rsidRDefault="00806941" w:rsidP="002D3802">
            <w:pPr>
              <w:pStyle w:val="Tabletext"/>
              <w:jc w:val="center"/>
              <w:rPr>
                <w:sz w:val="18"/>
                <w:szCs w:val="18"/>
              </w:rPr>
            </w:pPr>
          </w:p>
        </w:tc>
        <w:tc>
          <w:tcPr>
            <w:tcW w:w="4464" w:type="dxa"/>
            <w:shd w:val="clear" w:color="auto" w:fill="auto"/>
          </w:tcPr>
          <w:p w14:paraId="1EFD812D" w14:textId="77777777" w:rsidR="00806941" w:rsidRDefault="00806941" w:rsidP="00806941">
            <w:pPr>
              <w:pStyle w:val="Tablesubhead"/>
            </w:pPr>
            <w:r w:rsidRPr="005F36CD">
              <w:t>Data representations and interpretation</w:t>
            </w:r>
            <w:r w:rsidRPr="000B20AB">
              <w:t xml:space="preserve"> </w:t>
            </w:r>
          </w:p>
          <w:p w14:paraId="7E515A22" w14:textId="77777777" w:rsidR="00806941" w:rsidRPr="005F36CD" w:rsidRDefault="00806941" w:rsidP="00806941">
            <w:pPr>
              <w:pStyle w:val="Tabletext"/>
              <w:rPr>
                <w:sz w:val="18"/>
                <w:szCs w:val="18"/>
              </w:rPr>
            </w:pPr>
            <w:r w:rsidRPr="000B20AB">
              <w:rPr>
                <w:sz w:val="18"/>
                <w:szCs w:val="18"/>
              </w:rPr>
              <w:t xml:space="preserve">Identify everyday questions and issues involving at least one numerical and at least one categorical variable, and collect data directly and from secondary sources </w:t>
            </w:r>
          </w:p>
        </w:tc>
        <w:tc>
          <w:tcPr>
            <w:tcW w:w="586" w:type="dxa"/>
            <w:shd w:val="clear" w:color="auto" w:fill="auto"/>
          </w:tcPr>
          <w:p w14:paraId="11FBD2CD" w14:textId="77777777" w:rsidR="00806941" w:rsidRPr="005F36CD" w:rsidRDefault="00806941" w:rsidP="002D3802">
            <w:pPr>
              <w:pStyle w:val="Tabletext"/>
              <w:jc w:val="center"/>
              <w:rPr>
                <w:sz w:val="18"/>
                <w:szCs w:val="18"/>
              </w:rPr>
            </w:pPr>
          </w:p>
        </w:tc>
        <w:tc>
          <w:tcPr>
            <w:tcW w:w="586" w:type="dxa"/>
            <w:shd w:val="clear" w:color="auto" w:fill="auto"/>
          </w:tcPr>
          <w:p w14:paraId="04D2AD1C" w14:textId="77777777" w:rsidR="00806941" w:rsidRPr="005F36CD" w:rsidRDefault="00806941" w:rsidP="002D3802">
            <w:pPr>
              <w:pStyle w:val="Tabletext"/>
              <w:jc w:val="center"/>
              <w:rPr>
                <w:sz w:val="18"/>
                <w:szCs w:val="18"/>
              </w:rPr>
            </w:pPr>
          </w:p>
        </w:tc>
        <w:tc>
          <w:tcPr>
            <w:tcW w:w="586" w:type="dxa"/>
            <w:shd w:val="clear" w:color="auto" w:fill="auto"/>
          </w:tcPr>
          <w:p w14:paraId="2147CC36" w14:textId="77777777" w:rsidR="00806941" w:rsidRPr="005F36CD" w:rsidRDefault="00806941" w:rsidP="002D3802">
            <w:pPr>
              <w:pStyle w:val="Tabletext"/>
              <w:jc w:val="center"/>
              <w:rPr>
                <w:sz w:val="18"/>
                <w:szCs w:val="18"/>
              </w:rPr>
            </w:pPr>
          </w:p>
        </w:tc>
        <w:tc>
          <w:tcPr>
            <w:tcW w:w="681" w:type="dxa"/>
            <w:shd w:val="clear" w:color="auto" w:fill="auto"/>
          </w:tcPr>
          <w:p w14:paraId="5A720091" w14:textId="77777777" w:rsidR="00806941" w:rsidRPr="005F36CD" w:rsidRDefault="00806941" w:rsidP="002D3802">
            <w:pPr>
              <w:pStyle w:val="Tabletext"/>
              <w:jc w:val="center"/>
              <w:rPr>
                <w:sz w:val="18"/>
                <w:szCs w:val="18"/>
              </w:rPr>
            </w:pPr>
            <w:r w:rsidRPr="005F36CD">
              <w:rPr>
                <w:sz w:val="18"/>
                <w:szCs w:val="18"/>
              </w:rPr>
              <w:sym w:font="Wingdings" w:char="F0FC"/>
            </w:r>
          </w:p>
        </w:tc>
      </w:tr>
      <w:tr w:rsidR="00806941" w14:paraId="0CC3E616" w14:textId="77777777" w:rsidTr="00F5197E">
        <w:trPr>
          <w:trHeight w:val="253"/>
        </w:trPr>
        <w:tc>
          <w:tcPr>
            <w:tcW w:w="4623" w:type="dxa"/>
            <w:shd w:val="clear" w:color="auto" w:fill="FFFFFF" w:themeFill="background1"/>
          </w:tcPr>
          <w:p w14:paraId="494C598B" w14:textId="77777777" w:rsidR="00806941" w:rsidRDefault="00806941" w:rsidP="00806941">
            <w:pPr>
              <w:pStyle w:val="Tablesubhead"/>
              <w:rPr>
                <w:sz w:val="18"/>
                <w:szCs w:val="18"/>
              </w:rPr>
            </w:pPr>
            <w:r>
              <w:rPr>
                <w:sz w:val="18"/>
                <w:szCs w:val="18"/>
              </w:rPr>
              <w:t>P</w:t>
            </w:r>
            <w:r>
              <w:t>atterns and algebra</w:t>
            </w:r>
            <w:r w:rsidRPr="00373709">
              <w:rPr>
                <w:sz w:val="18"/>
                <w:szCs w:val="18"/>
              </w:rPr>
              <w:t xml:space="preserve"> </w:t>
            </w:r>
          </w:p>
          <w:p w14:paraId="11140403" w14:textId="77777777" w:rsidR="00806941" w:rsidRPr="005F36CD" w:rsidRDefault="00806941" w:rsidP="00806941">
            <w:pPr>
              <w:pStyle w:val="Tabletext"/>
              <w:rPr>
                <w:sz w:val="18"/>
                <w:szCs w:val="18"/>
              </w:rPr>
            </w:pPr>
            <w:r w:rsidRPr="00373709">
              <w:rPr>
                <w:sz w:val="18"/>
                <w:szCs w:val="18"/>
              </w:rPr>
              <w:t>Extend and apply the index laws to variables, using positive integer indices and the zero index</w:t>
            </w:r>
          </w:p>
        </w:tc>
        <w:tc>
          <w:tcPr>
            <w:tcW w:w="586" w:type="dxa"/>
            <w:shd w:val="clear" w:color="auto" w:fill="FFFFFF" w:themeFill="background1"/>
          </w:tcPr>
          <w:p w14:paraId="47EAAAC0" w14:textId="77777777" w:rsidR="00806941" w:rsidRPr="005F36CD" w:rsidRDefault="00806941" w:rsidP="00806941">
            <w:pPr>
              <w:pStyle w:val="Tabletext"/>
              <w:jc w:val="center"/>
              <w:rPr>
                <w:sz w:val="18"/>
                <w:szCs w:val="18"/>
              </w:rPr>
            </w:pPr>
            <w:r w:rsidRPr="005F36CD">
              <w:rPr>
                <w:sz w:val="18"/>
                <w:szCs w:val="18"/>
              </w:rPr>
              <w:sym w:font="Wingdings" w:char="F0FC"/>
            </w:r>
          </w:p>
        </w:tc>
        <w:tc>
          <w:tcPr>
            <w:tcW w:w="594" w:type="dxa"/>
            <w:shd w:val="clear" w:color="auto" w:fill="FFFFFF" w:themeFill="background1"/>
          </w:tcPr>
          <w:p w14:paraId="10A5626B" w14:textId="77777777" w:rsidR="00806941" w:rsidRPr="005F36CD" w:rsidRDefault="00806941" w:rsidP="00806941">
            <w:pPr>
              <w:pStyle w:val="Tabletext"/>
              <w:jc w:val="center"/>
              <w:rPr>
                <w:sz w:val="18"/>
                <w:szCs w:val="18"/>
              </w:rPr>
            </w:pPr>
          </w:p>
        </w:tc>
        <w:tc>
          <w:tcPr>
            <w:tcW w:w="602" w:type="dxa"/>
            <w:shd w:val="clear" w:color="auto" w:fill="FFFFFF" w:themeFill="background1"/>
          </w:tcPr>
          <w:p w14:paraId="33BD4E1B" w14:textId="77777777" w:rsidR="00806941" w:rsidRPr="005F36CD" w:rsidRDefault="00806941" w:rsidP="00806941">
            <w:pPr>
              <w:pStyle w:val="Tabletext"/>
              <w:jc w:val="center"/>
              <w:rPr>
                <w:sz w:val="18"/>
                <w:szCs w:val="18"/>
              </w:rPr>
            </w:pPr>
          </w:p>
        </w:tc>
        <w:tc>
          <w:tcPr>
            <w:tcW w:w="588" w:type="dxa"/>
            <w:shd w:val="clear" w:color="auto" w:fill="FFFFFF" w:themeFill="background1"/>
          </w:tcPr>
          <w:p w14:paraId="006A343C" w14:textId="77777777" w:rsidR="00806941" w:rsidRPr="005F36CD" w:rsidRDefault="00806941" w:rsidP="00806941">
            <w:pPr>
              <w:pStyle w:val="Tabletext"/>
              <w:jc w:val="center"/>
              <w:rPr>
                <w:sz w:val="18"/>
                <w:szCs w:val="18"/>
              </w:rPr>
            </w:pPr>
          </w:p>
        </w:tc>
        <w:tc>
          <w:tcPr>
            <w:tcW w:w="4632" w:type="dxa"/>
            <w:shd w:val="clear" w:color="auto" w:fill="auto"/>
          </w:tcPr>
          <w:p w14:paraId="05628DC9" w14:textId="77777777" w:rsidR="00806941" w:rsidRDefault="00806941" w:rsidP="00806941">
            <w:pPr>
              <w:pStyle w:val="Tablesubhead"/>
              <w:rPr>
                <w:color w:val="000000" w:themeColor="text1"/>
                <w:sz w:val="18"/>
                <w:szCs w:val="18"/>
              </w:rPr>
            </w:pPr>
            <w:r>
              <w:rPr>
                <w:sz w:val="18"/>
                <w:szCs w:val="18"/>
              </w:rPr>
              <w:t>G</w:t>
            </w:r>
            <w:r>
              <w:t>eometric reasoning</w:t>
            </w:r>
            <w:r w:rsidRPr="002D3CBD">
              <w:rPr>
                <w:color w:val="000000" w:themeColor="text1"/>
                <w:sz w:val="18"/>
                <w:szCs w:val="18"/>
              </w:rPr>
              <w:t xml:space="preserve"> </w:t>
            </w:r>
          </w:p>
          <w:p w14:paraId="30E5FD09" w14:textId="77777777" w:rsidR="00806941" w:rsidRPr="005F36CD" w:rsidRDefault="00806941" w:rsidP="00806941">
            <w:pPr>
              <w:pStyle w:val="Tabletext"/>
              <w:rPr>
                <w:sz w:val="18"/>
                <w:szCs w:val="18"/>
              </w:rPr>
            </w:pPr>
            <w:r w:rsidRPr="002D3CBD">
              <w:rPr>
                <w:color w:val="000000" w:themeColor="text1"/>
                <w:sz w:val="18"/>
                <w:szCs w:val="18"/>
              </w:rPr>
              <w:t xml:space="preserve">Use the enlargement transformation to explain similarity and develop the conditions for triangles to be similar </w:t>
            </w:r>
          </w:p>
        </w:tc>
        <w:tc>
          <w:tcPr>
            <w:tcW w:w="586" w:type="dxa"/>
            <w:shd w:val="clear" w:color="auto" w:fill="auto"/>
          </w:tcPr>
          <w:p w14:paraId="02291D45" w14:textId="77777777" w:rsidR="00806941" w:rsidRPr="005F36CD" w:rsidRDefault="00806941" w:rsidP="002D3802">
            <w:pPr>
              <w:pStyle w:val="Tabletext"/>
              <w:jc w:val="center"/>
              <w:rPr>
                <w:sz w:val="18"/>
                <w:szCs w:val="18"/>
              </w:rPr>
            </w:pPr>
          </w:p>
        </w:tc>
        <w:tc>
          <w:tcPr>
            <w:tcW w:w="598" w:type="dxa"/>
            <w:shd w:val="clear" w:color="auto" w:fill="auto"/>
          </w:tcPr>
          <w:p w14:paraId="7E548FD4" w14:textId="77777777" w:rsidR="00806941" w:rsidRPr="005F36CD" w:rsidRDefault="00806941" w:rsidP="002D3802">
            <w:pPr>
              <w:pStyle w:val="Tabletext"/>
              <w:jc w:val="center"/>
              <w:rPr>
                <w:sz w:val="18"/>
                <w:szCs w:val="18"/>
              </w:rPr>
            </w:pPr>
          </w:p>
        </w:tc>
        <w:tc>
          <w:tcPr>
            <w:tcW w:w="586" w:type="dxa"/>
            <w:shd w:val="clear" w:color="auto" w:fill="auto"/>
          </w:tcPr>
          <w:p w14:paraId="0D1EC393" w14:textId="77777777" w:rsidR="00806941" w:rsidRPr="005F36CD" w:rsidRDefault="00806941" w:rsidP="002D3802">
            <w:pPr>
              <w:pStyle w:val="Tabletext"/>
              <w:jc w:val="center"/>
              <w:rPr>
                <w:sz w:val="18"/>
                <w:szCs w:val="18"/>
              </w:rPr>
            </w:pPr>
            <w:r w:rsidRPr="003C3B2A">
              <w:rPr>
                <w:color w:val="000000" w:themeColor="text1"/>
                <w:sz w:val="18"/>
                <w:szCs w:val="18"/>
              </w:rPr>
              <w:sym w:font="Wingdings" w:char="F0FC"/>
            </w:r>
          </w:p>
        </w:tc>
        <w:tc>
          <w:tcPr>
            <w:tcW w:w="652" w:type="dxa"/>
            <w:shd w:val="clear" w:color="auto" w:fill="auto"/>
          </w:tcPr>
          <w:p w14:paraId="7041A176" w14:textId="77777777" w:rsidR="00806941" w:rsidRPr="005F36CD" w:rsidRDefault="00806941" w:rsidP="002D3802">
            <w:pPr>
              <w:pStyle w:val="Tabletext"/>
              <w:jc w:val="center"/>
              <w:rPr>
                <w:sz w:val="18"/>
                <w:szCs w:val="18"/>
              </w:rPr>
            </w:pPr>
          </w:p>
        </w:tc>
        <w:tc>
          <w:tcPr>
            <w:tcW w:w="4464" w:type="dxa"/>
            <w:shd w:val="clear" w:color="auto" w:fill="FFFFFF" w:themeFill="background1"/>
          </w:tcPr>
          <w:p w14:paraId="20DC1B83" w14:textId="77777777" w:rsidR="00806941" w:rsidRPr="005F36CD" w:rsidRDefault="00806941" w:rsidP="00806941">
            <w:pPr>
              <w:pStyle w:val="Tabletext"/>
              <w:rPr>
                <w:sz w:val="18"/>
                <w:szCs w:val="18"/>
              </w:rPr>
            </w:pPr>
            <w:r w:rsidRPr="000B20AB">
              <w:rPr>
                <w:sz w:val="18"/>
                <w:szCs w:val="18"/>
              </w:rPr>
              <w:t>Construct back-to-back stem-and-leaf plots and histograms and describe data, using terms including 'skewed', 'symmetric' and 'bi modal'</w:t>
            </w:r>
            <w:r w:rsidRPr="005F36CD">
              <w:rPr>
                <w:sz w:val="18"/>
                <w:szCs w:val="18"/>
              </w:rPr>
              <w:tab/>
            </w:r>
          </w:p>
        </w:tc>
        <w:tc>
          <w:tcPr>
            <w:tcW w:w="586" w:type="dxa"/>
            <w:shd w:val="clear" w:color="auto" w:fill="FFFFFF" w:themeFill="background1"/>
          </w:tcPr>
          <w:p w14:paraId="37183CF1" w14:textId="77777777" w:rsidR="00806941" w:rsidRPr="005F36CD" w:rsidRDefault="00806941" w:rsidP="002D3802">
            <w:pPr>
              <w:pStyle w:val="Tabletext"/>
              <w:jc w:val="center"/>
              <w:rPr>
                <w:sz w:val="18"/>
                <w:szCs w:val="18"/>
              </w:rPr>
            </w:pPr>
          </w:p>
        </w:tc>
        <w:tc>
          <w:tcPr>
            <w:tcW w:w="586" w:type="dxa"/>
            <w:shd w:val="clear" w:color="auto" w:fill="FFFFFF" w:themeFill="background1"/>
          </w:tcPr>
          <w:p w14:paraId="37E6C6EA" w14:textId="77777777" w:rsidR="00806941" w:rsidRPr="005F36CD" w:rsidRDefault="00806941" w:rsidP="002D3802">
            <w:pPr>
              <w:pStyle w:val="Tabletext"/>
              <w:jc w:val="center"/>
              <w:rPr>
                <w:sz w:val="18"/>
                <w:szCs w:val="18"/>
              </w:rPr>
            </w:pPr>
          </w:p>
        </w:tc>
        <w:tc>
          <w:tcPr>
            <w:tcW w:w="586" w:type="dxa"/>
            <w:shd w:val="clear" w:color="auto" w:fill="FFFFFF" w:themeFill="background1"/>
          </w:tcPr>
          <w:p w14:paraId="2B69BEEC" w14:textId="77777777" w:rsidR="00806941" w:rsidRPr="005F36CD" w:rsidRDefault="00806941" w:rsidP="002D3802">
            <w:pPr>
              <w:pStyle w:val="Tabletext"/>
              <w:jc w:val="center"/>
              <w:rPr>
                <w:sz w:val="18"/>
                <w:szCs w:val="18"/>
              </w:rPr>
            </w:pPr>
          </w:p>
        </w:tc>
        <w:tc>
          <w:tcPr>
            <w:tcW w:w="681" w:type="dxa"/>
            <w:shd w:val="clear" w:color="auto" w:fill="FFFFFF" w:themeFill="background1"/>
          </w:tcPr>
          <w:p w14:paraId="12CE3B41" w14:textId="77777777" w:rsidR="00806941" w:rsidRPr="005F36CD" w:rsidRDefault="00806941" w:rsidP="002D3802">
            <w:pPr>
              <w:pStyle w:val="Tabletext"/>
              <w:jc w:val="center"/>
              <w:rPr>
                <w:sz w:val="18"/>
                <w:szCs w:val="18"/>
              </w:rPr>
            </w:pPr>
            <w:r w:rsidRPr="005F36CD">
              <w:rPr>
                <w:sz w:val="18"/>
                <w:szCs w:val="18"/>
              </w:rPr>
              <w:sym w:font="Wingdings" w:char="F0FC"/>
            </w:r>
          </w:p>
        </w:tc>
      </w:tr>
      <w:tr w:rsidR="002D3802" w14:paraId="643DA4C1" w14:textId="77777777" w:rsidTr="00F5197E">
        <w:trPr>
          <w:trHeight w:val="253"/>
        </w:trPr>
        <w:tc>
          <w:tcPr>
            <w:tcW w:w="4623" w:type="dxa"/>
            <w:shd w:val="clear" w:color="auto" w:fill="FFFFFF" w:themeFill="background1"/>
          </w:tcPr>
          <w:p w14:paraId="525E99AE" w14:textId="77777777" w:rsidR="002D3802" w:rsidRPr="005F36CD" w:rsidRDefault="002D3802" w:rsidP="00806941">
            <w:pPr>
              <w:pStyle w:val="Tabletext"/>
              <w:rPr>
                <w:sz w:val="18"/>
                <w:szCs w:val="18"/>
              </w:rPr>
            </w:pPr>
            <w:r w:rsidRPr="00373709">
              <w:rPr>
                <w:sz w:val="18"/>
                <w:szCs w:val="18"/>
              </w:rPr>
              <w:t>Apply the distributive law to the expansion of algebraic expressions, including binomials, and collect like terms where appropriate </w:t>
            </w:r>
          </w:p>
        </w:tc>
        <w:tc>
          <w:tcPr>
            <w:tcW w:w="586" w:type="dxa"/>
            <w:shd w:val="clear" w:color="auto" w:fill="FFFFFF" w:themeFill="background1"/>
          </w:tcPr>
          <w:p w14:paraId="123A9130" w14:textId="77777777" w:rsidR="002D3802" w:rsidRPr="005F36CD" w:rsidRDefault="002D3802" w:rsidP="00806941">
            <w:pPr>
              <w:pStyle w:val="Tabletext"/>
              <w:jc w:val="center"/>
              <w:rPr>
                <w:sz w:val="18"/>
                <w:szCs w:val="18"/>
              </w:rPr>
            </w:pPr>
            <w:r w:rsidRPr="005F36CD">
              <w:rPr>
                <w:sz w:val="18"/>
                <w:szCs w:val="18"/>
              </w:rPr>
              <w:sym w:font="Wingdings" w:char="F0FC"/>
            </w:r>
          </w:p>
        </w:tc>
        <w:tc>
          <w:tcPr>
            <w:tcW w:w="594" w:type="dxa"/>
            <w:shd w:val="clear" w:color="auto" w:fill="FFFFFF" w:themeFill="background1"/>
          </w:tcPr>
          <w:p w14:paraId="6BE0A445" w14:textId="77777777" w:rsidR="002D3802" w:rsidRPr="005F36CD" w:rsidRDefault="002D3802" w:rsidP="00806941">
            <w:pPr>
              <w:pStyle w:val="Tabletext"/>
              <w:jc w:val="center"/>
              <w:rPr>
                <w:sz w:val="18"/>
                <w:szCs w:val="18"/>
              </w:rPr>
            </w:pPr>
          </w:p>
        </w:tc>
        <w:tc>
          <w:tcPr>
            <w:tcW w:w="602" w:type="dxa"/>
            <w:shd w:val="clear" w:color="auto" w:fill="FFFFFF" w:themeFill="background1"/>
          </w:tcPr>
          <w:p w14:paraId="240ACFFF" w14:textId="77777777" w:rsidR="002D3802" w:rsidRPr="005F36CD" w:rsidRDefault="002D3802" w:rsidP="00806941">
            <w:pPr>
              <w:pStyle w:val="Tabletext"/>
              <w:jc w:val="center"/>
              <w:rPr>
                <w:sz w:val="18"/>
                <w:szCs w:val="18"/>
              </w:rPr>
            </w:pPr>
          </w:p>
        </w:tc>
        <w:tc>
          <w:tcPr>
            <w:tcW w:w="588" w:type="dxa"/>
            <w:shd w:val="clear" w:color="auto" w:fill="FFFFFF" w:themeFill="background1"/>
          </w:tcPr>
          <w:p w14:paraId="4DDA36E3" w14:textId="77777777" w:rsidR="002D3802" w:rsidRPr="005F36CD" w:rsidRDefault="002D3802" w:rsidP="00806941">
            <w:pPr>
              <w:pStyle w:val="Tabletext"/>
              <w:jc w:val="center"/>
              <w:rPr>
                <w:sz w:val="18"/>
                <w:szCs w:val="18"/>
              </w:rPr>
            </w:pPr>
          </w:p>
        </w:tc>
        <w:tc>
          <w:tcPr>
            <w:tcW w:w="4632" w:type="dxa"/>
            <w:shd w:val="clear" w:color="auto" w:fill="FFFFFF" w:themeFill="background1"/>
          </w:tcPr>
          <w:p w14:paraId="477886B8" w14:textId="77777777" w:rsidR="002D3802" w:rsidRPr="005F36CD" w:rsidRDefault="002D3802" w:rsidP="00806941">
            <w:pPr>
              <w:pStyle w:val="Tabletext"/>
              <w:rPr>
                <w:sz w:val="18"/>
                <w:szCs w:val="18"/>
              </w:rPr>
            </w:pPr>
            <w:r w:rsidRPr="003C3B2A">
              <w:rPr>
                <w:sz w:val="18"/>
                <w:szCs w:val="18"/>
              </w:rPr>
              <w:t xml:space="preserve">Solve problems using ratio and scale factors in similar figures </w:t>
            </w:r>
          </w:p>
        </w:tc>
        <w:tc>
          <w:tcPr>
            <w:tcW w:w="586" w:type="dxa"/>
            <w:shd w:val="clear" w:color="auto" w:fill="FFFFFF" w:themeFill="background1"/>
          </w:tcPr>
          <w:p w14:paraId="75D51C07" w14:textId="77777777" w:rsidR="002D3802" w:rsidRPr="005F36CD" w:rsidRDefault="002D3802" w:rsidP="002D3802">
            <w:pPr>
              <w:pStyle w:val="Tabletext"/>
              <w:jc w:val="center"/>
              <w:rPr>
                <w:sz w:val="18"/>
                <w:szCs w:val="18"/>
              </w:rPr>
            </w:pPr>
          </w:p>
        </w:tc>
        <w:tc>
          <w:tcPr>
            <w:tcW w:w="598" w:type="dxa"/>
            <w:shd w:val="clear" w:color="auto" w:fill="FFFFFF" w:themeFill="background1"/>
          </w:tcPr>
          <w:p w14:paraId="0BA13AEC" w14:textId="77777777" w:rsidR="002D3802" w:rsidRPr="005F36CD" w:rsidRDefault="002D3802" w:rsidP="002D3802">
            <w:pPr>
              <w:pStyle w:val="Tabletext"/>
              <w:jc w:val="center"/>
              <w:rPr>
                <w:sz w:val="18"/>
                <w:szCs w:val="18"/>
              </w:rPr>
            </w:pPr>
          </w:p>
        </w:tc>
        <w:tc>
          <w:tcPr>
            <w:tcW w:w="586" w:type="dxa"/>
            <w:shd w:val="clear" w:color="auto" w:fill="FFFFFF" w:themeFill="background1"/>
          </w:tcPr>
          <w:p w14:paraId="435E254F" w14:textId="77777777" w:rsidR="002D3802" w:rsidRPr="005F36CD" w:rsidRDefault="002D3802" w:rsidP="002D3802">
            <w:pPr>
              <w:pStyle w:val="Tabletext"/>
              <w:jc w:val="center"/>
              <w:rPr>
                <w:sz w:val="18"/>
                <w:szCs w:val="18"/>
              </w:rPr>
            </w:pPr>
            <w:r w:rsidRPr="003C3B2A">
              <w:rPr>
                <w:color w:val="000000" w:themeColor="text1"/>
                <w:sz w:val="18"/>
                <w:szCs w:val="18"/>
              </w:rPr>
              <w:sym w:font="Wingdings" w:char="F0FC"/>
            </w:r>
          </w:p>
        </w:tc>
        <w:tc>
          <w:tcPr>
            <w:tcW w:w="652" w:type="dxa"/>
            <w:shd w:val="clear" w:color="auto" w:fill="FFFFFF" w:themeFill="background1"/>
          </w:tcPr>
          <w:p w14:paraId="0DCA1CAC" w14:textId="77777777" w:rsidR="002D3802" w:rsidRPr="005F36CD" w:rsidRDefault="002D3802" w:rsidP="002D3802">
            <w:pPr>
              <w:pStyle w:val="Tabletext"/>
              <w:jc w:val="center"/>
              <w:rPr>
                <w:sz w:val="18"/>
                <w:szCs w:val="18"/>
              </w:rPr>
            </w:pPr>
          </w:p>
        </w:tc>
        <w:tc>
          <w:tcPr>
            <w:tcW w:w="4464" w:type="dxa"/>
            <w:vMerge w:val="restart"/>
            <w:shd w:val="clear" w:color="auto" w:fill="FFFFFF" w:themeFill="background1"/>
          </w:tcPr>
          <w:p w14:paraId="1DBAA537" w14:textId="77777777" w:rsidR="002D3802" w:rsidRPr="005F36CD" w:rsidRDefault="002D3802" w:rsidP="00806941">
            <w:pPr>
              <w:pStyle w:val="Tabletext"/>
              <w:tabs>
                <w:tab w:val="left" w:pos="540"/>
              </w:tabs>
              <w:rPr>
                <w:sz w:val="18"/>
                <w:szCs w:val="18"/>
              </w:rPr>
            </w:pPr>
            <w:r w:rsidRPr="000B20AB">
              <w:rPr>
                <w:sz w:val="18"/>
                <w:szCs w:val="18"/>
              </w:rPr>
              <w:t xml:space="preserve">Compare data displays using mean, median and range to describe and interpret numerical data sets in terms of location (centre) and spread </w:t>
            </w:r>
          </w:p>
        </w:tc>
        <w:tc>
          <w:tcPr>
            <w:tcW w:w="586" w:type="dxa"/>
            <w:vMerge w:val="restart"/>
            <w:shd w:val="clear" w:color="auto" w:fill="FFFFFF" w:themeFill="background1"/>
          </w:tcPr>
          <w:p w14:paraId="1C60E156" w14:textId="77777777" w:rsidR="002D3802" w:rsidRPr="005F36CD" w:rsidRDefault="002D3802" w:rsidP="002D3802">
            <w:pPr>
              <w:pStyle w:val="Tabletext"/>
              <w:jc w:val="center"/>
              <w:rPr>
                <w:sz w:val="18"/>
                <w:szCs w:val="18"/>
              </w:rPr>
            </w:pPr>
          </w:p>
        </w:tc>
        <w:tc>
          <w:tcPr>
            <w:tcW w:w="586" w:type="dxa"/>
            <w:vMerge w:val="restart"/>
            <w:shd w:val="clear" w:color="auto" w:fill="FFFFFF" w:themeFill="background1"/>
          </w:tcPr>
          <w:p w14:paraId="4BB1561E" w14:textId="77777777" w:rsidR="002D3802" w:rsidRPr="005F36CD" w:rsidRDefault="002D3802" w:rsidP="002D3802">
            <w:pPr>
              <w:pStyle w:val="Tabletext"/>
              <w:jc w:val="center"/>
              <w:rPr>
                <w:sz w:val="18"/>
                <w:szCs w:val="18"/>
              </w:rPr>
            </w:pPr>
          </w:p>
        </w:tc>
        <w:tc>
          <w:tcPr>
            <w:tcW w:w="586" w:type="dxa"/>
            <w:vMerge w:val="restart"/>
            <w:shd w:val="clear" w:color="auto" w:fill="FFFFFF" w:themeFill="background1"/>
          </w:tcPr>
          <w:p w14:paraId="6D418760" w14:textId="77777777" w:rsidR="002D3802" w:rsidRPr="005F36CD" w:rsidRDefault="002D3802" w:rsidP="002D3802">
            <w:pPr>
              <w:pStyle w:val="Tabletext"/>
              <w:jc w:val="center"/>
              <w:rPr>
                <w:sz w:val="18"/>
                <w:szCs w:val="18"/>
              </w:rPr>
            </w:pPr>
          </w:p>
        </w:tc>
        <w:tc>
          <w:tcPr>
            <w:tcW w:w="681" w:type="dxa"/>
            <w:vMerge w:val="restart"/>
            <w:shd w:val="clear" w:color="auto" w:fill="FFFFFF" w:themeFill="background1"/>
          </w:tcPr>
          <w:p w14:paraId="05F35CD9" w14:textId="77777777" w:rsidR="002D3802" w:rsidRPr="005F36CD" w:rsidRDefault="002D3802" w:rsidP="002D3802">
            <w:pPr>
              <w:pStyle w:val="Tabletext"/>
              <w:jc w:val="center"/>
              <w:rPr>
                <w:sz w:val="18"/>
                <w:szCs w:val="18"/>
              </w:rPr>
            </w:pPr>
            <w:r w:rsidRPr="005F36CD">
              <w:rPr>
                <w:sz w:val="18"/>
                <w:szCs w:val="18"/>
              </w:rPr>
              <w:sym w:font="Wingdings" w:char="F0FC"/>
            </w:r>
          </w:p>
        </w:tc>
      </w:tr>
      <w:tr w:rsidR="002D3802" w14:paraId="3CA40828" w14:textId="77777777" w:rsidTr="00F5197E">
        <w:trPr>
          <w:trHeight w:val="253"/>
        </w:trPr>
        <w:tc>
          <w:tcPr>
            <w:tcW w:w="4623" w:type="dxa"/>
            <w:shd w:val="clear" w:color="auto" w:fill="FFFFFF" w:themeFill="background1"/>
          </w:tcPr>
          <w:p w14:paraId="2BE67B99" w14:textId="77777777" w:rsidR="002D3802" w:rsidRDefault="002D3802" w:rsidP="00806941">
            <w:pPr>
              <w:pStyle w:val="Tablesubhead"/>
              <w:keepNext/>
              <w:rPr>
                <w:sz w:val="18"/>
                <w:szCs w:val="18"/>
              </w:rPr>
            </w:pPr>
            <w:r w:rsidRPr="005F36CD">
              <w:t>Linear and non-linear relationships</w:t>
            </w:r>
            <w:r w:rsidRPr="00373709">
              <w:rPr>
                <w:sz w:val="18"/>
                <w:szCs w:val="18"/>
              </w:rPr>
              <w:t xml:space="preserve"> </w:t>
            </w:r>
          </w:p>
          <w:p w14:paraId="44205D3F" w14:textId="77777777" w:rsidR="002D3802" w:rsidRPr="005F36CD" w:rsidRDefault="002D3802" w:rsidP="00806941">
            <w:pPr>
              <w:pStyle w:val="Tabletext"/>
              <w:keepNext/>
              <w:rPr>
                <w:sz w:val="18"/>
                <w:szCs w:val="18"/>
              </w:rPr>
            </w:pPr>
            <w:r w:rsidRPr="00373709">
              <w:rPr>
                <w:sz w:val="18"/>
                <w:szCs w:val="18"/>
              </w:rPr>
              <w:t>Find the distance between two points located on the Cartesian plane using a range of strategies, including graphing software </w:t>
            </w:r>
          </w:p>
        </w:tc>
        <w:tc>
          <w:tcPr>
            <w:tcW w:w="586" w:type="dxa"/>
            <w:shd w:val="clear" w:color="auto" w:fill="FFFFFF" w:themeFill="background1"/>
            <w:vAlign w:val="center"/>
          </w:tcPr>
          <w:p w14:paraId="28A60A5D" w14:textId="77777777" w:rsidR="002D3802" w:rsidRPr="005F36CD" w:rsidRDefault="002D3802" w:rsidP="00806941">
            <w:pPr>
              <w:pStyle w:val="Tabletext"/>
              <w:keepNext/>
              <w:jc w:val="center"/>
              <w:rPr>
                <w:sz w:val="18"/>
                <w:szCs w:val="18"/>
              </w:rPr>
            </w:pPr>
          </w:p>
        </w:tc>
        <w:tc>
          <w:tcPr>
            <w:tcW w:w="594" w:type="dxa"/>
            <w:shd w:val="clear" w:color="auto" w:fill="FFFFFF" w:themeFill="background1"/>
            <w:vAlign w:val="center"/>
          </w:tcPr>
          <w:p w14:paraId="04E84869" w14:textId="77777777" w:rsidR="002D3802" w:rsidRPr="005F36CD" w:rsidRDefault="002D3802" w:rsidP="00806941">
            <w:pPr>
              <w:pStyle w:val="Tabletext"/>
              <w:keepNext/>
              <w:jc w:val="center"/>
              <w:rPr>
                <w:sz w:val="18"/>
                <w:szCs w:val="18"/>
              </w:rPr>
            </w:pPr>
          </w:p>
        </w:tc>
        <w:tc>
          <w:tcPr>
            <w:tcW w:w="602" w:type="dxa"/>
            <w:shd w:val="clear" w:color="auto" w:fill="FFFFFF" w:themeFill="background1"/>
            <w:vAlign w:val="center"/>
          </w:tcPr>
          <w:p w14:paraId="5E2EA794" w14:textId="77777777" w:rsidR="002D3802" w:rsidRPr="005F36CD" w:rsidRDefault="002D3802" w:rsidP="00806941">
            <w:pPr>
              <w:pStyle w:val="Tabletext"/>
              <w:keepNext/>
              <w:jc w:val="center"/>
              <w:rPr>
                <w:sz w:val="18"/>
                <w:szCs w:val="18"/>
              </w:rPr>
            </w:pPr>
          </w:p>
        </w:tc>
        <w:tc>
          <w:tcPr>
            <w:tcW w:w="588" w:type="dxa"/>
            <w:shd w:val="clear" w:color="auto" w:fill="FFFFFF" w:themeFill="background1"/>
            <w:vAlign w:val="center"/>
          </w:tcPr>
          <w:p w14:paraId="3EDFC4E3" w14:textId="77777777" w:rsidR="002D3802" w:rsidRPr="005F36CD" w:rsidRDefault="002D3802" w:rsidP="00806941">
            <w:pPr>
              <w:pStyle w:val="Tabletext"/>
              <w:keepNext/>
              <w:jc w:val="center"/>
              <w:rPr>
                <w:sz w:val="18"/>
                <w:szCs w:val="18"/>
              </w:rPr>
            </w:pPr>
            <w:r w:rsidRPr="005F36CD">
              <w:rPr>
                <w:sz w:val="18"/>
                <w:szCs w:val="18"/>
              </w:rPr>
              <w:sym w:font="Wingdings" w:char="F0FC"/>
            </w:r>
          </w:p>
        </w:tc>
        <w:tc>
          <w:tcPr>
            <w:tcW w:w="4632" w:type="dxa"/>
            <w:shd w:val="clear" w:color="auto" w:fill="FFFFFF" w:themeFill="background1"/>
          </w:tcPr>
          <w:p w14:paraId="2991166D" w14:textId="77777777" w:rsidR="002D3802" w:rsidRDefault="002D3802" w:rsidP="00806941">
            <w:pPr>
              <w:pStyle w:val="Tablesubhead"/>
              <w:keepNext/>
              <w:rPr>
                <w:color w:val="000000" w:themeColor="text1"/>
                <w:sz w:val="18"/>
                <w:szCs w:val="18"/>
              </w:rPr>
            </w:pPr>
            <w:r>
              <w:rPr>
                <w:sz w:val="18"/>
                <w:szCs w:val="18"/>
              </w:rPr>
              <w:t>P</w:t>
            </w:r>
            <w:r>
              <w:t>ythagoras and trigonometry</w:t>
            </w:r>
            <w:r w:rsidRPr="003C3B2A">
              <w:rPr>
                <w:color w:val="000000" w:themeColor="text1"/>
                <w:sz w:val="18"/>
                <w:szCs w:val="18"/>
              </w:rPr>
              <w:t xml:space="preserve"> </w:t>
            </w:r>
          </w:p>
          <w:p w14:paraId="3E1624E5" w14:textId="77777777" w:rsidR="002D3802" w:rsidRPr="003C3B2A" w:rsidRDefault="002D3802" w:rsidP="00806941">
            <w:pPr>
              <w:pStyle w:val="Tabletext"/>
              <w:keepNext/>
              <w:tabs>
                <w:tab w:val="left" w:pos="615"/>
              </w:tabs>
              <w:rPr>
                <w:color w:val="000000" w:themeColor="text1"/>
                <w:sz w:val="18"/>
                <w:szCs w:val="18"/>
              </w:rPr>
            </w:pPr>
            <w:r w:rsidRPr="003C3B2A">
              <w:rPr>
                <w:color w:val="000000" w:themeColor="text1"/>
                <w:sz w:val="18"/>
                <w:szCs w:val="18"/>
              </w:rPr>
              <w:t xml:space="preserve">Investigate Pythagoras' Theorem and its application to solving simple problems involving right angled triangles </w:t>
            </w:r>
          </w:p>
        </w:tc>
        <w:tc>
          <w:tcPr>
            <w:tcW w:w="586" w:type="dxa"/>
            <w:shd w:val="clear" w:color="auto" w:fill="FFFFFF" w:themeFill="background1"/>
          </w:tcPr>
          <w:p w14:paraId="7292421A" w14:textId="77777777" w:rsidR="002D3802" w:rsidRPr="003C3B2A" w:rsidRDefault="002D3802" w:rsidP="002D3802">
            <w:pPr>
              <w:pStyle w:val="Tabletext"/>
              <w:keepNext/>
              <w:jc w:val="center"/>
              <w:rPr>
                <w:color w:val="000000" w:themeColor="text1"/>
                <w:sz w:val="18"/>
                <w:szCs w:val="18"/>
              </w:rPr>
            </w:pPr>
          </w:p>
        </w:tc>
        <w:tc>
          <w:tcPr>
            <w:tcW w:w="598" w:type="dxa"/>
            <w:shd w:val="clear" w:color="auto" w:fill="FFFFFF" w:themeFill="background1"/>
          </w:tcPr>
          <w:p w14:paraId="6FFEC246" w14:textId="77777777" w:rsidR="002D3802" w:rsidRPr="003C3B2A" w:rsidRDefault="002D3802" w:rsidP="002D3802">
            <w:pPr>
              <w:pStyle w:val="Tabletext"/>
              <w:keepNext/>
              <w:jc w:val="center"/>
              <w:rPr>
                <w:color w:val="000000" w:themeColor="text1"/>
                <w:sz w:val="18"/>
                <w:szCs w:val="18"/>
              </w:rPr>
            </w:pPr>
          </w:p>
        </w:tc>
        <w:tc>
          <w:tcPr>
            <w:tcW w:w="586" w:type="dxa"/>
            <w:shd w:val="clear" w:color="auto" w:fill="FFFFFF" w:themeFill="background1"/>
          </w:tcPr>
          <w:p w14:paraId="1B6FE7C0" w14:textId="77777777" w:rsidR="002D3802" w:rsidRPr="003C3B2A" w:rsidRDefault="002D3802" w:rsidP="002D3802">
            <w:pPr>
              <w:pStyle w:val="Tabletext"/>
              <w:keepNext/>
              <w:jc w:val="center"/>
              <w:rPr>
                <w:color w:val="000000" w:themeColor="text1"/>
                <w:sz w:val="18"/>
                <w:szCs w:val="18"/>
              </w:rPr>
            </w:pPr>
            <w:r w:rsidRPr="003C3B2A">
              <w:rPr>
                <w:color w:val="000000" w:themeColor="text1"/>
                <w:sz w:val="18"/>
                <w:szCs w:val="18"/>
              </w:rPr>
              <w:sym w:font="Wingdings" w:char="F0FC"/>
            </w:r>
          </w:p>
        </w:tc>
        <w:tc>
          <w:tcPr>
            <w:tcW w:w="652" w:type="dxa"/>
            <w:shd w:val="clear" w:color="auto" w:fill="FFFFFF" w:themeFill="background1"/>
          </w:tcPr>
          <w:p w14:paraId="2F1A6F04" w14:textId="77777777" w:rsidR="002D3802" w:rsidRPr="003C3B2A" w:rsidRDefault="002D3802" w:rsidP="002D3802">
            <w:pPr>
              <w:pStyle w:val="Tabletext"/>
              <w:keepNext/>
              <w:jc w:val="center"/>
              <w:rPr>
                <w:color w:val="000000" w:themeColor="text1"/>
                <w:sz w:val="18"/>
                <w:szCs w:val="18"/>
              </w:rPr>
            </w:pPr>
          </w:p>
        </w:tc>
        <w:tc>
          <w:tcPr>
            <w:tcW w:w="4464" w:type="dxa"/>
            <w:vMerge/>
            <w:shd w:val="clear" w:color="auto" w:fill="FFFFFF" w:themeFill="background1"/>
          </w:tcPr>
          <w:p w14:paraId="2421C41F" w14:textId="77777777" w:rsidR="002D3802" w:rsidRPr="005F36CD" w:rsidRDefault="002D3802" w:rsidP="00806941">
            <w:pPr>
              <w:pStyle w:val="Tabletext"/>
              <w:keepNext/>
              <w:rPr>
                <w:sz w:val="18"/>
                <w:szCs w:val="18"/>
              </w:rPr>
            </w:pPr>
          </w:p>
        </w:tc>
        <w:tc>
          <w:tcPr>
            <w:tcW w:w="586" w:type="dxa"/>
            <w:vMerge/>
            <w:shd w:val="clear" w:color="auto" w:fill="FFFFFF" w:themeFill="background1"/>
            <w:vAlign w:val="center"/>
          </w:tcPr>
          <w:p w14:paraId="3E6DA0AB" w14:textId="77777777" w:rsidR="002D3802" w:rsidRPr="005F36CD" w:rsidRDefault="002D3802" w:rsidP="00806941">
            <w:pPr>
              <w:pStyle w:val="Tabletext"/>
              <w:keepNext/>
              <w:jc w:val="center"/>
              <w:rPr>
                <w:sz w:val="18"/>
                <w:szCs w:val="18"/>
              </w:rPr>
            </w:pPr>
          </w:p>
        </w:tc>
        <w:tc>
          <w:tcPr>
            <w:tcW w:w="586" w:type="dxa"/>
            <w:vMerge/>
            <w:shd w:val="clear" w:color="auto" w:fill="FFFFFF" w:themeFill="background1"/>
            <w:vAlign w:val="center"/>
          </w:tcPr>
          <w:p w14:paraId="0EB99DEF" w14:textId="77777777" w:rsidR="002D3802" w:rsidRPr="005F36CD" w:rsidRDefault="002D3802" w:rsidP="00806941">
            <w:pPr>
              <w:pStyle w:val="Tabletext"/>
              <w:keepNext/>
              <w:jc w:val="center"/>
              <w:rPr>
                <w:sz w:val="18"/>
                <w:szCs w:val="18"/>
              </w:rPr>
            </w:pPr>
          </w:p>
        </w:tc>
        <w:tc>
          <w:tcPr>
            <w:tcW w:w="586" w:type="dxa"/>
            <w:vMerge/>
            <w:shd w:val="clear" w:color="auto" w:fill="FFFFFF" w:themeFill="background1"/>
            <w:vAlign w:val="center"/>
          </w:tcPr>
          <w:p w14:paraId="01EC9D30" w14:textId="77777777" w:rsidR="002D3802" w:rsidRPr="005F36CD" w:rsidRDefault="002D3802" w:rsidP="00806941">
            <w:pPr>
              <w:pStyle w:val="Tabletext"/>
              <w:keepNext/>
              <w:jc w:val="center"/>
              <w:rPr>
                <w:sz w:val="18"/>
                <w:szCs w:val="18"/>
              </w:rPr>
            </w:pPr>
          </w:p>
        </w:tc>
        <w:tc>
          <w:tcPr>
            <w:tcW w:w="681" w:type="dxa"/>
            <w:vMerge/>
            <w:shd w:val="clear" w:color="auto" w:fill="FFFFFF" w:themeFill="background1"/>
            <w:vAlign w:val="center"/>
          </w:tcPr>
          <w:p w14:paraId="6D56F93A" w14:textId="77777777" w:rsidR="002D3802" w:rsidRPr="005F36CD" w:rsidRDefault="002D3802" w:rsidP="00806941">
            <w:pPr>
              <w:pStyle w:val="Tabletext"/>
              <w:keepNext/>
              <w:jc w:val="center"/>
              <w:rPr>
                <w:sz w:val="18"/>
                <w:szCs w:val="18"/>
              </w:rPr>
            </w:pPr>
          </w:p>
        </w:tc>
      </w:tr>
      <w:tr w:rsidR="002D3802" w14:paraId="32495BF1" w14:textId="77777777" w:rsidTr="00F5197E">
        <w:trPr>
          <w:trHeight w:val="253"/>
        </w:trPr>
        <w:tc>
          <w:tcPr>
            <w:tcW w:w="4623" w:type="dxa"/>
            <w:shd w:val="clear" w:color="auto" w:fill="FFFFFF" w:themeFill="background1"/>
          </w:tcPr>
          <w:p w14:paraId="7BD9A817" w14:textId="77777777" w:rsidR="002D3802" w:rsidRPr="005F36CD" w:rsidRDefault="002D3802" w:rsidP="00806941">
            <w:pPr>
              <w:pStyle w:val="Tabletext"/>
              <w:rPr>
                <w:sz w:val="18"/>
                <w:szCs w:val="18"/>
              </w:rPr>
            </w:pPr>
            <w:r w:rsidRPr="00373709">
              <w:rPr>
                <w:sz w:val="18"/>
                <w:szCs w:val="18"/>
              </w:rPr>
              <w:t>Find the midpoint and gradient of a line segment (interval) on the Cartesian plane using a range of strategies, including graphing software</w:t>
            </w:r>
            <w:r>
              <w:rPr>
                <w:sz w:val="18"/>
                <w:szCs w:val="18"/>
              </w:rPr>
              <w:t xml:space="preserve"> </w:t>
            </w:r>
          </w:p>
        </w:tc>
        <w:tc>
          <w:tcPr>
            <w:tcW w:w="586" w:type="dxa"/>
            <w:shd w:val="clear" w:color="auto" w:fill="FFFFFF" w:themeFill="background1"/>
            <w:vAlign w:val="center"/>
          </w:tcPr>
          <w:p w14:paraId="68127815" w14:textId="77777777" w:rsidR="002D3802" w:rsidRPr="005F36CD" w:rsidRDefault="002D3802" w:rsidP="00806941">
            <w:pPr>
              <w:pStyle w:val="Tabletext"/>
              <w:jc w:val="center"/>
              <w:rPr>
                <w:sz w:val="18"/>
                <w:szCs w:val="18"/>
              </w:rPr>
            </w:pPr>
          </w:p>
        </w:tc>
        <w:tc>
          <w:tcPr>
            <w:tcW w:w="594" w:type="dxa"/>
            <w:shd w:val="clear" w:color="auto" w:fill="FFFFFF" w:themeFill="background1"/>
            <w:vAlign w:val="center"/>
          </w:tcPr>
          <w:p w14:paraId="2795B60A" w14:textId="77777777" w:rsidR="002D3802" w:rsidRPr="005F36CD" w:rsidRDefault="002D3802" w:rsidP="00806941">
            <w:pPr>
              <w:pStyle w:val="Tabletext"/>
              <w:jc w:val="center"/>
              <w:rPr>
                <w:sz w:val="18"/>
                <w:szCs w:val="18"/>
              </w:rPr>
            </w:pPr>
          </w:p>
        </w:tc>
        <w:tc>
          <w:tcPr>
            <w:tcW w:w="602" w:type="dxa"/>
            <w:shd w:val="clear" w:color="auto" w:fill="FFFFFF" w:themeFill="background1"/>
            <w:vAlign w:val="center"/>
          </w:tcPr>
          <w:p w14:paraId="35757380" w14:textId="77777777" w:rsidR="002D3802" w:rsidRPr="005F36CD" w:rsidRDefault="002D3802" w:rsidP="00806941">
            <w:pPr>
              <w:pStyle w:val="Tabletext"/>
              <w:jc w:val="center"/>
              <w:rPr>
                <w:sz w:val="18"/>
                <w:szCs w:val="18"/>
              </w:rPr>
            </w:pPr>
          </w:p>
        </w:tc>
        <w:tc>
          <w:tcPr>
            <w:tcW w:w="588" w:type="dxa"/>
            <w:shd w:val="clear" w:color="auto" w:fill="FFFFFF" w:themeFill="background1"/>
            <w:vAlign w:val="center"/>
          </w:tcPr>
          <w:p w14:paraId="75DCD57B" w14:textId="77777777" w:rsidR="002D3802" w:rsidRPr="005F36CD" w:rsidRDefault="002D3802" w:rsidP="00806941">
            <w:pPr>
              <w:pStyle w:val="Tabletext"/>
              <w:jc w:val="center"/>
              <w:rPr>
                <w:sz w:val="18"/>
                <w:szCs w:val="18"/>
              </w:rPr>
            </w:pPr>
            <w:r w:rsidRPr="005F36CD">
              <w:rPr>
                <w:sz w:val="18"/>
                <w:szCs w:val="18"/>
              </w:rPr>
              <w:sym w:font="Wingdings" w:char="F0FC"/>
            </w:r>
          </w:p>
        </w:tc>
        <w:tc>
          <w:tcPr>
            <w:tcW w:w="4632" w:type="dxa"/>
            <w:shd w:val="clear" w:color="auto" w:fill="FFFFFF" w:themeFill="background1"/>
          </w:tcPr>
          <w:p w14:paraId="33F6C3AC" w14:textId="77777777" w:rsidR="002D3802" w:rsidRPr="003C3B2A" w:rsidRDefault="002D3802" w:rsidP="00806941">
            <w:pPr>
              <w:pStyle w:val="Tabletext"/>
              <w:rPr>
                <w:color w:val="000000" w:themeColor="text1"/>
                <w:sz w:val="18"/>
                <w:szCs w:val="18"/>
              </w:rPr>
            </w:pPr>
            <w:r w:rsidRPr="003C3B2A">
              <w:rPr>
                <w:color w:val="000000" w:themeColor="text1"/>
                <w:sz w:val="18"/>
                <w:szCs w:val="18"/>
              </w:rPr>
              <w:t xml:space="preserve">Use similarity to investigate the constancy of the sine, cosine and tangent ratios for a given angle in right-angled triangles </w:t>
            </w:r>
          </w:p>
        </w:tc>
        <w:tc>
          <w:tcPr>
            <w:tcW w:w="586" w:type="dxa"/>
            <w:shd w:val="clear" w:color="auto" w:fill="FFFFFF" w:themeFill="background1"/>
          </w:tcPr>
          <w:p w14:paraId="1CBD7E38" w14:textId="77777777" w:rsidR="002D3802" w:rsidRPr="003C3B2A" w:rsidRDefault="002D3802" w:rsidP="002D3802">
            <w:pPr>
              <w:pStyle w:val="Tabletext"/>
              <w:jc w:val="center"/>
              <w:rPr>
                <w:color w:val="000000" w:themeColor="text1"/>
                <w:sz w:val="18"/>
                <w:szCs w:val="18"/>
              </w:rPr>
            </w:pPr>
          </w:p>
        </w:tc>
        <w:tc>
          <w:tcPr>
            <w:tcW w:w="598" w:type="dxa"/>
            <w:shd w:val="clear" w:color="auto" w:fill="FFFFFF" w:themeFill="background1"/>
          </w:tcPr>
          <w:p w14:paraId="2C9FF0ED" w14:textId="77777777" w:rsidR="002D3802" w:rsidRPr="003C3B2A" w:rsidRDefault="002D3802" w:rsidP="002D3802">
            <w:pPr>
              <w:pStyle w:val="Tabletext"/>
              <w:jc w:val="center"/>
              <w:rPr>
                <w:color w:val="000000" w:themeColor="text1"/>
                <w:sz w:val="18"/>
                <w:szCs w:val="18"/>
              </w:rPr>
            </w:pPr>
          </w:p>
        </w:tc>
        <w:tc>
          <w:tcPr>
            <w:tcW w:w="586" w:type="dxa"/>
            <w:shd w:val="clear" w:color="auto" w:fill="FFFFFF" w:themeFill="background1"/>
          </w:tcPr>
          <w:p w14:paraId="0EEA91FC" w14:textId="77777777" w:rsidR="002D3802" w:rsidRPr="003C3B2A" w:rsidRDefault="002D3802" w:rsidP="002D3802">
            <w:pPr>
              <w:pStyle w:val="Tabletext"/>
              <w:jc w:val="center"/>
              <w:rPr>
                <w:color w:val="000000" w:themeColor="text1"/>
                <w:sz w:val="18"/>
                <w:szCs w:val="18"/>
              </w:rPr>
            </w:pPr>
            <w:r w:rsidRPr="003C3B2A">
              <w:rPr>
                <w:color w:val="000000" w:themeColor="text1"/>
                <w:sz w:val="18"/>
                <w:szCs w:val="18"/>
              </w:rPr>
              <w:sym w:font="Wingdings" w:char="F0FC"/>
            </w:r>
          </w:p>
        </w:tc>
        <w:tc>
          <w:tcPr>
            <w:tcW w:w="652" w:type="dxa"/>
            <w:shd w:val="clear" w:color="auto" w:fill="FFFFFF" w:themeFill="background1"/>
          </w:tcPr>
          <w:p w14:paraId="57EF3AE0" w14:textId="77777777" w:rsidR="002D3802" w:rsidRPr="003C3B2A" w:rsidRDefault="002D3802" w:rsidP="002D3802">
            <w:pPr>
              <w:pStyle w:val="Tabletext"/>
              <w:jc w:val="center"/>
              <w:rPr>
                <w:color w:val="000000" w:themeColor="text1"/>
                <w:sz w:val="18"/>
                <w:szCs w:val="18"/>
              </w:rPr>
            </w:pPr>
          </w:p>
        </w:tc>
        <w:tc>
          <w:tcPr>
            <w:tcW w:w="4464" w:type="dxa"/>
            <w:vMerge/>
            <w:shd w:val="clear" w:color="auto" w:fill="FFFFFF" w:themeFill="background1"/>
          </w:tcPr>
          <w:p w14:paraId="0FB28469" w14:textId="77777777" w:rsidR="002D3802" w:rsidRPr="005F36CD" w:rsidRDefault="002D3802" w:rsidP="00806941">
            <w:pPr>
              <w:pStyle w:val="Tabletext"/>
              <w:rPr>
                <w:sz w:val="18"/>
                <w:szCs w:val="18"/>
              </w:rPr>
            </w:pPr>
          </w:p>
        </w:tc>
        <w:tc>
          <w:tcPr>
            <w:tcW w:w="586" w:type="dxa"/>
            <w:vMerge/>
            <w:shd w:val="clear" w:color="auto" w:fill="FFFFFF" w:themeFill="background1"/>
            <w:vAlign w:val="center"/>
          </w:tcPr>
          <w:p w14:paraId="4E8E6C3D" w14:textId="77777777" w:rsidR="002D3802" w:rsidRPr="005F36CD" w:rsidRDefault="002D3802" w:rsidP="00806941">
            <w:pPr>
              <w:pStyle w:val="Tabletext"/>
              <w:jc w:val="center"/>
              <w:rPr>
                <w:sz w:val="18"/>
                <w:szCs w:val="18"/>
              </w:rPr>
            </w:pPr>
          </w:p>
        </w:tc>
        <w:tc>
          <w:tcPr>
            <w:tcW w:w="586" w:type="dxa"/>
            <w:vMerge/>
            <w:shd w:val="clear" w:color="auto" w:fill="FFFFFF" w:themeFill="background1"/>
            <w:vAlign w:val="center"/>
          </w:tcPr>
          <w:p w14:paraId="48DB2D90" w14:textId="77777777" w:rsidR="002D3802" w:rsidRPr="005F36CD" w:rsidRDefault="002D3802" w:rsidP="00806941">
            <w:pPr>
              <w:pStyle w:val="Tabletext"/>
              <w:jc w:val="center"/>
              <w:rPr>
                <w:sz w:val="18"/>
                <w:szCs w:val="18"/>
              </w:rPr>
            </w:pPr>
          </w:p>
        </w:tc>
        <w:tc>
          <w:tcPr>
            <w:tcW w:w="586" w:type="dxa"/>
            <w:vMerge/>
            <w:shd w:val="clear" w:color="auto" w:fill="FFFFFF" w:themeFill="background1"/>
            <w:vAlign w:val="center"/>
          </w:tcPr>
          <w:p w14:paraId="1B6FB924" w14:textId="77777777" w:rsidR="002D3802" w:rsidRPr="005F36CD" w:rsidRDefault="002D3802" w:rsidP="00806941">
            <w:pPr>
              <w:pStyle w:val="Tabletext"/>
              <w:jc w:val="center"/>
              <w:rPr>
                <w:sz w:val="18"/>
                <w:szCs w:val="18"/>
              </w:rPr>
            </w:pPr>
          </w:p>
        </w:tc>
        <w:tc>
          <w:tcPr>
            <w:tcW w:w="681" w:type="dxa"/>
            <w:vMerge/>
            <w:shd w:val="clear" w:color="auto" w:fill="FFFFFF" w:themeFill="background1"/>
            <w:vAlign w:val="center"/>
          </w:tcPr>
          <w:p w14:paraId="281E6D07" w14:textId="77777777" w:rsidR="002D3802" w:rsidRPr="005F36CD" w:rsidRDefault="002D3802" w:rsidP="00806941">
            <w:pPr>
              <w:pStyle w:val="Tabletext"/>
              <w:jc w:val="center"/>
              <w:rPr>
                <w:sz w:val="18"/>
                <w:szCs w:val="18"/>
              </w:rPr>
            </w:pPr>
          </w:p>
        </w:tc>
      </w:tr>
      <w:tr w:rsidR="002D3802" w14:paraId="42882C1E" w14:textId="77777777" w:rsidTr="00F5197E">
        <w:trPr>
          <w:trHeight w:val="253"/>
        </w:trPr>
        <w:tc>
          <w:tcPr>
            <w:tcW w:w="4623" w:type="dxa"/>
            <w:shd w:val="clear" w:color="auto" w:fill="FFFFFF" w:themeFill="background1"/>
          </w:tcPr>
          <w:p w14:paraId="43590172" w14:textId="77777777" w:rsidR="002D3802" w:rsidRPr="005F36CD" w:rsidRDefault="002D3802" w:rsidP="00806941">
            <w:pPr>
              <w:pStyle w:val="Tabletext"/>
              <w:rPr>
                <w:sz w:val="18"/>
                <w:szCs w:val="18"/>
              </w:rPr>
            </w:pPr>
            <w:r w:rsidRPr="0025406D">
              <w:rPr>
                <w:sz w:val="18"/>
                <w:szCs w:val="18"/>
              </w:rPr>
              <w:t xml:space="preserve">Sketch linear graphs using the coordinates of two points and solve linear equations </w:t>
            </w:r>
          </w:p>
        </w:tc>
        <w:tc>
          <w:tcPr>
            <w:tcW w:w="586" w:type="dxa"/>
            <w:shd w:val="clear" w:color="auto" w:fill="FFFFFF" w:themeFill="background1"/>
            <w:vAlign w:val="center"/>
          </w:tcPr>
          <w:p w14:paraId="48994489" w14:textId="77777777" w:rsidR="002D3802" w:rsidRPr="005F36CD" w:rsidRDefault="002D3802" w:rsidP="00806941">
            <w:pPr>
              <w:pStyle w:val="Tabletext"/>
              <w:jc w:val="center"/>
              <w:rPr>
                <w:sz w:val="18"/>
                <w:szCs w:val="18"/>
              </w:rPr>
            </w:pPr>
          </w:p>
        </w:tc>
        <w:tc>
          <w:tcPr>
            <w:tcW w:w="594" w:type="dxa"/>
            <w:shd w:val="clear" w:color="auto" w:fill="FFFFFF" w:themeFill="background1"/>
            <w:vAlign w:val="center"/>
          </w:tcPr>
          <w:p w14:paraId="3AE7189B" w14:textId="77777777" w:rsidR="002D3802" w:rsidRPr="005F36CD" w:rsidRDefault="002D3802" w:rsidP="00806941">
            <w:pPr>
              <w:pStyle w:val="Tabletext"/>
              <w:jc w:val="center"/>
              <w:rPr>
                <w:sz w:val="18"/>
                <w:szCs w:val="18"/>
              </w:rPr>
            </w:pPr>
          </w:p>
        </w:tc>
        <w:tc>
          <w:tcPr>
            <w:tcW w:w="602" w:type="dxa"/>
            <w:shd w:val="clear" w:color="auto" w:fill="FFFFFF" w:themeFill="background1"/>
            <w:vAlign w:val="center"/>
          </w:tcPr>
          <w:p w14:paraId="4EA7CE2C" w14:textId="77777777" w:rsidR="002D3802" w:rsidRPr="005F36CD" w:rsidRDefault="002D3802" w:rsidP="00806941">
            <w:pPr>
              <w:pStyle w:val="Tabletext"/>
              <w:jc w:val="center"/>
              <w:rPr>
                <w:sz w:val="18"/>
                <w:szCs w:val="18"/>
              </w:rPr>
            </w:pPr>
          </w:p>
        </w:tc>
        <w:tc>
          <w:tcPr>
            <w:tcW w:w="588" w:type="dxa"/>
            <w:shd w:val="clear" w:color="auto" w:fill="FFFFFF" w:themeFill="background1"/>
            <w:vAlign w:val="center"/>
          </w:tcPr>
          <w:p w14:paraId="169D3BFD" w14:textId="77777777" w:rsidR="002D3802" w:rsidRPr="005F36CD" w:rsidRDefault="002D3802" w:rsidP="00806941">
            <w:pPr>
              <w:pStyle w:val="Tabletext"/>
              <w:jc w:val="center"/>
              <w:rPr>
                <w:sz w:val="18"/>
                <w:szCs w:val="18"/>
              </w:rPr>
            </w:pPr>
            <w:r w:rsidRPr="005F36CD">
              <w:rPr>
                <w:sz w:val="18"/>
                <w:szCs w:val="18"/>
              </w:rPr>
              <w:sym w:font="Wingdings" w:char="F0FC"/>
            </w:r>
          </w:p>
        </w:tc>
        <w:tc>
          <w:tcPr>
            <w:tcW w:w="4632" w:type="dxa"/>
            <w:vMerge w:val="restart"/>
            <w:shd w:val="clear" w:color="auto" w:fill="FFFFFF" w:themeFill="background1"/>
          </w:tcPr>
          <w:p w14:paraId="29130FC2" w14:textId="77777777" w:rsidR="002D3802" w:rsidRPr="003C3B2A" w:rsidRDefault="002D3802" w:rsidP="00806941">
            <w:pPr>
              <w:pStyle w:val="Tabletext"/>
              <w:rPr>
                <w:color w:val="000000" w:themeColor="text1"/>
                <w:sz w:val="18"/>
                <w:szCs w:val="18"/>
              </w:rPr>
            </w:pPr>
            <w:r w:rsidRPr="003C3B2A">
              <w:rPr>
                <w:color w:val="000000" w:themeColor="text1"/>
                <w:sz w:val="18"/>
                <w:szCs w:val="18"/>
              </w:rPr>
              <w:t xml:space="preserve">Apply trigonometry to solve right-angled triangle problems </w:t>
            </w:r>
          </w:p>
        </w:tc>
        <w:tc>
          <w:tcPr>
            <w:tcW w:w="586" w:type="dxa"/>
            <w:vMerge w:val="restart"/>
            <w:shd w:val="clear" w:color="auto" w:fill="FFFFFF" w:themeFill="background1"/>
          </w:tcPr>
          <w:p w14:paraId="5B505DD1" w14:textId="77777777" w:rsidR="002D3802" w:rsidRPr="003C3B2A" w:rsidRDefault="002D3802" w:rsidP="002D3802">
            <w:pPr>
              <w:pStyle w:val="Tabletext"/>
              <w:jc w:val="center"/>
              <w:rPr>
                <w:color w:val="000000" w:themeColor="text1"/>
                <w:sz w:val="18"/>
                <w:szCs w:val="18"/>
              </w:rPr>
            </w:pPr>
          </w:p>
        </w:tc>
        <w:tc>
          <w:tcPr>
            <w:tcW w:w="598" w:type="dxa"/>
            <w:vMerge w:val="restart"/>
            <w:shd w:val="clear" w:color="auto" w:fill="FFFFFF" w:themeFill="background1"/>
          </w:tcPr>
          <w:p w14:paraId="352BFAAF" w14:textId="77777777" w:rsidR="002D3802" w:rsidRPr="003C3B2A" w:rsidRDefault="002D3802" w:rsidP="002D3802">
            <w:pPr>
              <w:pStyle w:val="Tabletext"/>
              <w:jc w:val="center"/>
              <w:rPr>
                <w:color w:val="000000" w:themeColor="text1"/>
                <w:sz w:val="18"/>
                <w:szCs w:val="18"/>
              </w:rPr>
            </w:pPr>
          </w:p>
        </w:tc>
        <w:tc>
          <w:tcPr>
            <w:tcW w:w="586" w:type="dxa"/>
            <w:vMerge w:val="restart"/>
            <w:shd w:val="clear" w:color="auto" w:fill="FFFFFF" w:themeFill="background1"/>
          </w:tcPr>
          <w:p w14:paraId="733CEAA8" w14:textId="77777777" w:rsidR="002D3802" w:rsidRPr="003C3B2A" w:rsidRDefault="002D3802" w:rsidP="002D3802">
            <w:pPr>
              <w:pStyle w:val="Tabletext"/>
              <w:jc w:val="center"/>
              <w:rPr>
                <w:color w:val="000000" w:themeColor="text1"/>
                <w:sz w:val="18"/>
                <w:szCs w:val="18"/>
              </w:rPr>
            </w:pPr>
            <w:r w:rsidRPr="003C3B2A">
              <w:rPr>
                <w:color w:val="000000" w:themeColor="text1"/>
                <w:sz w:val="18"/>
                <w:szCs w:val="18"/>
              </w:rPr>
              <w:sym w:font="Wingdings" w:char="F0FC"/>
            </w:r>
          </w:p>
        </w:tc>
        <w:tc>
          <w:tcPr>
            <w:tcW w:w="652" w:type="dxa"/>
            <w:vMerge w:val="restart"/>
            <w:shd w:val="clear" w:color="auto" w:fill="FFFFFF" w:themeFill="background1"/>
          </w:tcPr>
          <w:p w14:paraId="03031C22" w14:textId="77777777" w:rsidR="002D3802" w:rsidRPr="003C3B2A" w:rsidRDefault="002D3802" w:rsidP="002D3802">
            <w:pPr>
              <w:pStyle w:val="Tabletext"/>
              <w:jc w:val="center"/>
              <w:rPr>
                <w:color w:val="000000" w:themeColor="text1"/>
                <w:sz w:val="18"/>
                <w:szCs w:val="18"/>
              </w:rPr>
            </w:pPr>
          </w:p>
        </w:tc>
        <w:tc>
          <w:tcPr>
            <w:tcW w:w="4464" w:type="dxa"/>
            <w:vMerge/>
            <w:shd w:val="clear" w:color="auto" w:fill="FFFFFF" w:themeFill="background1"/>
          </w:tcPr>
          <w:p w14:paraId="295AE373" w14:textId="77777777" w:rsidR="002D3802" w:rsidRPr="005F36CD" w:rsidRDefault="002D3802" w:rsidP="00806941">
            <w:pPr>
              <w:pStyle w:val="Tabletext"/>
              <w:rPr>
                <w:sz w:val="18"/>
                <w:szCs w:val="18"/>
              </w:rPr>
            </w:pPr>
          </w:p>
        </w:tc>
        <w:tc>
          <w:tcPr>
            <w:tcW w:w="586" w:type="dxa"/>
            <w:vMerge/>
            <w:shd w:val="clear" w:color="auto" w:fill="FFFFFF" w:themeFill="background1"/>
            <w:vAlign w:val="center"/>
          </w:tcPr>
          <w:p w14:paraId="1ED474DE" w14:textId="77777777" w:rsidR="002D3802" w:rsidRPr="005F36CD" w:rsidRDefault="002D3802" w:rsidP="00806941">
            <w:pPr>
              <w:pStyle w:val="Tabletext"/>
              <w:jc w:val="center"/>
              <w:rPr>
                <w:sz w:val="18"/>
                <w:szCs w:val="18"/>
              </w:rPr>
            </w:pPr>
          </w:p>
        </w:tc>
        <w:tc>
          <w:tcPr>
            <w:tcW w:w="586" w:type="dxa"/>
            <w:vMerge/>
            <w:shd w:val="clear" w:color="auto" w:fill="FFFFFF" w:themeFill="background1"/>
            <w:vAlign w:val="center"/>
          </w:tcPr>
          <w:p w14:paraId="57943B12" w14:textId="77777777" w:rsidR="002D3802" w:rsidRPr="005F36CD" w:rsidRDefault="002D3802" w:rsidP="00806941">
            <w:pPr>
              <w:pStyle w:val="Tabletext"/>
              <w:jc w:val="center"/>
              <w:rPr>
                <w:sz w:val="18"/>
                <w:szCs w:val="18"/>
              </w:rPr>
            </w:pPr>
          </w:p>
        </w:tc>
        <w:tc>
          <w:tcPr>
            <w:tcW w:w="586" w:type="dxa"/>
            <w:vMerge/>
            <w:shd w:val="clear" w:color="auto" w:fill="FFFFFF" w:themeFill="background1"/>
            <w:vAlign w:val="center"/>
          </w:tcPr>
          <w:p w14:paraId="6CAAF3E2" w14:textId="77777777" w:rsidR="002D3802" w:rsidRPr="005F36CD" w:rsidRDefault="002D3802" w:rsidP="00806941">
            <w:pPr>
              <w:pStyle w:val="Tabletext"/>
              <w:jc w:val="center"/>
              <w:rPr>
                <w:sz w:val="18"/>
                <w:szCs w:val="18"/>
              </w:rPr>
            </w:pPr>
          </w:p>
        </w:tc>
        <w:tc>
          <w:tcPr>
            <w:tcW w:w="681" w:type="dxa"/>
            <w:vMerge/>
            <w:shd w:val="clear" w:color="auto" w:fill="FFFFFF" w:themeFill="background1"/>
            <w:vAlign w:val="center"/>
          </w:tcPr>
          <w:p w14:paraId="755B16D7" w14:textId="77777777" w:rsidR="002D3802" w:rsidRPr="005F36CD" w:rsidRDefault="002D3802" w:rsidP="00806941">
            <w:pPr>
              <w:pStyle w:val="Tabletext"/>
              <w:jc w:val="center"/>
              <w:rPr>
                <w:sz w:val="18"/>
                <w:szCs w:val="18"/>
              </w:rPr>
            </w:pPr>
          </w:p>
        </w:tc>
      </w:tr>
      <w:tr w:rsidR="002D3802" w14:paraId="6A37C328" w14:textId="77777777" w:rsidTr="00806941">
        <w:trPr>
          <w:trHeight w:val="253"/>
        </w:trPr>
        <w:tc>
          <w:tcPr>
            <w:tcW w:w="4623" w:type="dxa"/>
            <w:shd w:val="clear" w:color="auto" w:fill="FFFFFF" w:themeFill="background1"/>
          </w:tcPr>
          <w:p w14:paraId="7D115808" w14:textId="77777777" w:rsidR="002D3802" w:rsidRDefault="002D3802" w:rsidP="00806941">
            <w:pPr>
              <w:pStyle w:val="Tabletext"/>
            </w:pPr>
            <w:r w:rsidRPr="0082487F">
              <w:rPr>
                <w:sz w:val="18"/>
                <w:szCs w:val="18"/>
              </w:rPr>
              <w:t>Graph simple non-linear relations with and without the use of digital technologies and solve simple related equations</w:t>
            </w:r>
            <w:r>
              <w:rPr>
                <w:sz w:val="18"/>
                <w:szCs w:val="18"/>
              </w:rPr>
              <w:t xml:space="preserve"> </w:t>
            </w:r>
          </w:p>
          <w:p w14:paraId="1D6B22A5" w14:textId="77777777" w:rsidR="002D3802" w:rsidRPr="005F36CD" w:rsidRDefault="002D3802" w:rsidP="00806941">
            <w:pPr>
              <w:pStyle w:val="Tabletext"/>
              <w:rPr>
                <w:sz w:val="18"/>
                <w:szCs w:val="18"/>
              </w:rPr>
            </w:pPr>
          </w:p>
        </w:tc>
        <w:tc>
          <w:tcPr>
            <w:tcW w:w="586" w:type="dxa"/>
            <w:shd w:val="clear" w:color="auto" w:fill="FFFFFF" w:themeFill="background1"/>
            <w:vAlign w:val="center"/>
          </w:tcPr>
          <w:p w14:paraId="321CD19C" w14:textId="77777777" w:rsidR="002D3802" w:rsidRPr="005F36CD" w:rsidRDefault="002D3802" w:rsidP="00806941">
            <w:pPr>
              <w:pStyle w:val="Tabletext"/>
              <w:jc w:val="center"/>
              <w:rPr>
                <w:sz w:val="18"/>
                <w:szCs w:val="18"/>
              </w:rPr>
            </w:pPr>
          </w:p>
        </w:tc>
        <w:tc>
          <w:tcPr>
            <w:tcW w:w="594" w:type="dxa"/>
            <w:shd w:val="clear" w:color="auto" w:fill="FFFFFF" w:themeFill="background1"/>
            <w:vAlign w:val="center"/>
          </w:tcPr>
          <w:p w14:paraId="16A213F5" w14:textId="77777777" w:rsidR="002D3802" w:rsidRPr="005F36CD" w:rsidRDefault="002D3802" w:rsidP="00806941">
            <w:pPr>
              <w:pStyle w:val="Tabletext"/>
              <w:jc w:val="center"/>
              <w:rPr>
                <w:sz w:val="18"/>
                <w:szCs w:val="18"/>
              </w:rPr>
            </w:pPr>
          </w:p>
        </w:tc>
        <w:tc>
          <w:tcPr>
            <w:tcW w:w="602" w:type="dxa"/>
            <w:shd w:val="clear" w:color="auto" w:fill="FFFFFF" w:themeFill="background1"/>
            <w:vAlign w:val="center"/>
          </w:tcPr>
          <w:p w14:paraId="62E46004" w14:textId="77777777" w:rsidR="002D3802" w:rsidRPr="005F36CD" w:rsidRDefault="002D3802" w:rsidP="00806941">
            <w:pPr>
              <w:pStyle w:val="Tabletext"/>
              <w:jc w:val="center"/>
              <w:rPr>
                <w:sz w:val="18"/>
                <w:szCs w:val="18"/>
              </w:rPr>
            </w:pPr>
          </w:p>
        </w:tc>
        <w:tc>
          <w:tcPr>
            <w:tcW w:w="588" w:type="dxa"/>
            <w:shd w:val="clear" w:color="auto" w:fill="FFFFFF" w:themeFill="background1"/>
            <w:vAlign w:val="center"/>
          </w:tcPr>
          <w:p w14:paraId="6E445444" w14:textId="77777777" w:rsidR="002D3802" w:rsidRPr="005F36CD" w:rsidRDefault="002D3802" w:rsidP="00806941">
            <w:pPr>
              <w:pStyle w:val="Tabletext"/>
              <w:jc w:val="center"/>
              <w:rPr>
                <w:sz w:val="18"/>
                <w:szCs w:val="18"/>
              </w:rPr>
            </w:pPr>
            <w:r w:rsidRPr="005F36CD">
              <w:rPr>
                <w:sz w:val="18"/>
                <w:szCs w:val="18"/>
              </w:rPr>
              <w:sym w:font="Wingdings" w:char="F0FC"/>
            </w:r>
          </w:p>
        </w:tc>
        <w:tc>
          <w:tcPr>
            <w:tcW w:w="4632" w:type="dxa"/>
            <w:vMerge/>
            <w:shd w:val="clear" w:color="auto" w:fill="FFFFFF" w:themeFill="background1"/>
          </w:tcPr>
          <w:p w14:paraId="4E61943C" w14:textId="77777777" w:rsidR="002D3802" w:rsidRPr="003C3B2A" w:rsidRDefault="002D3802" w:rsidP="00806941">
            <w:pPr>
              <w:pStyle w:val="Tabletext"/>
              <w:rPr>
                <w:color w:val="000000" w:themeColor="text1"/>
                <w:sz w:val="18"/>
                <w:szCs w:val="18"/>
              </w:rPr>
            </w:pPr>
          </w:p>
        </w:tc>
        <w:tc>
          <w:tcPr>
            <w:tcW w:w="586" w:type="dxa"/>
            <w:vMerge/>
            <w:shd w:val="clear" w:color="auto" w:fill="FFFFFF" w:themeFill="background1"/>
            <w:vAlign w:val="center"/>
          </w:tcPr>
          <w:p w14:paraId="1080B26B" w14:textId="77777777" w:rsidR="002D3802" w:rsidRPr="003C3B2A" w:rsidRDefault="002D3802" w:rsidP="00806941">
            <w:pPr>
              <w:pStyle w:val="Tabletext"/>
              <w:jc w:val="center"/>
              <w:rPr>
                <w:color w:val="000000" w:themeColor="text1"/>
                <w:sz w:val="18"/>
                <w:szCs w:val="18"/>
              </w:rPr>
            </w:pPr>
          </w:p>
        </w:tc>
        <w:tc>
          <w:tcPr>
            <w:tcW w:w="598" w:type="dxa"/>
            <w:vMerge/>
            <w:shd w:val="clear" w:color="auto" w:fill="FFFFFF" w:themeFill="background1"/>
            <w:vAlign w:val="center"/>
          </w:tcPr>
          <w:p w14:paraId="34496693" w14:textId="77777777" w:rsidR="002D3802" w:rsidRPr="003C3B2A" w:rsidRDefault="002D3802" w:rsidP="00806941">
            <w:pPr>
              <w:pStyle w:val="Tabletext"/>
              <w:jc w:val="center"/>
              <w:rPr>
                <w:color w:val="000000" w:themeColor="text1"/>
                <w:sz w:val="18"/>
                <w:szCs w:val="18"/>
              </w:rPr>
            </w:pPr>
          </w:p>
        </w:tc>
        <w:tc>
          <w:tcPr>
            <w:tcW w:w="586" w:type="dxa"/>
            <w:vMerge/>
            <w:shd w:val="clear" w:color="auto" w:fill="FFFFFF" w:themeFill="background1"/>
            <w:vAlign w:val="center"/>
          </w:tcPr>
          <w:p w14:paraId="7EF0D59D" w14:textId="77777777" w:rsidR="002D3802" w:rsidRPr="003C3B2A" w:rsidRDefault="002D3802" w:rsidP="00806941">
            <w:pPr>
              <w:pStyle w:val="Tabletext"/>
              <w:jc w:val="center"/>
              <w:rPr>
                <w:color w:val="000000" w:themeColor="text1"/>
                <w:sz w:val="18"/>
                <w:szCs w:val="18"/>
              </w:rPr>
            </w:pPr>
          </w:p>
        </w:tc>
        <w:tc>
          <w:tcPr>
            <w:tcW w:w="652" w:type="dxa"/>
            <w:vMerge/>
            <w:shd w:val="clear" w:color="auto" w:fill="FFFFFF" w:themeFill="background1"/>
            <w:vAlign w:val="center"/>
          </w:tcPr>
          <w:p w14:paraId="783FDB6C" w14:textId="77777777" w:rsidR="002D3802" w:rsidRPr="003C3B2A" w:rsidRDefault="002D3802" w:rsidP="00806941">
            <w:pPr>
              <w:pStyle w:val="Tabletext"/>
              <w:jc w:val="center"/>
              <w:rPr>
                <w:color w:val="000000" w:themeColor="text1"/>
                <w:sz w:val="18"/>
                <w:szCs w:val="18"/>
              </w:rPr>
            </w:pPr>
          </w:p>
        </w:tc>
        <w:tc>
          <w:tcPr>
            <w:tcW w:w="4464" w:type="dxa"/>
            <w:vMerge/>
            <w:shd w:val="clear" w:color="auto" w:fill="FFFFFF" w:themeFill="background1"/>
          </w:tcPr>
          <w:p w14:paraId="44D1B3F2" w14:textId="77777777" w:rsidR="002D3802" w:rsidRPr="005F36CD" w:rsidRDefault="002D3802" w:rsidP="00806941">
            <w:pPr>
              <w:pStyle w:val="Tabletext"/>
              <w:rPr>
                <w:sz w:val="18"/>
                <w:szCs w:val="18"/>
              </w:rPr>
            </w:pPr>
          </w:p>
        </w:tc>
        <w:tc>
          <w:tcPr>
            <w:tcW w:w="586" w:type="dxa"/>
            <w:vMerge/>
            <w:shd w:val="clear" w:color="auto" w:fill="FFFFFF" w:themeFill="background1"/>
            <w:vAlign w:val="center"/>
          </w:tcPr>
          <w:p w14:paraId="3BF1328A" w14:textId="77777777" w:rsidR="002D3802" w:rsidRPr="005F36CD" w:rsidRDefault="002D3802" w:rsidP="00806941">
            <w:pPr>
              <w:pStyle w:val="Tabletext"/>
              <w:jc w:val="center"/>
              <w:rPr>
                <w:sz w:val="18"/>
                <w:szCs w:val="18"/>
              </w:rPr>
            </w:pPr>
          </w:p>
        </w:tc>
        <w:tc>
          <w:tcPr>
            <w:tcW w:w="586" w:type="dxa"/>
            <w:vMerge/>
            <w:shd w:val="clear" w:color="auto" w:fill="FFFFFF" w:themeFill="background1"/>
            <w:vAlign w:val="center"/>
          </w:tcPr>
          <w:p w14:paraId="2F2CB9FE" w14:textId="77777777" w:rsidR="002D3802" w:rsidRPr="005F36CD" w:rsidRDefault="002D3802" w:rsidP="00806941">
            <w:pPr>
              <w:pStyle w:val="Tabletext"/>
              <w:jc w:val="center"/>
              <w:rPr>
                <w:sz w:val="18"/>
                <w:szCs w:val="18"/>
              </w:rPr>
            </w:pPr>
          </w:p>
        </w:tc>
        <w:tc>
          <w:tcPr>
            <w:tcW w:w="586" w:type="dxa"/>
            <w:vMerge/>
            <w:shd w:val="clear" w:color="auto" w:fill="FFFFFF" w:themeFill="background1"/>
            <w:vAlign w:val="center"/>
          </w:tcPr>
          <w:p w14:paraId="61E8014A" w14:textId="77777777" w:rsidR="002D3802" w:rsidRPr="005F36CD" w:rsidRDefault="002D3802" w:rsidP="00806941">
            <w:pPr>
              <w:pStyle w:val="Tabletext"/>
              <w:jc w:val="center"/>
              <w:rPr>
                <w:sz w:val="18"/>
                <w:szCs w:val="18"/>
              </w:rPr>
            </w:pPr>
          </w:p>
        </w:tc>
        <w:tc>
          <w:tcPr>
            <w:tcW w:w="681" w:type="dxa"/>
            <w:vMerge/>
            <w:shd w:val="clear" w:color="auto" w:fill="FFFFFF" w:themeFill="background1"/>
            <w:vAlign w:val="center"/>
          </w:tcPr>
          <w:p w14:paraId="1C8660AE" w14:textId="77777777" w:rsidR="002D3802" w:rsidRPr="005F36CD" w:rsidRDefault="002D3802" w:rsidP="00806941">
            <w:pPr>
              <w:pStyle w:val="Tabletext"/>
              <w:jc w:val="center"/>
              <w:rPr>
                <w:sz w:val="18"/>
                <w:szCs w:val="18"/>
              </w:rPr>
            </w:pPr>
          </w:p>
        </w:tc>
      </w:tr>
    </w:tbl>
    <w:p w14:paraId="7846CE76" w14:textId="77777777" w:rsidR="00840CEB" w:rsidRPr="00D715D5" w:rsidRDefault="00840CEB" w:rsidP="006904F7">
      <w:r>
        <w:br w:type="page"/>
      </w:r>
    </w:p>
    <w:tbl>
      <w:tblPr>
        <w:tblStyle w:val="QCAAtablestyle12"/>
        <w:tblW w:w="5000" w:type="pct"/>
        <w:tblInd w:w="0" w:type="dxa"/>
        <w:tblLook w:val="04A0" w:firstRow="1" w:lastRow="0" w:firstColumn="1" w:lastColumn="0" w:noHBand="0" w:noVBand="1"/>
      </w:tblPr>
      <w:tblGrid>
        <w:gridCol w:w="7390"/>
        <w:gridCol w:w="755"/>
        <w:gridCol w:w="755"/>
        <w:gridCol w:w="755"/>
        <w:gridCol w:w="755"/>
        <w:gridCol w:w="725"/>
        <w:gridCol w:w="7244"/>
        <w:gridCol w:w="646"/>
        <w:gridCol w:w="646"/>
        <w:gridCol w:w="650"/>
        <w:gridCol w:w="641"/>
      </w:tblGrid>
      <w:tr w:rsidR="007C57C2" w:rsidRPr="00D473C6" w14:paraId="36D6B024" w14:textId="77777777" w:rsidTr="00532CAA">
        <w:trPr>
          <w:cnfStyle w:val="100000000000" w:firstRow="1" w:lastRow="0" w:firstColumn="0" w:lastColumn="0" w:oddVBand="0" w:evenVBand="0" w:oddHBand="0" w:evenHBand="0" w:firstRowFirstColumn="0" w:firstRowLastColumn="0" w:lastRowFirstColumn="0" w:lastRowLastColumn="0"/>
          <w:trHeight w:val="235"/>
        </w:trPr>
        <w:tc>
          <w:tcPr>
            <w:tcW w:w="1763" w:type="pct"/>
            <w:tcBorders>
              <w:top w:val="single" w:sz="4" w:space="0" w:color="B2B3B5"/>
              <w:left w:val="single" w:sz="4" w:space="0" w:color="B2B3B5"/>
            </w:tcBorders>
          </w:tcPr>
          <w:p w14:paraId="4F6B8B83" w14:textId="77777777" w:rsidR="007C57C2" w:rsidRPr="00D473C6" w:rsidRDefault="007C57C2" w:rsidP="00FC6084">
            <w:pPr>
              <w:spacing w:line="264" w:lineRule="auto"/>
              <w:rPr>
                <w:b/>
              </w:rPr>
            </w:pPr>
            <w:r w:rsidRPr="00D473C6">
              <w:rPr>
                <w:b/>
              </w:rPr>
              <w:lastRenderedPageBreak/>
              <w:t>General capabilities</w:t>
            </w:r>
          </w:p>
        </w:tc>
        <w:tc>
          <w:tcPr>
            <w:tcW w:w="719" w:type="pct"/>
            <w:gridSpan w:val="4"/>
            <w:tcBorders>
              <w:top w:val="single" w:sz="4" w:space="0" w:color="B2B3B5"/>
              <w:right w:val="single" w:sz="4" w:space="0" w:color="B2B3B5"/>
            </w:tcBorders>
            <w:vAlign w:val="center"/>
          </w:tcPr>
          <w:p w14:paraId="6BD40A29" w14:textId="77777777" w:rsidR="007C57C2" w:rsidRPr="00D473C6" w:rsidRDefault="008830AC" w:rsidP="00FC6084">
            <w:pPr>
              <w:spacing w:line="264" w:lineRule="auto"/>
              <w:jc w:val="center"/>
              <w:rPr>
                <w:b/>
              </w:rPr>
            </w:pPr>
            <w:r>
              <w:rPr>
                <w:b/>
              </w:rPr>
              <w:t>Year 9</w:t>
            </w:r>
          </w:p>
        </w:tc>
        <w:tc>
          <w:tcPr>
            <w:tcW w:w="173" w:type="pct"/>
            <w:tcBorders>
              <w:top w:val="nil"/>
              <w:left w:val="single" w:sz="4" w:space="0" w:color="B2B3B5"/>
              <w:bottom w:val="nil"/>
              <w:right w:val="single" w:sz="4" w:space="0" w:color="B2B3B5"/>
            </w:tcBorders>
            <w:shd w:val="clear" w:color="auto" w:fill="auto"/>
          </w:tcPr>
          <w:p w14:paraId="4096C47A" w14:textId="77777777" w:rsidR="007C57C2" w:rsidRPr="00D473C6" w:rsidRDefault="007C57C2" w:rsidP="00FC6084">
            <w:pPr>
              <w:spacing w:line="264" w:lineRule="auto"/>
              <w:jc w:val="center"/>
              <w:rPr>
                <w:b/>
              </w:rPr>
            </w:pPr>
          </w:p>
        </w:tc>
        <w:tc>
          <w:tcPr>
            <w:tcW w:w="1728" w:type="pct"/>
            <w:tcBorders>
              <w:top w:val="single" w:sz="4" w:space="0" w:color="B2B3B5"/>
              <w:left w:val="single" w:sz="4" w:space="0" w:color="B2B3B5"/>
            </w:tcBorders>
          </w:tcPr>
          <w:p w14:paraId="72FC4047" w14:textId="77777777" w:rsidR="007C57C2" w:rsidRPr="00D473C6" w:rsidRDefault="007C57C2" w:rsidP="00FC6084">
            <w:pPr>
              <w:spacing w:line="264" w:lineRule="auto"/>
              <w:rPr>
                <w:b/>
              </w:rPr>
            </w:pPr>
            <w:r w:rsidRPr="00D473C6">
              <w:rPr>
                <w:rFonts w:eastAsia="SimSun"/>
                <w:b/>
              </w:rPr>
              <w:t>Cross-curriculum priorities</w:t>
            </w:r>
          </w:p>
        </w:tc>
        <w:tc>
          <w:tcPr>
            <w:tcW w:w="618" w:type="pct"/>
            <w:gridSpan w:val="4"/>
            <w:tcBorders>
              <w:top w:val="single" w:sz="4" w:space="0" w:color="B2B3B5"/>
            </w:tcBorders>
          </w:tcPr>
          <w:p w14:paraId="523ADA54" w14:textId="77777777" w:rsidR="007C57C2" w:rsidRPr="00D473C6" w:rsidRDefault="008830AC" w:rsidP="00FC6084">
            <w:pPr>
              <w:spacing w:line="264" w:lineRule="auto"/>
              <w:jc w:val="center"/>
              <w:rPr>
                <w:b/>
              </w:rPr>
            </w:pPr>
            <w:r>
              <w:rPr>
                <w:b/>
              </w:rPr>
              <w:t>Year 9</w:t>
            </w:r>
          </w:p>
        </w:tc>
      </w:tr>
      <w:tr w:rsidR="007C57C2" w:rsidRPr="00D473C6" w14:paraId="1E8CED0C" w14:textId="77777777" w:rsidTr="00532CAA">
        <w:trPr>
          <w:trHeight w:val="18"/>
        </w:trPr>
        <w:tc>
          <w:tcPr>
            <w:tcW w:w="1763" w:type="pct"/>
            <w:tcBorders>
              <w:left w:val="single" w:sz="4" w:space="0" w:color="B2B3B5"/>
            </w:tcBorders>
            <w:shd w:val="clear" w:color="auto" w:fill="E6E7E8"/>
          </w:tcPr>
          <w:p w14:paraId="653036EF" w14:textId="77777777" w:rsidR="007C57C2" w:rsidRPr="00D473C6" w:rsidRDefault="007C57C2" w:rsidP="00FC6084">
            <w:pPr>
              <w:spacing w:line="264" w:lineRule="auto"/>
              <w:rPr>
                <w:b/>
              </w:rPr>
            </w:pPr>
            <w:r w:rsidRPr="00D473C6">
              <w:rPr>
                <w:b/>
              </w:rPr>
              <w:t>Unit</w:t>
            </w:r>
          </w:p>
        </w:tc>
        <w:tc>
          <w:tcPr>
            <w:tcW w:w="180" w:type="pct"/>
            <w:shd w:val="clear" w:color="auto" w:fill="E6E7E8"/>
          </w:tcPr>
          <w:p w14:paraId="05B85135" w14:textId="77777777" w:rsidR="007C57C2" w:rsidRPr="00D473C6" w:rsidRDefault="007C57C2" w:rsidP="00FC6084">
            <w:pPr>
              <w:spacing w:line="264" w:lineRule="auto"/>
              <w:jc w:val="center"/>
              <w:rPr>
                <w:b/>
              </w:rPr>
            </w:pPr>
            <w:r w:rsidRPr="00D473C6">
              <w:rPr>
                <w:b/>
              </w:rPr>
              <w:t>1</w:t>
            </w:r>
          </w:p>
        </w:tc>
        <w:tc>
          <w:tcPr>
            <w:tcW w:w="180" w:type="pct"/>
            <w:shd w:val="clear" w:color="auto" w:fill="E6E7E8"/>
          </w:tcPr>
          <w:p w14:paraId="0B1024B1" w14:textId="77777777" w:rsidR="007C57C2" w:rsidRPr="00D473C6" w:rsidRDefault="007C57C2" w:rsidP="00FC6084">
            <w:pPr>
              <w:spacing w:line="264" w:lineRule="auto"/>
              <w:jc w:val="center"/>
              <w:rPr>
                <w:b/>
              </w:rPr>
            </w:pPr>
            <w:r w:rsidRPr="00D473C6">
              <w:rPr>
                <w:b/>
              </w:rPr>
              <w:t>2</w:t>
            </w:r>
          </w:p>
        </w:tc>
        <w:tc>
          <w:tcPr>
            <w:tcW w:w="180" w:type="pct"/>
            <w:shd w:val="clear" w:color="auto" w:fill="E6E7E8"/>
          </w:tcPr>
          <w:p w14:paraId="055C43E4" w14:textId="77777777" w:rsidR="007C57C2" w:rsidRPr="00D473C6" w:rsidRDefault="007C57C2" w:rsidP="00FC6084">
            <w:pPr>
              <w:spacing w:line="264" w:lineRule="auto"/>
              <w:jc w:val="center"/>
              <w:rPr>
                <w:b/>
              </w:rPr>
            </w:pPr>
            <w:r w:rsidRPr="00D473C6">
              <w:rPr>
                <w:b/>
              </w:rPr>
              <w:t>3</w:t>
            </w:r>
          </w:p>
        </w:tc>
        <w:tc>
          <w:tcPr>
            <w:tcW w:w="180" w:type="pct"/>
            <w:shd w:val="clear" w:color="auto" w:fill="E6E7E8"/>
          </w:tcPr>
          <w:p w14:paraId="3FA52E09" w14:textId="77777777" w:rsidR="007C57C2" w:rsidRPr="00D473C6" w:rsidRDefault="007C57C2" w:rsidP="00FC6084">
            <w:pPr>
              <w:spacing w:line="264" w:lineRule="auto"/>
              <w:jc w:val="center"/>
              <w:rPr>
                <w:b/>
              </w:rPr>
            </w:pPr>
            <w:r w:rsidRPr="00D473C6">
              <w:rPr>
                <w:b/>
              </w:rPr>
              <w:t>4</w:t>
            </w:r>
          </w:p>
        </w:tc>
        <w:tc>
          <w:tcPr>
            <w:tcW w:w="173" w:type="pct"/>
            <w:tcBorders>
              <w:top w:val="nil"/>
              <w:left w:val="single" w:sz="4" w:space="0" w:color="B2B3B5"/>
              <w:bottom w:val="nil"/>
              <w:right w:val="single" w:sz="4" w:space="0" w:color="B2B3B5"/>
            </w:tcBorders>
            <w:shd w:val="clear" w:color="auto" w:fill="auto"/>
          </w:tcPr>
          <w:p w14:paraId="3EE3EF8E" w14:textId="77777777" w:rsidR="007C57C2" w:rsidRPr="00D473C6" w:rsidRDefault="007C57C2" w:rsidP="00FC6084">
            <w:pPr>
              <w:spacing w:line="264" w:lineRule="auto"/>
              <w:rPr>
                <w:b/>
              </w:rPr>
            </w:pPr>
          </w:p>
        </w:tc>
        <w:tc>
          <w:tcPr>
            <w:tcW w:w="1728" w:type="pct"/>
            <w:tcBorders>
              <w:left w:val="single" w:sz="4" w:space="0" w:color="B2B3B5"/>
            </w:tcBorders>
            <w:shd w:val="clear" w:color="auto" w:fill="E6E7E8"/>
          </w:tcPr>
          <w:p w14:paraId="4969DDB9" w14:textId="77777777" w:rsidR="007C57C2" w:rsidRPr="00D473C6" w:rsidRDefault="007C57C2" w:rsidP="00FC6084">
            <w:pPr>
              <w:spacing w:line="264" w:lineRule="auto"/>
              <w:rPr>
                <w:b/>
              </w:rPr>
            </w:pPr>
            <w:r w:rsidRPr="00D473C6">
              <w:rPr>
                <w:b/>
              </w:rPr>
              <w:t>Unit</w:t>
            </w:r>
          </w:p>
        </w:tc>
        <w:tc>
          <w:tcPr>
            <w:tcW w:w="154" w:type="pct"/>
            <w:shd w:val="clear" w:color="auto" w:fill="E6E7E8"/>
          </w:tcPr>
          <w:p w14:paraId="7D6BD274" w14:textId="77777777" w:rsidR="007C57C2" w:rsidRPr="00D473C6" w:rsidRDefault="007C57C2" w:rsidP="00FC6084">
            <w:pPr>
              <w:spacing w:line="264" w:lineRule="auto"/>
              <w:jc w:val="center"/>
              <w:rPr>
                <w:b/>
              </w:rPr>
            </w:pPr>
            <w:r w:rsidRPr="00D473C6">
              <w:rPr>
                <w:b/>
              </w:rPr>
              <w:t>1</w:t>
            </w:r>
          </w:p>
        </w:tc>
        <w:tc>
          <w:tcPr>
            <w:tcW w:w="154" w:type="pct"/>
            <w:shd w:val="clear" w:color="auto" w:fill="E6E7E8"/>
          </w:tcPr>
          <w:p w14:paraId="2C759A96" w14:textId="77777777" w:rsidR="007C57C2" w:rsidRPr="00D473C6" w:rsidRDefault="007C57C2" w:rsidP="00FC6084">
            <w:pPr>
              <w:spacing w:line="264" w:lineRule="auto"/>
              <w:jc w:val="center"/>
              <w:rPr>
                <w:b/>
              </w:rPr>
            </w:pPr>
            <w:r w:rsidRPr="00D473C6">
              <w:rPr>
                <w:b/>
              </w:rPr>
              <w:t>2</w:t>
            </w:r>
          </w:p>
        </w:tc>
        <w:tc>
          <w:tcPr>
            <w:tcW w:w="155" w:type="pct"/>
            <w:shd w:val="clear" w:color="auto" w:fill="E6E7E8"/>
          </w:tcPr>
          <w:p w14:paraId="36B83C71" w14:textId="77777777" w:rsidR="007C57C2" w:rsidRPr="00D473C6" w:rsidRDefault="007C57C2" w:rsidP="00FC6084">
            <w:pPr>
              <w:spacing w:line="264" w:lineRule="auto"/>
              <w:jc w:val="center"/>
              <w:rPr>
                <w:b/>
              </w:rPr>
            </w:pPr>
            <w:r w:rsidRPr="00D473C6">
              <w:rPr>
                <w:b/>
              </w:rPr>
              <w:t>3</w:t>
            </w:r>
          </w:p>
        </w:tc>
        <w:tc>
          <w:tcPr>
            <w:tcW w:w="154" w:type="pct"/>
            <w:shd w:val="clear" w:color="auto" w:fill="E6E7E8"/>
          </w:tcPr>
          <w:p w14:paraId="54F38D9F" w14:textId="77777777" w:rsidR="007C57C2" w:rsidRPr="00D473C6" w:rsidRDefault="007C57C2" w:rsidP="00FC6084">
            <w:pPr>
              <w:spacing w:line="264" w:lineRule="auto"/>
              <w:jc w:val="center"/>
              <w:rPr>
                <w:b/>
              </w:rPr>
            </w:pPr>
            <w:r w:rsidRPr="00D473C6">
              <w:rPr>
                <w:b/>
              </w:rPr>
              <w:t>4</w:t>
            </w:r>
          </w:p>
        </w:tc>
      </w:tr>
      <w:tr w:rsidR="007C57C2" w:rsidRPr="00D473C6" w14:paraId="60AADB2F" w14:textId="77777777" w:rsidTr="00532CAA">
        <w:trPr>
          <w:trHeight w:val="18"/>
        </w:trPr>
        <w:tc>
          <w:tcPr>
            <w:tcW w:w="1763" w:type="pct"/>
            <w:tcBorders>
              <w:left w:val="single" w:sz="4" w:space="0" w:color="B2B3B5"/>
            </w:tcBorders>
          </w:tcPr>
          <w:p w14:paraId="1F6EA87F" w14:textId="77777777" w:rsidR="007C57C2" w:rsidRPr="00D473C6" w:rsidRDefault="007C57C2" w:rsidP="00FC6084">
            <w:pPr>
              <w:pStyle w:val="Tabletext"/>
            </w:pPr>
            <w:r w:rsidRPr="00D473C6">
              <w:t>Literacy</w:t>
            </w:r>
          </w:p>
        </w:tc>
        <w:tc>
          <w:tcPr>
            <w:tcW w:w="180" w:type="pct"/>
          </w:tcPr>
          <w:p w14:paraId="7342E062" w14:textId="77777777" w:rsidR="007C57C2" w:rsidRPr="00D473C6" w:rsidRDefault="007C57C2" w:rsidP="00FC6084">
            <w:pPr>
              <w:spacing w:line="264" w:lineRule="auto"/>
              <w:jc w:val="center"/>
              <w:rPr>
                <w:b/>
              </w:rPr>
            </w:pPr>
            <w:r w:rsidRPr="00D473C6">
              <w:rPr>
                <w:rFonts w:cs="Arial"/>
                <w:sz w:val="20"/>
                <w:szCs w:val="20"/>
                <w:lang w:val="en-GB"/>
              </w:rPr>
              <w:sym w:font="Wingdings" w:char="F0FC"/>
            </w:r>
          </w:p>
        </w:tc>
        <w:tc>
          <w:tcPr>
            <w:tcW w:w="180" w:type="pct"/>
          </w:tcPr>
          <w:p w14:paraId="67A6FE0B" w14:textId="77777777" w:rsidR="007C57C2" w:rsidRPr="00D473C6" w:rsidRDefault="007C57C2" w:rsidP="00FC6084">
            <w:pPr>
              <w:spacing w:line="264" w:lineRule="auto"/>
              <w:jc w:val="center"/>
              <w:rPr>
                <w:b/>
              </w:rPr>
            </w:pPr>
            <w:r w:rsidRPr="00D473C6">
              <w:rPr>
                <w:rFonts w:cs="Arial"/>
                <w:sz w:val="20"/>
                <w:szCs w:val="20"/>
                <w:lang w:val="en-GB"/>
              </w:rPr>
              <w:sym w:font="Wingdings" w:char="F0FC"/>
            </w:r>
          </w:p>
        </w:tc>
        <w:tc>
          <w:tcPr>
            <w:tcW w:w="180" w:type="pct"/>
          </w:tcPr>
          <w:p w14:paraId="0C6CE250" w14:textId="77777777" w:rsidR="007C57C2" w:rsidRPr="00D473C6" w:rsidRDefault="007C57C2" w:rsidP="00FC6084">
            <w:pPr>
              <w:spacing w:line="264" w:lineRule="auto"/>
              <w:jc w:val="center"/>
              <w:rPr>
                <w:b/>
              </w:rPr>
            </w:pPr>
            <w:r w:rsidRPr="00D473C6">
              <w:rPr>
                <w:rFonts w:cs="Arial"/>
                <w:sz w:val="20"/>
                <w:szCs w:val="20"/>
                <w:lang w:val="en-GB"/>
              </w:rPr>
              <w:sym w:font="Wingdings" w:char="F0FC"/>
            </w:r>
          </w:p>
        </w:tc>
        <w:tc>
          <w:tcPr>
            <w:tcW w:w="180" w:type="pct"/>
          </w:tcPr>
          <w:p w14:paraId="4832C345" w14:textId="77777777" w:rsidR="007C57C2" w:rsidRPr="00D473C6" w:rsidRDefault="007C57C2" w:rsidP="00FC6084">
            <w:pPr>
              <w:spacing w:line="264" w:lineRule="auto"/>
              <w:jc w:val="center"/>
              <w:rPr>
                <w:b/>
              </w:rPr>
            </w:pPr>
            <w:r w:rsidRPr="00D473C6">
              <w:rPr>
                <w:rFonts w:cs="Arial"/>
                <w:sz w:val="20"/>
                <w:szCs w:val="20"/>
                <w:lang w:val="en-GB"/>
              </w:rPr>
              <w:sym w:font="Wingdings" w:char="F0FC"/>
            </w:r>
          </w:p>
        </w:tc>
        <w:tc>
          <w:tcPr>
            <w:tcW w:w="173" w:type="pct"/>
            <w:tcBorders>
              <w:top w:val="nil"/>
              <w:left w:val="single" w:sz="4" w:space="0" w:color="B2B3B5"/>
              <w:bottom w:val="nil"/>
              <w:right w:val="single" w:sz="4" w:space="0" w:color="B2B3B5"/>
            </w:tcBorders>
            <w:shd w:val="clear" w:color="auto" w:fill="auto"/>
          </w:tcPr>
          <w:p w14:paraId="5E7A0E59" w14:textId="77777777" w:rsidR="007C57C2" w:rsidRPr="00D473C6" w:rsidRDefault="007C57C2" w:rsidP="00FC6084">
            <w:pPr>
              <w:spacing w:line="264" w:lineRule="auto"/>
              <w:jc w:val="center"/>
              <w:rPr>
                <w:rFonts w:eastAsia="SimSun"/>
              </w:rPr>
            </w:pPr>
          </w:p>
        </w:tc>
        <w:tc>
          <w:tcPr>
            <w:tcW w:w="1728" w:type="pct"/>
            <w:tcBorders>
              <w:left w:val="single" w:sz="4" w:space="0" w:color="B2B3B5"/>
            </w:tcBorders>
          </w:tcPr>
          <w:p w14:paraId="0B8555D6" w14:textId="77777777" w:rsidR="007C57C2" w:rsidRPr="00D473C6" w:rsidRDefault="007C57C2" w:rsidP="00FC6084">
            <w:pPr>
              <w:pStyle w:val="Tabletext"/>
              <w:rPr>
                <w:rFonts w:eastAsia="SimSun"/>
              </w:rPr>
            </w:pPr>
            <w:r w:rsidRPr="00D473C6">
              <w:t>Aboriginal and Torres Strait Islander histories and culture</w:t>
            </w:r>
          </w:p>
        </w:tc>
        <w:tc>
          <w:tcPr>
            <w:tcW w:w="154" w:type="pct"/>
          </w:tcPr>
          <w:p w14:paraId="153A9CA1" w14:textId="77777777" w:rsidR="007C57C2" w:rsidRPr="00D473C6" w:rsidRDefault="007C57C2" w:rsidP="00FC6084">
            <w:pPr>
              <w:spacing w:line="264" w:lineRule="auto"/>
              <w:jc w:val="center"/>
              <w:rPr>
                <w:rFonts w:eastAsia="SimSun"/>
              </w:rPr>
            </w:pPr>
          </w:p>
        </w:tc>
        <w:tc>
          <w:tcPr>
            <w:tcW w:w="154" w:type="pct"/>
          </w:tcPr>
          <w:p w14:paraId="04979493" w14:textId="77777777" w:rsidR="007C57C2" w:rsidRPr="00D473C6" w:rsidRDefault="007C57C2" w:rsidP="00FC6084">
            <w:pPr>
              <w:spacing w:line="264" w:lineRule="auto"/>
              <w:jc w:val="center"/>
              <w:rPr>
                <w:rFonts w:eastAsia="SimSun"/>
              </w:rPr>
            </w:pPr>
          </w:p>
        </w:tc>
        <w:tc>
          <w:tcPr>
            <w:tcW w:w="155" w:type="pct"/>
          </w:tcPr>
          <w:p w14:paraId="462B74D6" w14:textId="77777777" w:rsidR="007C57C2" w:rsidRPr="00D473C6" w:rsidRDefault="007C57C2" w:rsidP="00FC6084">
            <w:pPr>
              <w:spacing w:line="264" w:lineRule="auto"/>
              <w:jc w:val="center"/>
              <w:rPr>
                <w:rFonts w:eastAsia="SimSun"/>
              </w:rPr>
            </w:pPr>
          </w:p>
        </w:tc>
        <w:tc>
          <w:tcPr>
            <w:tcW w:w="154" w:type="pct"/>
          </w:tcPr>
          <w:p w14:paraId="0C2E20BE" w14:textId="77777777" w:rsidR="007C57C2" w:rsidRPr="00D473C6" w:rsidRDefault="007C57C2" w:rsidP="00FC6084">
            <w:pPr>
              <w:spacing w:line="264" w:lineRule="auto"/>
              <w:jc w:val="center"/>
              <w:rPr>
                <w:rFonts w:eastAsia="SimSun"/>
              </w:rPr>
            </w:pPr>
            <w:r w:rsidRPr="00D473C6">
              <w:rPr>
                <w:rFonts w:cs="Arial"/>
                <w:sz w:val="20"/>
                <w:szCs w:val="20"/>
                <w:lang w:val="en-GB"/>
              </w:rPr>
              <w:sym w:font="Wingdings" w:char="F0FC"/>
            </w:r>
          </w:p>
        </w:tc>
      </w:tr>
      <w:tr w:rsidR="007C57C2" w:rsidRPr="00D473C6" w14:paraId="1BFA484F" w14:textId="77777777" w:rsidTr="00532CAA">
        <w:trPr>
          <w:trHeight w:val="385"/>
        </w:trPr>
        <w:tc>
          <w:tcPr>
            <w:tcW w:w="1763" w:type="pct"/>
            <w:tcBorders>
              <w:left w:val="single" w:sz="4" w:space="0" w:color="B2B3B5"/>
            </w:tcBorders>
          </w:tcPr>
          <w:p w14:paraId="15A782D4" w14:textId="77777777" w:rsidR="007C57C2" w:rsidRPr="00D473C6" w:rsidRDefault="007C57C2" w:rsidP="00FC6084">
            <w:pPr>
              <w:pStyle w:val="Tabletext"/>
            </w:pPr>
            <w:r w:rsidRPr="00D473C6">
              <w:t>Numeracy</w:t>
            </w:r>
          </w:p>
        </w:tc>
        <w:tc>
          <w:tcPr>
            <w:tcW w:w="180" w:type="pct"/>
          </w:tcPr>
          <w:p w14:paraId="5652AFF1" w14:textId="77777777" w:rsidR="007C57C2" w:rsidRPr="00D473C6" w:rsidRDefault="007C57C2" w:rsidP="00FC6084">
            <w:pPr>
              <w:spacing w:line="264" w:lineRule="auto"/>
              <w:jc w:val="center"/>
              <w:rPr>
                <w:b/>
              </w:rPr>
            </w:pPr>
            <w:r w:rsidRPr="00D473C6">
              <w:rPr>
                <w:sz w:val="18"/>
                <w:szCs w:val="18"/>
              </w:rPr>
              <w:sym w:font="Wingdings" w:char="F0FC"/>
            </w:r>
          </w:p>
        </w:tc>
        <w:tc>
          <w:tcPr>
            <w:tcW w:w="180" w:type="pct"/>
          </w:tcPr>
          <w:p w14:paraId="3D34A1D8" w14:textId="77777777" w:rsidR="007C57C2" w:rsidRPr="00D473C6" w:rsidRDefault="007C57C2" w:rsidP="00FC6084">
            <w:pPr>
              <w:spacing w:line="264" w:lineRule="auto"/>
              <w:jc w:val="center"/>
              <w:rPr>
                <w:b/>
              </w:rPr>
            </w:pPr>
            <w:r w:rsidRPr="00D473C6">
              <w:rPr>
                <w:sz w:val="18"/>
                <w:szCs w:val="18"/>
              </w:rPr>
              <w:sym w:font="Wingdings" w:char="F0FC"/>
            </w:r>
          </w:p>
        </w:tc>
        <w:tc>
          <w:tcPr>
            <w:tcW w:w="180" w:type="pct"/>
          </w:tcPr>
          <w:p w14:paraId="2731A786" w14:textId="77777777" w:rsidR="007C57C2" w:rsidRPr="00D473C6" w:rsidRDefault="007C57C2" w:rsidP="00FC6084">
            <w:pPr>
              <w:spacing w:line="264" w:lineRule="auto"/>
              <w:jc w:val="center"/>
              <w:rPr>
                <w:b/>
              </w:rPr>
            </w:pPr>
            <w:r w:rsidRPr="00D473C6">
              <w:rPr>
                <w:sz w:val="18"/>
                <w:szCs w:val="18"/>
              </w:rPr>
              <w:sym w:font="Wingdings" w:char="F0FC"/>
            </w:r>
          </w:p>
        </w:tc>
        <w:tc>
          <w:tcPr>
            <w:tcW w:w="180" w:type="pct"/>
          </w:tcPr>
          <w:p w14:paraId="36F4812B" w14:textId="77777777" w:rsidR="007C57C2" w:rsidRPr="00D473C6" w:rsidRDefault="007C57C2" w:rsidP="00FC6084">
            <w:pPr>
              <w:spacing w:line="264" w:lineRule="auto"/>
              <w:jc w:val="center"/>
              <w:rPr>
                <w:b/>
              </w:rPr>
            </w:pPr>
            <w:r w:rsidRPr="00D473C6">
              <w:rPr>
                <w:sz w:val="18"/>
                <w:szCs w:val="18"/>
              </w:rPr>
              <w:sym w:font="Wingdings" w:char="F0FC"/>
            </w:r>
          </w:p>
        </w:tc>
        <w:tc>
          <w:tcPr>
            <w:tcW w:w="173" w:type="pct"/>
            <w:tcBorders>
              <w:top w:val="nil"/>
              <w:left w:val="single" w:sz="4" w:space="0" w:color="B2B3B5"/>
              <w:bottom w:val="nil"/>
              <w:right w:val="single" w:sz="4" w:space="0" w:color="B2B3B5"/>
            </w:tcBorders>
            <w:shd w:val="clear" w:color="auto" w:fill="auto"/>
          </w:tcPr>
          <w:p w14:paraId="5D0C1F05" w14:textId="77777777" w:rsidR="007C57C2" w:rsidRPr="00D473C6" w:rsidRDefault="007C57C2" w:rsidP="00FC6084">
            <w:pPr>
              <w:spacing w:line="264" w:lineRule="auto"/>
              <w:jc w:val="center"/>
              <w:rPr>
                <w:b/>
              </w:rPr>
            </w:pPr>
          </w:p>
        </w:tc>
        <w:tc>
          <w:tcPr>
            <w:tcW w:w="1728" w:type="pct"/>
            <w:tcBorders>
              <w:left w:val="single" w:sz="4" w:space="0" w:color="B2B3B5"/>
            </w:tcBorders>
          </w:tcPr>
          <w:p w14:paraId="350ED8D6" w14:textId="77777777" w:rsidR="007C57C2" w:rsidRPr="00D473C6" w:rsidRDefault="007C57C2" w:rsidP="00FC6084">
            <w:pPr>
              <w:pStyle w:val="Tabletext"/>
              <w:rPr>
                <w:b/>
              </w:rPr>
            </w:pPr>
            <w:r w:rsidRPr="00D473C6">
              <w:t>Asia and Australia’s engagement with Asia</w:t>
            </w:r>
          </w:p>
        </w:tc>
        <w:tc>
          <w:tcPr>
            <w:tcW w:w="154" w:type="pct"/>
          </w:tcPr>
          <w:p w14:paraId="15A1514D" w14:textId="77777777" w:rsidR="007C57C2" w:rsidRPr="00D473C6" w:rsidRDefault="007C57C2" w:rsidP="00FC6084">
            <w:pPr>
              <w:spacing w:line="264" w:lineRule="auto"/>
              <w:jc w:val="center"/>
              <w:rPr>
                <w:b/>
              </w:rPr>
            </w:pPr>
          </w:p>
        </w:tc>
        <w:tc>
          <w:tcPr>
            <w:tcW w:w="154" w:type="pct"/>
          </w:tcPr>
          <w:p w14:paraId="68B8BC5B" w14:textId="77777777" w:rsidR="007C57C2" w:rsidRPr="00D473C6" w:rsidRDefault="007C57C2" w:rsidP="00FC6084">
            <w:pPr>
              <w:spacing w:line="264" w:lineRule="auto"/>
              <w:jc w:val="center"/>
              <w:rPr>
                <w:b/>
              </w:rPr>
            </w:pPr>
          </w:p>
        </w:tc>
        <w:tc>
          <w:tcPr>
            <w:tcW w:w="155" w:type="pct"/>
          </w:tcPr>
          <w:p w14:paraId="121ED08B" w14:textId="77777777" w:rsidR="007C57C2" w:rsidRPr="00D473C6" w:rsidRDefault="007C57C2" w:rsidP="00FC6084">
            <w:pPr>
              <w:spacing w:line="264" w:lineRule="auto"/>
              <w:jc w:val="center"/>
              <w:rPr>
                <w:b/>
              </w:rPr>
            </w:pPr>
          </w:p>
        </w:tc>
        <w:tc>
          <w:tcPr>
            <w:tcW w:w="154" w:type="pct"/>
          </w:tcPr>
          <w:p w14:paraId="43332409" w14:textId="77777777" w:rsidR="007C57C2" w:rsidRPr="00D473C6" w:rsidRDefault="007C57C2" w:rsidP="00FC6084">
            <w:pPr>
              <w:spacing w:line="264" w:lineRule="auto"/>
              <w:jc w:val="center"/>
              <w:rPr>
                <w:b/>
              </w:rPr>
            </w:pPr>
            <w:r w:rsidRPr="00D473C6">
              <w:rPr>
                <w:sz w:val="18"/>
                <w:szCs w:val="18"/>
              </w:rPr>
              <w:sym w:font="Wingdings" w:char="F0FC"/>
            </w:r>
          </w:p>
        </w:tc>
      </w:tr>
      <w:tr w:rsidR="007C57C2" w:rsidRPr="00D473C6" w14:paraId="7BE1F0C5" w14:textId="77777777" w:rsidTr="00532CAA">
        <w:trPr>
          <w:trHeight w:val="385"/>
        </w:trPr>
        <w:tc>
          <w:tcPr>
            <w:tcW w:w="1763" w:type="pct"/>
            <w:tcBorders>
              <w:left w:val="single" w:sz="4" w:space="0" w:color="B2B3B5"/>
            </w:tcBorders>
          </w:tcPr>
          <w:p w14:paraId="6BB4CCC6" w14:textId="77777777" w:rsidR="007C57C2" w:rsidRPr="00D473C6" w:rsidRDefault="007C57C2" w:rsidP="00FC6084">
            <w:pPr>
              <w:pStyle w:val="Tabletext"/>
            </w:pPr>
            <w:r w:rsidRPr="00D473C6">
              <w:t>Information and communication technology</w:t>
            </w:r>
          </w:p>
        </w:tc>
        <w:tc>
          <w:tcPr>
            <w:tcW w:w="180" w:type="pct"/>
          </w:tcPr>
          <w:p w14:paraId="1220AC1D" w14:textId="77777777" w:rsidR="007C57C2" w:rsidRPr="00D473C6" w:rsidRDefault="007C57C2" w:rsidP="00FC6084">
            <w:pPr>
              <w:spacing w:line="264" w:lineRule="auto"/>
              <w:jc w:val="center"/>
              <w:rPr>
                <w:b/>
              </w:rPr>
            </w:pPr>
            <w:r w:rsidRPr="00D473C6">
              <w:rPr>
                <w:sz w:val="18"/>
                <w:szCs w:val="18"/>
              </w:rPr>
              <w:sym w:font="Wingdings" w:char="F0FC"/>
            </w:r>
          </w:p>
        </w:tc>
        <w:tc>
          <w:tcPr>
            <w:tcW w:w="180" w:type="pct"/>
          </w:tcPr>
          <w:p w14:paraId="0A778278" w14:textId="77777777" w:rsidR="007C57C2" w:rsidRPr="00D473C6" w:rsidRDefault="007C57C2" w:rsidP="00FC6084">
            <w:pPr>
              <w:spacing w:line="264" w:lineRule="auto"/>
              <w:jc w:val="center"/>
              <w:rPr>
                <w:b/>
              </w:rPr>
            </w:pPr>
            <w:r w:rsidRPr="00D473C6">
              <w:rPr>
                <w:sz w:val="18"/>
                <w:szCs w:val="18"/>
              </w:rPr>
              <w:sym w:font="Wingdings" w:char="F0FC"/>
            </w:r>
          </w:p>
        </w:tc>
        <w:tc>
          <w:tcPr>
            <w:tcW w:w="180" w:type="pct"/>
          </w:tcPr>
          <w:p w14:paraId="25D4F655" w14:textId="77777777" w:rsidR="007C57C2" w:rsidRPr="00D473C6" w:rsidRDefault="007C57C2" w:rsidP="00FC6084">
            <w:pPr>
              <w:spacing w:line="264" w:lineRule="auto"/>
              <w:jc w:val="center"/>
              <w:rPr>
                <w:b/>
              </w:rPr>
            </w:pPr>
            <w:r w:rsidRPr="00D473C6">
              <w:rPr>
                <w:sz w:val="18"/>
                <w:szCs w:val="18"/>
              </w:rPr>
              <w:sym w:font="Wingdings" w:char="F0FC"/>
            </w:r>
          </w:p>
        </w:tc>
        <w:tc>
          <w:tcPr>
            <w:tcW w:w="180" w:type="pct"/>
          </w:tcPr>
          <w:p w14:paraId="75FAF251" w14:textId="77777777" w:rsidR="007C57C2" w:rsidRPr="00D473C6" w:rsidRDefault="007C57C2" w:rsidP="00FC6084">
            <w:pPr>
              <w:spacing w:line="264" w:lineRule="auto"/>
              <w:jc w:val="center"/>
              <w:rPr>
                <w:b/>
              </w:rPr>
            </w:pPr>
            <w:r w:rsidRPr="00D473C6">
              <w:rPr>
                <w:sz w:val="18"/>
                <w:szCs w:val="18"/>
              </w:rPr>
              <w:sym w:font="Wingdings" w:char="F0FC"/>
            </w:r>
          </w:p>
        </w:tc>
        <w:tc>
          <w:tcPr>
            <w:tcW w:w="173" w:type="pct"/>
            <w:tcBorders>
              <w:top w:val="nil"/>
              <w:left w:val="single" w:sz="4" w:space="0" w:color="B2B3B5"/>
              <w:bottom w:val="nil"/>
              <w:right w:val="single" w:sz="4" w:space="0" w:color="B2B3B5"/>
            </w:tcBorders>
            <w:shd w:val="clear" w:color="auto" w:fill="auto"/>
          </w:tcPr>
          <w:p w14:paraId="372F0CA8" w14:textId="77777777" w:rsidR="007C57C2" w:rsidRPr="00D473C6" w:rsidRDefault="007C57C2" w:rsidP="00FC6084">
            <w:pPr>
              <w:spacing w:line="264" w:lineRule="auto"/>
              <w:jc w:val="center"/>
              <w:rPr>
                <w:b/>
              </w:rPr>
            </w:pPr>
          </w:p>
        </w:tc>
        <w:tc>
          <w:tcPr>
            <w:tcW w:w="1728" w:type="pct"/>
            <w:tcBorders>
              <w:left w:val="single" w:sz="4" w:space="0" w:color="B2B3B5"/>
              <w:bottom w:val="single" w:sz="4" w:space="0" w:color="B2B3B5"/>
            </w:tcBorders>
          </w:tcPr>
          <w:p w14:paraId="23054CFE" w14:textId="77777777" w:rsidR="007C57C2" w:rsidRPr="00D473C6" w:rsidRDefault="007C57C2" w:rsidP="00FC6084">
            <w:pPr>
              <w:pStyle w:val="Tabletext"/>
            </w:pPr>
            <w:r w:rsidRPr="00D473C6">
              <w:t>Sustainability</w:t>
            </w:r>
          </w:p>
        </w:tc>
        <w:tc>
          <w:tcPr>
            <w:tcW w:w="154" w:type="pct"/>
            <w:tcBorders>
              <w:bottom w:val="single" w:sz="4" w:space="0" w:color="B2B3B5"/>
            </w:tcBorders>
          </w:tcPr>
          <w:p w14:paraId="1D677C73" w14:textId="77777777" w:rsidR="007C57C2" w:rsidRPr="00D473C6" w:rsidRDefault="007C57C2" w:rsidP="00FC6084">
            <w:pPr>
              <w:spacing w:line="264" w:lineRule="auto"/>
              <w:jc w:val="center"/>
              <w:rPr>
                <w:b/>
              </w:rPr>
            </w:pPr>
          </w:p>
        </w:tc>
        <w:tc>
          <w:tcPr>
            <w:tcW w:w="154" w:type="pct"/>
            <w:tcBorders>
              <w:bottom w:val="single" w:sz="4" w:space="0" w:color="B2B3B5"/>
            </w:tcBorders>
          </w:tcPr>
          <w:p w14:paraId="261E08E4" w14:textId="77777777" w:rsidR="007C57C2" w:rsidRPr="00D473C6" w:rsidRDefault="007C57C2" w:rsidP="00FC6084">
            <w:pPr>
              <w:spacing w:line="264" w:lineRule="auto"/>
              <w:jc w:val="center"/>
              <w:rPr>
                <w:b/>
              </w:rPr>
            </w:pPr>
          </w:p>
        </w:tc>
        <w:tc>
          <w:tcPr>
            <w:tcW w:w="155" w:type="pct"/>
            <w:tcBorders>
              <w:bottom w:val="single" w:sz="4" w:space="0" w:color="B2B3B5"/>
            </w:tcBorders>
          </w:tcPr>
          <w:p w14:paraId="6947E6BF" w14:textId="77777777" w:rsidR="007C57C2" w:rsidRPr="00D473C6" w:rsidRDefault="007C57C2" w:rsidP="00FC6084">
            <w:pPr>
              <w:spacing w:line="264" w:lineRule="auto"/>
              <w:jc w:val="center"/>
              <w:rPr>
                <w:b/>
              </w:rPr>
            </w:pPr>
          </w:p>
        </w:tc>
        <w:tc>
          <w:tcPr>
            <w:tcW w:w="154" w:type="pct"/>
            <w:tcBorders>
              <w:bottom w:val="single" w:sz="4" w:space="0" w:color="B2B3B5"/>
            </w:tcBorders>
          </w:tcPr>
          <w:p w14:paraId="066C1803" w14:textId="77777777" w:rsidR="007C57C2" w:rsidRPr="00D473C6" w:rsidRDefault="007C57C2" w:rsidP="00FC6084">
            <w:pPr>
              <w:spacing w:line="264" w:lineRule="auto"/>
              <w:jc w:val="center"/>
              <w:rPr>
                <w:b/>
              </w:rPr>
            </w:pPr>
            <w:r w:rsidRPr="00D473C6">
              <w:rPr>
                <w:sz w:val="18"/>
                <w:szCs w:val="18"/>
              </w:rPr>
              <w:sym w:font="Wingdings" w:char="F0FC"/>
            </w:r>
          </w:p>
        </w:tc>
      </w:tr>
      <w:tr w:rsidR="007C57C2" w:rsidRPr="00D473C6" w14:paraId="30A3028E" w14:textId="77777777" w:rsidTr="00532CAA">
        <w:trPr>
          <w:trHeight w:val="385"/>
        </w:trPr>
        <w:tc>
          <w:tcPr>
            <w:tcW w:w="1763" w:type="pct"/>
            <w:tcBorders>
              <w:left w:val="single" w:sz="4" w:space="0" w:color="B2B3B5"/>
            </w:tcBorders>
          </w:tcPr>
          <w:p w14:paraId="25DEB2EC" w14:textId="77777777" w:rsidR="007C57C2" w:rsidRPr="00D473C6" w:rsidRDefault="007C57C2" w:rsidP="00FC6084">
            <w:pPr>
              <w:pStyle w:val="Tabletext"/>
            </w:pPr>
            <w:r w:rsidRPr="00D473C6">
              <w:t>Critical and creative thinking</w:t>
            </w:r>
          </w:p>
        </w:tc>
        <w:tc>
          <w:tcPr>
            <w:tcW w:w="180" w:type="pct"/>
          </w:tcPr>
          <w:p w14:paraId="6B82DD3A" w14:textId="77777777" w:rsidR="007C57C2" w:rsidRPr="00D473C6" w:rsidRDefault="007C57C2" w:rsidP="00FC6084">
            <w:pPr>
              <w:spacing w:line="264" w:lineRule="auto"/>
              <w:jc w:val="center"/>
              <w:rPr>
                <w:b/>
              </w:rPr>
            </w:pPr>
            <w:r w:rsidRPr="00D473C6">
              <w:rPr>
                <w:sz w:val="18"/>
                <w:szCs w:val="18"/>
              </w:rPr>
              <w:sym w:font="Wingdings" w:char="F0FC"/>
            </w:r>
          </w:p>
        </w:tc>
        <w:tc>
          <w:tcPr>
            <w:tcW w:w="180" w:type="pct"/>
          </w:tcPr>
          <w:p w14:paraId="166DDD94" w14:textId="77777777" w:rsidR="007C57C2" w:rsidRPr="00D473C6" w:rsidRDefault="007C57C2" w:rsidP="00FC6084">
            <w:pPr>
              <w:spacing w:line="264" w:lineRule="auto"/>
              <w:jc w:val="center"/>
              <w:rPr>
                <w:b/>
              </w:rPr>
            </w:pPr>
            <w:r w:rsidRPr="00D473C6">
              <w:rPr>
                <w:sz w:val="18"/>
                <w:szCs w:val="18"/>
              </w:rPr>
              <w:sym w:font="Wingdings" w:char="F0FC"/>
            </w:r>
          </w:p>
        </w:tc>
        <w:tc>
          <w:tcPr>
            <w:tcW w:w="180" w:type="pct"/>
          </w:tcPr>
          <w:p w14:paraId="0FDA32A3" w14:textId="77777777" w:rsidR="007C57C2" w:rsidRPr="00D473C6" w:rsidRDefault="007C57C2" w:rsidP="00FC6084">
            <w:pPr>
              <w:spacing w:line="264" w:lineRule="auto"/>
              <w:jc w:val="center"/>
              <w:rPr>
                <w:b/>
              </w:rPr>
            </w:pPr>
            <w:r w:rsidRPr="00D473C6">
              <w:rPr>
                <w:sz w:val="18"/>
                <w:szCs w:val="18"/>
              </w:rPr>
              <w:sym w:font="Wingdings" w:char="F0FC"/>
            </w:r>
          </w:p>
        </w:tc>
        <w:tc>
          <w:tcPr>
            <w:tcW w:w="180" w:type="pct"/>
          </w:tcPr>
          <w:p w14:paraId="40D54FB6" w14:textId="77777777" w:rsidR="007C57C2" w:rsidRPr="00D473C6" w:rsidRDefault="007C57C2" w:rsidP="00FC6084">
            <w:pPr>
              <w:spacing w:line="264" w:lineRule="auto"/>
              <w:jc w:val="center"/>
              <w:rPr>
                <w:b/>
              </w:rPr>
            </w:pPr>
            <w:r w:rsidRPr="00D473C6">
              <w:rPr>
                <w:sz w:val="18"/>
                <w:szCs w:val="18"/>
              </w:rPr>
              <w:sym w:font="Wingdings" w:char="F0FC"/>
            </w:r>
          </w:p>
        </w:tc>
        <w:tc>
          <w:tcPr>
            <w:tcW w:w="173" w:type="pct"/>
            <w:tcBorders>
              <w:top w:val="nil"/>
              <w:left w:val="single" w:sz="4" w:space="0" w:color="B2B3B5"/>
              <w:bottom w:val="nil"/>
              <w:right w:val="nil"/>
            </w:tcBorders>
            <w:shd w:val="clear" w:color="auto" w:fill="auto"/>
          </w:tcPr>
          <w:p w14:paraId="525FD14F" w14:textId="77777777" w:rsidR="007C57C2" w:rsidRPr="00D473C6" w:rsidRDefault="007C57C2" w:rsidP="00FC6084">
            <w:pPr>
              <w:spacing w:line="264" w:lineRule="auto"/>
              <w:jc w:val="center"/>
              <w:rPr>
                <w:rFonts w:eastAsia="SimSun"/>
              </w:rPr>
            </w:pPr>
          </w:p>
        </w:tc>
        <w:tc>
          <w:tcPr>
            <w:tcW w:w="1728" w:type="pct"/>
            <w:tcBorders>
              <w:top w:val="single" w:sz="4" w:space="0" w:color="B2B3B5"/>
              <w:left w:val="nil"/>
              <w:bottom w:val="nil"/>
              <w:right w:val="nil"/>
            </w:tcBorders>
          </w:tcPr>
          <w:p w14:paraId="40ED9585" w14:textId="77777777" w:rsidR="007C57C2" w:rsidRPr="00D473C6" w:rsidRDefault="007C57C2" w:rsidP="00FC6084">
            <w:pPr>
              <w:spacing w:line="264" w:lineRule="auto"/>
              <w:jc w:val="center"/>
              <w:rPr>
                <w:rFonts w:eastAsia="SimSun"/>
              </w:rPr>
            </w:pPr>
          </w:p>
        </w:tc>
        <w:tc>
          <w:tcPr>
            <w:tcW w:w="154" w:type="pct"/>
            <w:tcBorders>
              <w:top w:val="single" w:sz="4" w:space="0" w:color="B2B3B5"/>
              <w:left w:val="nil"/>
              <w:bottom w:val="nil"/>
              <w:right w:val="nil"/>
            </w:tcBorders>
          </w:tcPr>
          <w:p w14:paraId="758DF6A4" w14:textId="77777777" w:rsidR="007C57C2" w:rsidRPr="00D473C6" w:rsidRDefault="007C57C2" w:rsidP="00FC6084">
            <w:pPr>
              <w:spacing w:line="264" w:lineRule="auto"/>
              <w:jc w:val="center"/>
              <w:rPr>
                <w:rFonts w:eastAsia="SimSun"/>
              </w:rPr>
            </w:pPr>
          </w:p>
        </w:tc>
        <w:tc>
          <w:tcPr>
            <w:tcW w:w="154" w:type="pct"/>
            <w:tcBorders>
              <w:top w:val="single" w:sz="4" w:space="0" w:color="B2B3B5"/>
              <w:left w:val="nil"/>
              <w:bottom w:val="nil"/>
              <w:right w:val="nil"/>
            </w:tcBorders>
          </w:tcPr>
          <w:p w14:paraId="623BDDEC" w14:textId="77777777" w:rsidR="007C57C2" w:rsidRPr="00D473C6" w:rsidRDefault="007C57C2" w:rsidP="00FC6084">
            <w:pPr>
              <w:spacing w:line="264" w:lineRule="auto"/>
              <w:jc w:val="center"/>
              <w:rPr>
                <w:rFonts w:eastAsia="SimSun"/>
              </w:rPr>
            </w:pPr>
          </w:p>
        </w:tc>
        <w:tc>
          <w:tcPr>
            <w:tcW w:w="155" w:type="pct"/>
            <w:tcBorders>
              <w:top w:val="single" w:sz="4" w:space="0" w:color="B2B3B5"/>
              <w:left w:val="nil"/>
              <w:bottom w:val="nil"/>
              <w:right w:val="nil"/>
            </w:tcBorders>
          </w:tcPr>
          <w:p w14:paraId="2DBD99C0" w14:textId="77777777" w:rsidR="007C57C2" w:rsidRPr="00D473C6" w:rsidRDefault="007C57C2" w:rsidP="00FC6084">
            <w:pPr>
              <w:spacing w:line="264" w:lineRule="auto"/>
              <w:jc w:val="center"/>
              <w:rPr>
                <w:rFonts w:eastAsia="SimSun"/>
              </w:rPr>
            </w:pPr>
          </w:p>
        </w:tc>
        <w:tc>
          <w:tcPr>
            <w:tcW w:w="154" w:type="pct"/>
            <w:tcBorders>
              <w:top w:val="single" w:sz="4" w:space="0" w:color="B2B3B5"/>
              <w:left w:val="nil"/>
              <w:bottom w:val="nil"/>
              <w:right w:val="nil"/>
            </w:tcBorders>
          </w:tcPr>
          <w:p w14:paraId="5DC02D9F" w14:textId="77777777" w:rsidR="007C57C2" w:rsidRPr="00D473C6" w:rsidRDefault="007C57C2" w:rsidP="00FC6084">
            <w:pPr>
              <w:spacing w:line="264" w:lineRule="auto"/>
              <w:jc w:val="center"/>
              <w:rPr>
                <w:rFonts w:eastAsia="SimSun"/>
              </w:rPr>
            </w:pPr>
          </w:p>
        </w:tc>
      </w:tr>
      <w:tr w:rsidR="007C57C2" w:rsidRPr="00D473C6" w14:paraId="07265F18" w14:textId="77777777" w:rsidTr="00532CAA">
        <w:trPr>
          <w:trHeight w:val="385"/>
        </w:trPr>
        <w:tc>
          <w:tcPr>
            <w:tcW w:w="1763" w:type="pct"/>
            <w:tcBorders>
              <w:left w:val="single" w:sz="4" w:space="0" w:color="B2B3B5"/>
            </w:tcBorders>
          </w:tcPr>
          <w:p w14:paraId="78A5DA99" w14:textId="77777777" w:rsidR="007C57C2" w:rsidRPr="00D473C6" w:rsidRDefault="007C57C2" w:rsidP="00FC6084">
            <w:pPr>
              <w:pStyle w:val="Tabletext"/>
            </w:pPr>
            <w:r w:rsidRPr="00D473C6">
              <w:t>Personal and social capability</w:t>
            </w:r>
          </w:p>
        </w:tc>
        <w:tc>
          <w:tcPr>
            <w:tcW w:w="180" w:type="pct"/>
          </w:tcPr>
          <w:p w14:paraId="0DC017B2" w14:textId="77777777" w:rsidR="007C57C2" w:rsidRPr="00D473C6" w:rsidRDefault="007C57C2" w:rsidP="00FC6084">
            <w:pPr>
              <w:spacing w:line="264" w:lineRule="auto"/>
              <w:jc w:val="center"/>
              <w:rPr>
                <w:b/>
              </w:rPr>
            </w:pPr>
            <w:r w:rsidRPr="00D473C6">
              <w:rPr>
                <w:sz w:val="18"/>
                <w:szCs w:val="18"/>
              </w:rPr>
              <w:sym w:font="Wingdings" w:char="F0FC"/>
            </w:r>
          </w:p>
        </w:tc>
        <w:tc>
          <w:tcPr>
            <w:tcW w:w="180" w:type="pct"/>
          </w:tcPr>
          <w:p w14:paraId="1D59C1BC" w14:textId="77777777" w:rsidR="007C57C2" w:rsidRPr="00D473C6" w:rsidRDefault="007C57C2" w:rsidP="00FC6084">
            <w:pPr>
              <w:spacing w:line="264" w:lineRule="auto"/>
              <w:jc w:val="center"/>
              <w:rPr>
                <w:b/>
              </w:rPr>
            </w:pPr>
            <w:r w:rsidRPr="00D473C6">
              <w:rPr>
                <w:sz w:val="18"/>
                <w:szCs w:val="18"/>
              </w:rPr>
              <w:sym w:font="Wingdings" w:char="F0FC"/>
            </w:r>
          </w:p>
        </w:tc>
        <w:tc>
          <w:tcPr>
            <w:tcW w:w="180" w:type="pct"/>
          </w:tcPr>
          <w:p w14:paraId="176A1A5F" w14:textId="77777777" w:rsidR="007C57C2" w:rsidRPr="00D473C6" w:rsidRDefault="007C57C2" w:rsidP="00FC6084">
            <w:pPr>
              <w:spacing w:line="264" w:lineRule="auto"/>
              <w:jc w:val="center"/>
              <w:rPr>
                <w:b/>
              </w:rPr>
            </w:pPr>
          </w:p>
        </w:tc>
        <w:tc>
          <w:tcPr>
            <w:tcW w:w="180" w:type="pct"/>
          </w:tcPr>
          <w:p w14:paraId="5C827684" w14:textId="77777777" w:rsidR="007C57C2" w:rsidRPr="00D473C6" w:rsidRDefault="007C57C2" w:rsidP="00FC6084">
            <w:pPr>
              <w:spacing w:line="264" w:lineRule="auto"/>
              <w:jc w:val="center"/>
              <w:rPr>
                <w:b/>
              </w:rPr>
            </w:pPr>
            <w:r w:rsidRPr="00D473C6">
              <w:rPr>
                <w:sz w:val="18"/>
                <w:szCs w:val="18"/>
              </w:rPr>
              <w:sym w:font="Wingdings" w:char="F0FC"/>
            </w:r>
          </w:p>
        </w:tc>
        <w:tc>
          <w:tcPr>
            <w:tcW w:w="173" w:type="pct"/>
            <w:tcBorders>
              <w:top w:val="nil"/>
              <w:left w:val="single" w:sz="4" w:space="0" w:color="B2B3B5"/>
              <w:bottom w:val="nil"/>
              <w:right w:val="nil"/>
            </w:tcBorders>
            <w:shd w:val="clear" w:color="auto" w:fill="auto"/>
          </w:tcPr>
          <w:p w14:paraId="14099526" w14:textId="77777777" w:rsidR="007C57C2" w:rsidRPr="00D473C6" w:rsidRDefault="007C57C2" w:rsidP="00FC6084">
            <w:pPr>
              <w:spacing w:line="264" w:lineRule="auto"/>
              <w:jc w:val="center"/>
              <w:rPr>
                <w:rFonts w:eastAsia="SimSun"/>
              </w:rPr>
            </w:pPr>
          </w:p>
        </w:tc>
        <w:tc>
          <w:tcPr>
            <w:tcW w:w="1728" w:type="pct"/>
            <w:tcBorders>
              <w:top w:val="nil"/>
              <w:left w:val="nil"/>
              <w:bottom w:val="nil"/>
              <w:right w:val="nil"/>
            </w:tcBorders>
          </w:tcPr>
          <w:p w14:paraId="4EAB9B8F" w14:textId="77777777" w:rsidR="007C57C2" w:rsidRPr="00D473C6" w:rsidRDefault="007C57C2" w:rsidP="00FC6084">
            <w:pPr>
              <w:spacing w:line="264" w:lineRule="auto"/>
              <w:jc w:val="center"/>
              <w:rPr>
                <w:rFonts w:eastAsia="SimSun"/>
              </w:rPr>
            </w:pPr>
          </w:p>
        </w:tc>
        <w:tc>
          <w:tcPr>
            <w:tcW w:w="154" w:type="pct"/>
            <w:tcBorders>
              <w:top w:val="nil"/>
              <w:left w:val="nil"/>
              <w:bottom w:val="nil"/>
              <w:right w:val="nil"/>
            </w:tcBorders>
          </w:tcPr>
          <w:p w14:paraId="287BA51A" w14:textId="77777777" w:rsidR="007C57C2" w:rsidRPr="00D473C6" w:rsidRDefault="007C57C2" w:rsidP="00FC6084">
            <w:pPr>
              <w:spacing w:line="264" w:lineRule="auto"/>
              <w:jc w:val="center"/>
              <w:rPr>
                <w:rFonts w:eastAsia="SimSun"/>
              </w:rPr>
            </w:pPr>
          </w:p>
        </w:tc>
        <w:tc>
          <w:tcPr>
            <w:tcW w:w="154" w:type="pct"/>
            <w:tcBorders>
              <w:top w:val="nil"/>
              <w:left w:val="nil"/>
              <w:bottom w:val="nil"/>
              <w:right w:val="nil"/>
            </w:tcBorders>
          </w:tcPr>
          <w:p w14:paraId="2A799C5B" w14:textId="77777777" w:rsidR="007C57C2" w:rsidRPr="00D473C6" w:rsidRDefault="007C57C2" w:rsidP="00FC6084">
            <w:pPr>
              <w:spacing w:line="264" w:lineRule="auto"/>
              <w:jc w:val="center"/>
              <w:rPr>
                <w:rFonts w:eastAsia="SimSun"/>
              </w:rPr>
            </w:pPr>
          </w:p>
        </w:tc>
        <w:tc>
          <w:tcPr>
            <w:tcW w:w="155" w:type="pct"/>
            <w:tcBorders>
              <w:top w:val="nil"/>
              <w:left w:val="nil"/>
              <w:bottom w:val="nil"/>
              <w:right w:val="nil"/>
            </w:tcBorders>
          </w:tcPr>
          <w:p w14:paraId="16701498" w14:textId="77777777" w:rsidR="007C57C2" w:rsidRPr="00D473C6" w:rsidRDefault="007C57C2" w:rsidP="00FC6084">
            <w:pPr>
              <w:spacing w:line="264" w:lineRule="auto"/>
              <w:jc w:val="center"/>
              <w:rPr>
                <w:rFonts w:eastAsia="SimSun"/>
              </w:rPr>
            </w:pPr>
          </w:p>
        </w:tc>
        <w:tc>
          <w:tcPr>
            <w:tcW w:w="154" w:type="pct"/>
            <w:tcBorders>
              <w:top w:val="nil"/>
              <w:left w:val="nil"/>
              <w:bottom w:val="nil"/>
              <w:right w:val="nil"/>
            </w:tcBorders>
          </w:tcPr>
          <w:p w14:paraId="64D2D446" w14:textId="77777777" w:rsidR="007C57C2" w:rsidRPr="00D473C6" w:rsidRDefault="007C57C2" w:rsidP="00FC6084">
            <w:pPr>
              <w:spacing w:line="264" w:lineRule="auto"/>
              <w:jc w:val="center"/>
              <w:rPr>
                <w:rFonts w:eastAsia="SimSun"/>
              </w:rPr>
            </w:pPr>
          </w:p>
        </w:tc>
      </w:tr>
      <w:tr w:rsidR="007C57C2" w:rsidRPr="00D473C6" w14:paraId="03ADF533" w14:textId="77777777" w:rsidTr="00532CAA">
        <w:trPr>
          <w:trHeight w:val="385"/>
        </w:trPr>
        <w:tc>
          <w:tcPr>
            <w:tcW w:w="1763" w:type="pct"/>
            <w:tcBorders>
              <w:left w:val="single" w:sz="4" w:space="0" w:color="B2B3B5"/>
            </w:tcBorders>
          </w:tcPr>
          <w:p w14:paraId="661AD124" w14:textId="77777777" w:rsidR="007C57C2" w:rsidRPr="00D473C6" w:rsidRDefault="007C57C2" w:rsidP="00FC6084">
            <w:pPr>
              <w:pStyle w:val="Tabletext"/>
            </w:pPr>
            <w:r w:rsidRPr="00D473C6">
              <w:t>Intercultural understanding</w:t>
            </w:r>
          </w:p>
        </w:tc>
        <w:tc>
          <w:tcPr>
            <w:tcW w:w="180" w:type="pct"/>
          </w:tcPr>
          <w:p w14:paraId="2DD63F7A" w14:textId="77777777" w:rsidR="007C57C2" w:rsidRPr="00D473C6" w:rsidRDefault="007C57C2" w:rsidP="00FC6084">
            <w:pPr>
              <w:spacing w:line="264" w:lineRule="auto"/>
              <w:jc w:val="center"/>
              <w:rPr>
                <w:b/>
              </w:rPr>
            </w:pPr>
          </w:p>
        </w:tc>
        <w:tc>
          <w:tcPr>
            <w:tcW w:w="180" w:type="pct"/>
          </w:tcPr>
          <w:p w14:paraId="0F4DE64B" w14:textId="77777777" w:rsidR="007C57C2" w:rsidRPr="00D473C6" w:rsidRDefault="007C57C2" w:rsidP="00FC6084">
            <w:pPr>
              <w:spacing w:line="264" w:lineRule="auto"/>
              <w:jc w:val="center"/>
              <w:rPr>
                <w:b/>
              </w:rPr>
            </w:pPr>
          </w:p>
        </w:tc>
        <w:tc>
          <w:tcPr>
            <w:tcW w:w="180" w:type="pct"/>
          </w:tcPr>
          <w:p w14:paraId="3A887CD9" w14:textId="77777777" w:rsidR="007C57C2" w:rsidRPr="00D473C6" w:rsidRDefault="007C57C2" w:rsidP="00FC6084">
            <w:pPr>
              <w:spacing w:line="264" w:lineRule="auto"/>
              <w:jc w:val="center"/>
              <w:rPr>
                <w:b/>
              </w:rPr>
            </w:pPr>
          </w:p>
        </w:tc>
        <w:tc>
          <w:tcPr>
            <w:tcW w:w="180" w:type="pct"/>
          </w:tcPr>
          <w:p w14:paraId="212A741D" w14:textId="77777777" w:rsidR="007C57C2" w:rsidRPr="00D473C6" w:rsidRDefault="007C57C2" w:rsidP="00FC6084">
            <w:pPr>
              <w:spacing w:line="264" w:lineRule="auto"/>
              <w:jc w:val="center"/>
              <w:rPr>
                <w:b/>
              </w:rPr>
            </w:pPr>
            <w:r w:rsidRPr="00D473C6">
              <w:rPr>
                <w:sz w:val="18"/>
                <w:szCs w:val="18"/>
              </w:rPr>
              <w:sym w:font="Wingdings" w:char="F0FC"/>
            </w:r>
          </w:p>
        </w:tc>
        <w:tc>
          <w:tcPr>
            <w:tcW w:w="173" w:type="pct"/>
            <w:tcBorders>
              <w:top w:val="nil"/>
              <w:left w:val="single" w:sz="4" w:space="0" w:color="B2B3B5"/>
              <w:bottom w:val="nil"/>
              <w:right w:val="nil"/>
            </w:tcBorders>
            <w:shd w:val="clear" w:color="auto" w:fill="auto"/>
          </w:tcPr>
          <w:p w14:paraId="74B549DC" w14:textId="77777777" w:rsidR="007C57C2" w:rsidRPr="00D473C6" w:rsidRDefault="007C57C2" w:rsidP="00FC6084">
            <w:pPr>
              <w:spacing w:line="264" w:lineRule="auto"/>
              <w:jc w:val="center"/>
              <w:rPr>
                <w:b/>
              </w:rPr>
            </w:pPr>
          </w:p>
        </w:tc>
        <w:tc>
          <w:tcPr>
            <w:tcW w:w="1728" w:type="pct"/>
            <w:tcBorders>
              <w:top w:val="nil"/>
              <w:left w:val="nil"/>
              <w:bottom w:val="nil"/>
              <w:right w:val="nil"/>
            </w:tcBorders>
          </w:tcPr>
          <w:p w14:paraId="69DF6824" w14:textId="77777777" w:rsidR="007C57C2" w:rsidRPr="00D473C6" w:rsidRDefault="007C57C2" w:rsidP="00FC6084">
            <w:pPr>
              <w:spacing w:line="264" w:lineRule="auto"/>
              <w:jc w:val="center"/>
              <w:rPr>
                <w:b/>
              </w:rPr>
            </w:pPr>
          </w:p>
        </w:tc>
        <w:tc>
          <w:tcPr>
            <w:tcW w:w="154" w:type="pct"/>
            <w:tcBorders>
              <w:top w:val="nil"/>
              <w:left w:val="nil"/>
              <w:bottom w:val="nil"/>
              <w:right w:val="nil"/>
            </w:tcBorders>
          </w:tcPr>
          <w:p w14:paraId="3AAB2A95" w14:textId="77777777" w:rsidR="007C57C2" w:rsidRPr="00D473C6" w:rsidRDefault="007C57C2" w:rsidP="00FC6084">
            <w:pPr>
              <w:spacing w:line="264" w:lineRule="auto"/>
              <w:jc w:val="center"/>
              <w:rPr>
                <w:b/>
              </w:rPr>
            </w:pPr>
          </w:p>
        </w:tc>
        <w:tc>
          <w:tcPr>
            <w:tcW w:w="154" w:type="pct"/>
            <w:tcBorders>
              <w:top w:val="nil"/>
              <w:left w:val="nil"/>
              <w:bottom w:val="nil"/>
              <w:right w:val="nil"/>
            </w:tcBorders>
          </w:tcPr>
          <w:p w14:paraId="538D797C" w14:textId="77777777" w:rsidR="007C57C2" w:rsidRPr="00D473C6" w:rsidRDefault="007C57C2" w:rsidP="00FC6084">
            <w:pPr>
              <w:spacing w:line="264" w:lineRule="auto"/>
              <w:jc w:val="center"/>
              <w:rPr>
                <w:b/>
              </w:rPr>
            </w:pPr>
          </w:p>
        </w:tc>
        <w:tc>
          <w:tcPr>
            <w:tcW w:w="155" w:type="pct"/>
            <w:tcBorders>
              <w:top w:val="nil"/>
              <w:left w:val="nil"/>
              <w:bottom w:val="nil"/>
              <w:right w:val="nil"/>
            </w:tcBorders>
          </w:tcPr>
          <w:p w14:paraId="757A5E57" w14:textId="77777777" w:rsidR="007C57C2" w:rsidRPr="00D473C6" w:rsidRDefault="007C57C2" w:rsidP="00FC6084">
            <w:pPr>
              <w:spacing w:line="264" w:lineRule="auto"/>
              <w:jc w:val="center"/>
              <w:rPr>
                <w:b/>
              </w:rPr>
            </w:pPr>
          </w:p>
        </w:tc>
        <w:tc>
          <w:tcPr>
            <w:tcW w:w="154" w:type="pct"/>
            <w:tcBorders>
              <w:top w:val="nil"/>
              <w:left w:val="nil"/>
              <w:bottom w:val="nil"/>
              <w:right w:val="nil"/>
            </w:tcBorders>
          </w:tcPr>
          <w:p w14:paraId="728216B4" w14:textId="77777777" w:rsidR="007C57C2" w:rsidRPr="00D473C6" w:rsidRDefault="007C57C2" w:rsidP="00FC6084">
            <w:pPr>
              <w:spacing w:line="264" w:lineRule="auto"/>
              <w:jc w:val="center"/>
              <w:rPr>
                <w:b/>
              </w:rPr>
            </w:pPr>
          </w:p>
        </w:tc>
      </w:tr>
      <w:tr w:rsidR="007C57C2" w:rsidRPr="00D473C6" w14:paraId="2195E3B1" w14:textId="77777777" w:rsidTr="00532CAA">
        <w:trPr>
          <w:trHeight w:val="385"/>
        </w:trPr>
        <w:tc>
          <w:tcPr>
            <w:tcW w:w="1763" w:type="pct"/>
            <w:tcBorders>
              <w:left w:val="single" w:sz="4" w:space="0" w:color="B2B3B5"/>
              <w:bottom w:val="single" w:sz="4" w:space="0" w:color="B2B3B5"/>
            </w:tcBorders>
          </w:tcPr>
          <w:p w14:paraId="43A4581B" w14:textId="77777777" w:rsidR="007C57C2" w:rsidRPr="00D473C6" w:rsidRDefault="007C57C2" w:rsidP="00FC6084">
            <w:pPr>
              <w:pStyle w:val="Tabletext"/>
            </w:pPr>
            <w:r w:rsidRPr="00D473C6">
              <w:t>Ethical understanding</w:t>
            </w:r>
          </w:p>
        </w:tc>
        <w:tc>
          <w:tcPr>
            <w:tcW w:w="180" w:type="pct"/>
            <w:tcBorders>
              <w:bottom w:val="single" w:sz="4" w:space="0" w:color="B2B3B5"/>
            </w:tcBorders>
          </w:tcPr>
          <w:p w14:paraId="12D4CE97" w14:textId="77777777" w:rsidR="007C57C2" w:rsidRPr="00D473C6" w:rsidRDefault="007C57C2" w:rsidP="00FC6084">
            <w:pPr>
              <w:spacing w:line="264" w:lineRule="auto"/>
              <w:jc w:val="center"/>
              <w:rPr>
                <w:b/>
              </w:rPr>
            </w:pPr>
          </w:p>
        </w:tc>
        <w:tc>
          <w:tcPr>
            <w:tcW w:w="180" w:type="pct"/>
            <w:tcBorders>
              <w:bottom w:val="single" w:sz="4" w:space="0" w:color="B2B3B5"/>
            </w:tcBorders>
          </w:tcPr>
          <w:p w14:paraId="090634FA" w14:textId="77777777" w:rsidR="007C57C2" w:rsidRPr="00D473C6" w:rsidRDefault="007C57C2" w:rsidP="00FC6084">
            <w:pPr>
              <w:spacing w:line="264" w:lineRule="auto"/>
              <w:jc w:val="center"/>
              <w:rPr>
                <w:b/>
              </w:rPr>
            </w:pPr>
          </w:p>
        </w:tc>
        <w:tc>
          <w:tcPr>
            <w:tcW w:w="180" w:type="pct"/>
            <w:tcBorders>
              <w:bottom w:val="single" w:sz="4" w:space="0" w:color="B2B3B5"/>
            </w:tcBorders>
          </w:tcPr>
          <w:p w14:paraId="4E2AFE30" w14:textId="77777777" w:rsidR="007C57C2" w:rsidRPr="00D473C6" w:rsidRDefault="007C57C2" w:rsidP="00FC6084">
            <w:pPr>
              <w:spacing w:line="264" w:lineRule="auto"/>
              <w:jc w:val="center"/>
              <w:rPr>
                <w:b/>
              </w:rPr>
            </w:pPr>
          </w:p>
        </w:tc>
        <w:tc>
          <w:tcPr>
            <w:tcW w:w="180" w:type="pct"/>
            <w:tcBorders>
              <w:bottom w:val="single" w:sz="4" w:space="0" w:color="B2B3B5"/>
            </w:tcBorders>
          </w:tcPr>
          <w:p w14:paraId="62664716" w14:textId="77777777" w:rsidR="007C57C2" w:rsidRPr="00D473C6" w:rsidRDefault="007C57C2" w:rsidP="00FC6084">
            <w:pPr>
              <w:spacing w:line="264" w:lineRule="auto"/>
              <w:jc w:val="center"/>
              <w:rPr>
                <w:b/>
              </w:rPr>
            </w:pPr>
            <w:r w:rsidRPr="00D473C6">
              <w:rPr>
                <w:sz w:val="18"/>
                <w:szCs w:val="18"/>
              </w:rPr>
              <w:sym w:font="Wingdings" w:char="F0FC"/>
            </w:r>
          </w:p>
        </w:tc>
        <w:tc>
          <w:tcPr>
            <w:tcW w:w="173" w:type="pct"/>
            <w:tcBorders>
              <w:top w:val="nil"/>
              <w:left w:val="single" w:sz="4" w:space="0" w:color="B2B3B5"/>
              <w:bottom w:val="nil"/>
              <w:right w:val="nil"/>
            </w:tcBorders>
            <w:shd w:val="clear" w:color="auto" w:fill="auto"/>
          </w:tcPr>
          <w:p w14:paraId="08C1F40F" w14:textId="77777777" w:rsidR="007C57C2" w:rsidRPr="00D473C6" w:rsidRDefault="007C57C2" w:rsidP="00FC6084">
            <w:pPr>
              <w:spacing w:line="264" w:lineRule="auto"/>
              <w:jc w:val="center"/>
              <w:rPr>
                <w:rFonts w:eastAsia="SimSun"/>
              </w:rPr>
            </w:pPr>
          </w:p>
        </w:tc>
        <w:tc>
          <w:tcPr>
            <w:tcW w:w="1728" w:type="pct"/>
            <w:tcBorders>
              <w:top w:val="nil"/>
              <w:left w:val="nil"/>
              <w:bottom w:val="nil"/>
              <w:right w:val="nil"/>
            </w:tcBorders>
          </w:tcPr>
          <w:p w14:paraId="13BC877E" w14:textId="77777777" w:rsidR="007C57C2" w:rsidRPr="00D473C6" w:rsidRDefault="007C57C2" w:rsidP="00FC6084">
            <w:pPr>
              <w:spacing w:line="264" w:lineRule="auto"/>
              <w:jc w:val="center"/>
              <w:rPr>
                <w:rFonts w:eastAsia="SimSun"/>
              </w:rPr>
            </w:pPr>
          </w:p>
        </w:tc>
        <w:tc>
          <w:tcPr>
            <w:tcW w:w="154" w:type="pct"/>
            <w:tcBorders>
              <w:top w:val="nil"/>
              <w:left w:val="nil"/>
              <w:bottom w:val="nil"/>
              <w:right w:val="nil"/>
            </w:tcBorders>
          </w:tcPr>
          <w:p w14:paraId="42A6AE69" w14:textId="77777777" w:rsidR="007C57C2" w:rsidRPr="00D473C6" w:rsidRDefault="007C57C2" w:rsidP="00FC6084">
            <w:pPr>
              <w:spacing w:line="264" w:lineRule="auto"/>
              <w:jc w:val="center"/>
              <w:rPr>
                <w:rFonts w:eastAsia="SimSun"/>
              </w:rPr>
            </w:pPr>
          </w:p>
        </w:tc>
        <w:tc>
          <w:tcPr>
            <w:tcW w:w="154" w:type="pct"/>
            <w:tcBorders>
              <w:top w:val="nil"/>
              <w:left w:val="nil"/>
              <w:bottom w:val="nil"/>
              <w:right w:val="nil"/>
            </w:tcBorders>
          </w:tcPr>
          <w:p w14:paraId="0F7DD07C" w14:textId="77777777" w:rsidR="007C57C2" w:rsidRPr="00D473C6" w:rsidRDefault="007C57C2" w:rsidP="00FC6084">
            <w:pPr>
              <w:spacing w:line="264" w:lineRule="auto"/>
              <w:jc w:val="center"/>
              <w:rPr>
                <w:rFonts w:eastAsia="SimSun"/>
              </w:rPr>
            </w:pPr>
          </w:p>
        </w:tc>
        <w:tc>
          <w:tcPr>
            <w:tcW w:w="155" w:type="pct"/>
            <w:tcBorders>
              <w:top w:val="nil"/>
              <w:left w:val="nil"/>
              <w:bottom w:val="nil"/>
              <w:right w:val="nil"/>
            </w:tcBorders>
          </w:tcPr>
          <w:p w14:paraId="68B3CC75" w14:textId="77777777" w:rsidR="007C57C2" w:rsidRPr="00D473C6" w:rsidRDefault="007C57C2" w:rsidP="00FC6084">
            <w:pPr>
              <w:spacing w:line="264" w:lineRule="auto"/>
              <w:jc w:val="center"/>
              <w:rPr>
                <w:rFonts w:eastAsia="SimSun"/>
              </w:rPr>
            </w:pPr>
          </w:p>
        </w:tc>
        <w:tc>
          <w:tcPr>
            <w:tcW w:w="154" w:type="pct"/>
            <w:tcBorders>
              <w:top w:val="nil"/>
              <w:left w:val="nil"/>
              <w:bottom w:val="nil"/>
              <w:right w:val="nil"/>
            </w:tcBorders>
          </w:tcPr>
          <w:p w14:paraId="54B7932C" w14:textId="77777777" w:rsidR="007C57C2" w:rsidRPr="00D473C6" w:rsidRDefault="007C57C2" w:rsidP="00FC6084">
            <w:pPr>
              <w:spacing w:line="264" w:lineRule="auto"/>
              <w:jc w:val="center"/>
              <w:rPr>
                <w:rFonts w:eastAsia="SimSun"/>
              </w:rPr>
            </w:pPr>
          </w:p>
        </w:tc>
      </w:tr>
    </w:tbl>
    <w:p w14:paraId="0E4CB593" w14:textId="77777777" w:rsidR="002D3109" w:rsidRDefault="007C57C2" w:rsidP="002D3109">
      <w:pPr>
        <w:pStyle w:val="Heading1"/>
      </w:pPr>
      <w:r>
        <w:t>Planning considerations</w:t>
      </w:r>
      <w:r w:rsidR="002D3109" w:rsidRPr="00396DD9">
        <w:t xml:space="preserve"> </w:t>
      </w:r>
    </w:p>
    <w:tbl>
      <w:tblPr>
        <w:tblStyle w:val="QCAAtablestyle5"/>
        <w:tblW w:w="5000" w:type="pct"/>
        <w:tblLook w:val="0620" w:firstRow="1" w:lastRow="0" w:firstColumn="0" w:lastColumn="0" w:noHBand="1" w:noVBand="1"/>
      </w:tblPr>
      <w:tblGrid>
        <w:gridCol w:w="20962"/>
      </w:tblGrid>
      <w:tr w:rsidR="002D3109" w14:paraId="63B5236F" w14:textId="77777777" w:rsidTr="004725E5">
        <w:trPr>
          <w:cnfStyle w:val="100000000000" w:firstRow="1" w:lastRow="0" w:firstColumn="0" w:lastColumn="0" w:oddVBand="0" w:evenVBand="0" w:oddHBand="0" w:evenHBand="0" w:firstRowFirstColumn="0" w:firstRowLastColumn="0" w:lastRowFirstColumn="0" w:lastRowLastColumn="0"/>
        </w:trPr>
        <w:tc>
          <w:tcPr>
            <w:tcW w:w="5000" w:type="pct"/>
          </w:tcPr>
          <w:p w14:paraId="2FDE8BB0" w14:textId="77777777" w:rsidR="00116643" w:rsidRPr="00942781" w:rsidRDefault="00116643" w:rsidP="00116643">
            <w:pPr>
              <w:pStyle w:val="TableBullet"/>
              <w:numPr>
                <w:ilvl w:val="0"/>
                <w:numId w:val="0"/>
              </w:numPr>
              <w:ind w:left="170" w:hanging="170"/>
            </w:pPr>
            <w:r>
              <w:t>Prior to implementation the teaching team will consider questions such as:</w:t>
            </w:r>
          </w:p>
          <w:p w14:paraId="07A1BD20" w14:textId="77777777" w:rsidR="002D3109" w:rsidRPr="007732AC" w:rsidRDefault="002D3109" w:rsidP="001C43E5">
            <w:pPr>
              <w:pStyle w:val="TableBullet"/>
            </w:pPr>
            <w:r w:rsidRPr="007732AC">
              <w:t xml:space="preserve">Where has prior and future learning across the year level/band been reflected in the plan? </w:t>
            </w:r>
          </w:p>
          <w:p w14:paraId="62E13476" w14:textId="77777777" w:rsidR="002D3109" w:rsidRPr="007732AC" w:rsidRDefault="002D3109" w:rsidP="001C43E5">
            <w:pPr>
              <w:pStyle w:val="TableBullet"/>
            </w:pPr>
            <w:r w:rsidRPr="007732AC">
              <w:t>Are there adequate opportunities for students to develop depth of conceptual understanding and sophistication of skills across the year level/band?</w:t>
            </w:r>
          </w:p>
          <w:p w14:paraId="74A689C7" w14:textId="77777777" w:rsidR="002D3109" w:rsidRPr="007732AC" w:rsidRDefault="002D3109" w:rsidP="001C43E5">
            <w:pPr>
              <w:pStyle w:val="TableBullet"/>
            </w:pPr>
            <w:r w:rsidRPr="007732AC">
              <w:t>Does the plan ensure adequate opportunities for students to demonstrate the achievement standard/s by the end of the year level/band?</w:t>
            </w:r>
          </w:p>
          <w:p w14:paraId="34007B40" w14:textId="77777777" w:rsidR="002D3109" w:rsidRDefault="002D3109" w:rsidP="001C43E5">
            <w:pPr>
              <w:pStyle w:val="TableBullet"/>
            </w:pPr>
            <w:r w:rsidRPr="007732AC">
              <w:t>Are the timing and demands of the planned assessment appropriate in relation to assessment of other learning areas and subjects taught in this year?</w:t>
            </w:r>
          </w:p>
          <w:p w14:paraId="3739118D" w14:textId="77777777" w:rsidR="001C43E5" w:rsidRPr="007732AC" w:rsidRDefault="001C43E5">
            <w:pPr>
              <w:pStyle w:val="TableBullet"/>
            </w:pPr>
            <w:r>
              <w:t xml:space="preserve">Are there any Indigenous cultural and intellectual property (ICIP) rights to consider? For guidance, see </w:t>
            </w:r>
            <w:hyperlink r:id="rId20" w:history="1">
              <w:r w:rsidRPr="00E638D4">
                <w:rPr>
                  <w:rStyle w:val="Hyperlink"/>
                </w:rPr>
                <w:t>https://smartcopying.edu.au/guidelines/copyright-basics/indigenous-cultural-and-intellectual-property-rights</w:t>
              </w:r>
            </w:hyperlink>
            <w:r>
              <w:t xml:space="preserve">. </w:t>
            </w:r>
          </w:p>
          <w:p w14:paraId="2363206C" w14:textId="77777777" w:rsidR="002D3109" w:rsidRPr="007732AC" w:rsidRDefault="002D3109" w:rsidP="001C43E5">
            <w:pPr>
              <w:pStyle w:val="TableBullet"/>
            </w:pPr>
            <w:r w:rsidRPr="007732AC">
              <w:t xml:space="preserve">Do the assessment techniques and conditions </w:t>
            </w:r>
            <w:r w:rsidR="006F49F9" w:rsidRPr="007732AC">
              <w:t xml:space="preserve">offer </w:t>
            </w:r>
            <w:r w:rsidRPr="007732AC">
              <w:t>a range and balance across the year/band</w:t>
            </w:r>
            <w:r w:rsidR="006F49F9" w:rsidRPr="007732AC">
              <w:t>?</w:t>
            </w:r>
            <w:r w:rsidRPr="007732AC">
              <w:t xml:space="preserve"> </w:t>
            </w:r>
            <w:r w:rsidR="006F49F9" w:rsidRPr="007732AC">
              <w:t xml:space="preserve">What </w:t>
            </w:r>
            <w:r w:rsidRPr="007732AC">
              <w:t>strategies for authentication</w:t>
            </w:r>
            <w:r w:rsidR="006F49F9" w:rsidRPr="007732AC">
              <w:t xml:space="preserve"> are included</w:t>
            </w:r>
            <w:r w:rsidRPr="007732AC">
              <w:t>?</w:t>
            </w:r>
          </w:p>
          <w:p w14:paraId="2CDF8CAD" w14:textId="77777777" w:rsidR="002D3109" w:rsidRPr="007732AC" w:rsidRDefault="002D3109" w:rsidP="001C43E5">
            <w:pPr>
              <w:pStyle w:val="TableBullet"/>
            </w:pPr>
            <w:r w:rsidRPr="007732AC">
              <w:t>What moderation processes will be used</w:t>
            </w:r>
            <w:r w:rsidR="006F49F9" w:rsidRPr="007732AC">
              <w:t>?</w:t>
            </w:r>
            <w:r w:rsidRPr="007732AC">
              <w:t xml:space="preserve"> </w:t>
            </w:r>
            <w:r w:rsidR="006F49F9" w:rsidRPr="007732AC">
              <w:t>W</w:t>
            </w:r>
            <w:r w:rsidRPr="007732AC">
              <w:t>hen will assessment and moderation occur?</w:t>
            </w:r>
          </w:p>
          <w:p w14:paraId="1724A097" w14:textId="36E48392" w:rsidR="002D3109" w:rsidRPr="007732AC" w:rsidRDefault="002D3109" w:rsidP="001C43E5">
            <w:pPr>
              <w:pStyle w:val="TableBullet"/>
            </w:pPr>
            <w:r w:rsidRPr="007732AC">
              <w:t>Is the planned teaching</w:t>
            </w:r>
            <w:r w:rsidR="006F49F9" w:rsidRPr="007732AC">
              <w:t>,</w:t>
            </w:r>
            <w:r w:rsidRPr="007732AC">
              <w:t xml:space="preserve"> learning and assessment </w:t>
            </w:r>
            <w:r w:rsidR="006F49F9" w:rsidRPr="007732AC">
              <w:t xml:space="preserve">sequence </w:t>
            </w:r>
            <w:r w:rsidRPr="007732AC">
              <w:t>appropriate for reporting purposes?</w:t>
            </w:r>
          </w:p>
          <w:p w14:paraId="73318F3A" w14:textId="77777777" w:rsidR="002D3109" w:rsidRPr="007732AC" w:rsidRDefault="002D3109" w:rsidP="001C43E5">
            <w:pPr>
              <w:pStyle w:val="TableBullet"/>
            </w:pPr>
            <w:r w:rsidRPr="007732AC">
              <w:t>Do strategies for differentiation and reasonable adjustments complement the teaching</w:t>
            </w:r>
            <w:r w:rsidR="002D6427" w:rsidRPr="007732AC">
              <w:t>,</w:t>
            </w:r>
            <w:r w:rsidRPr="007732AC">
              <w:t xml:space="preserve"> learning and assessment</w:t>
            </w:r>
            <w:r w:rsidR="002D6427" w:rsidRPr="007732AC">
              <w:t xml:space="preserve"> sequence</w:t>
            </w:r>
            <w:r w:rsidRPr="007732AC">
              <w:t xml:space="preserve">? </w:t>
            </w:r>
          </w:p>
          <w:p w14:paraId="4F50A41F" w14:textId="77777777" w:rsidR="002D3109" w:rsidRPr="00CD2F6D" w:rsidRDefault="002D3109" w:rsidP="001C43E5">
            <w:pPr>
              <w:pStyle w:val="TableBullet"/>
            </w:pPr>
            <w:r w:rsidRPr="007732AC">
              <w:t>How will planned strategies for differentiation and reasonable adjustments impact other year level/band plans?</w:t>
            </w:r>
          </w:p>
        </w:tc>
      </w:tr>
      <w:tr w:rsidR="002D3109" w14:paraId="58C17B3D" w14:textId="77777777" w:rsidTr="004725E5">
        <w:tc>
          <w:tcPr>
            <w:tcW w:w="5000" w:type="pct"/>
          </w:tcPr>
          <w:p w14:paraId="371D41ED" w14:textId="77777777" w:rsidR="007732AC" w:rsidRDefault="00116643" w:rsidP="007732AC">
            <w:pPr>
              <w:pStyle w:val="TableBullet"/>
              <w:numPr>
                <w:ilvl w:val="0"/>
                <w:numId w:val="0"/>
              </w:numPr>
              <w:ind w:left="170" w:hanging="170"/>
            </w:pPr>
            <w:r>
              <w:t>Following implementation, the teaching team will consider questions such as:</w:t>
            </w:r>
          </w:p>
          <w:p w14:paraId="7876EA73" w14:textId="77777777" w:rsidR="002D3109" w:rsidRPr="007732AC" w:rsidRDefault="002D3109" w:rsidP="007732AC">
            <w:pPr>
              <w:pStyle w:val="TableBullet"/>
            </w:pPr>
            <w:r w:rsidRPr="007732AC">
              <w:t>Was the teaching, learning and assessment effective?</w:t>
            </w:r>
          </w:p>
          <w:p w14:paraId="050D3751" w14:textId="77777777" w:rsidR="002D3109" w:rsidRPr="007732AC" w:rsidRDefault="002D3109" w:rsidP="007732AC">
            <w:pPr>
              <w:pStyle w:val="TableBullet"/>
            </w:pPr>
            <w:r w:rsidRPr="007732AC">
              <w:t xml:space="preserve">Are there opportunities to improve the effectiveness of the teaching, learning and assessment? If so, </w:t>
            </w:r>
            <w:r w:rsidR="006D0305" w:rsidRPr="007732AC">
              <w:t>what</w:t>
            </w:r>
            <w:r w:rsidRPr="007732AC">
              <w:t>?</w:t>
            </w:r>
          </w:p>
          <w:p w14:paraId="670FC383" w14:textId="77777777" w:rsidR="002D3109" w:rsidRPr="007732AC" w:rsidRDefault="002D3109" w:rsidP="007732AC">
            <w:pPr>
              <w:pStyle w:val="TableBullet"/>
            </w:pPr>
            <w:r w:rsidRPr="007732AC">
              <w:t>Were there any common student misconceptions that need, or needed, to be clarified?</w:t>
            </w:r>
          </w:p>
          <w:p w14:paraId="62CC756B" w14:textId="77777777" w:rsidR="002D3109" w:rsidRPr="00CD2F6D" w:rsidRDefault="002D3109" w:rsidP="004725E5">
            <w:pPr>
              <w:pStyle w:val="TableBullet"/>
            </w:pPr>
            <w:r w:rsidRPr="007732AC">
              <w:t>How do student outcomes in this year of learning impact on the planning of subsequent year level /band plans?</w:t>
            </w:r>
          </w:p>
        </w:tc>
      </w:tr>
    </w:tbl>
    <w:p w14:paraId="11A1A62F" w14:textId="77777777" w:rsidR="00306525" w:rsidRPr="00306525" w:rsidRDefault="00306525" w:rsidP="00306525"/>
    <w:p w14:paraId="01711672" w14:textId="77777777" w:rsidR="00D94E4F" w:rsidRPr="00D94E4F" w:rsidRDefault="00D94E4F" w:rsidP="00333DEC">
      <w:pPr>
        <w:pStyle w:val="BodyText"/>
        <w:spacing w:before="480"/>
      </w:pPr>
      <w:r w:rsidRPr="00D94E4F">
        <w:rPr>
          <w:noProof/>
        </w:rPr>
        <w:drawing>
          <wp:inline distT="0" distB="0" distL="0" distR="0" wp14:anchorId="56C10895" wp14:editId="467321BB">
            <wp:extent cx="398160" cy="186840"/>
            <wp:effectExtent l="0" t="0" r="1905" b="3810"/>
            <wp:docPr id="5" name="Graphic 5" descr="Creative Commons (CC) licence icons" title="Copyright indicato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1"/>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ED290F4487A049EB9DE3C2FB00275B22"/>
          </w:placeholder>
        </w:sdtPr>
        <w:sdtEndPr/>
        <w:sdtContent>
          <w:r w:rsidR="007C57C2">
            <w:t>202</w:t>
          </w:r>
          <w:r w:rsidR="00E332B3">
            <w:t>1</w:t>
          </w:r>
        </w:sdtContent>
      </w:sdt>
    </w:p>
    <w:bookmarkEnd w:id="3"/>
    <w:p w14:paraId="6A76BDD2" w14:textId="77777777" w:rsidR="00753565" w:rsidRPr="00A30FD9" w:rsidRDefault="00753565" w:rsidP="00753565">
      <w:pPr>
        <w:pStyle w:val="Legalnotice"/>
        <w:rPr>
          <w:b/>
        </w:rPr>
      </w:pPr>
      <w:r w:rsidRPr="00A30FD9">
        <w:t>The</w:t>
      </w:r>
      <w:r w:rsidR="0014766D">
        <w:t xml:space="preserve"> </w:t>
      </w:r>
      <w:sdt>
        <w:sdtPr>
          <w:rPr>
            <w:b/>
            <w:bCs/>
          </w:rPr>
          <w:alias w:val="Document Title"/>
          <w:tag w:val="DocumentTitle"/>
          <w:id w:val="-1394967241"/>
          <w:placeholder>
            <w:docPart w:val="BC4CBA6690894C9599128B669D423AA7"/>
          </w:placeholder>
          <w:dataBinding w:prefixMappings="xmlns:ns0='http://QCAA.qld.edu.au' " w:xpath="/ns0:QCAA[1]/ns0:DocumentTitle[1]" w:storeItemID="{029BFAC3-A859-40E3-910E-708531540F3D}"/>
          <w:text/>
        </w:sdtPr>
        <w:sdtEndPr/>
        <w:sdtContent>
          <w:r w:rsidR="00965A2A">
            <w:rPr>
              <w:b/>
              <w:bCs/>
            </w:rPr>
            <w:t xml:space="preserve">Year 9 Mathematics curriculum and assessment plan </w:t>
          </w:r>
        </w:sdtContent>
      </w:sdt>
      <w:r w:rsidRPr="00A30FD9">
        <w:t>is licensed under the CC BY 4.0 Licence</w:t>
      </w:r>
      <w:r>
        <w:rPr>
          <w:b/>
        </w:rPr>
        <w:t xml:space="preserve">. </w:t>
      </w:r>
      <w:r w:rsidRPr="003D2E09">
        <w:rPr>
          <w:b/>
        </w:rPr>
        <w:t>Licence</w:t>
      </w:r>
      <w:r>
        <w:rPr>
          <w:b/>
        </w:rPr>
        <w:t xml:space="preserve"> URL</w:t>
      </w:r>
      <w:r w:rsidRPr="003D2E09">
        <w:rPr>
          <w:b/>
        </w:rPr>
        <w:t>:</w:t>
      </w:r>
      <w:r w:rsidRPr="003D2E09">
        <w:t xml:space="preserve"> </w:t>
      </w:r>
      <w:hyperlink r:id="rId24" w:history="1">
        <w:r>
          <w:rPr>
            <w:color w:val="0000FF"/>
          </w:rPr>
          <w:t>https://creativecommons.org/licenses/by/4.0</w:t>
        </w:r>
      </w:hyperlink>
    </w:p>
    <w:p w14:paraId="685D1A26" w14:textId="77777777" w:rsidR="00D94E4F" w:rsidRDefault="00753565" w:rsidP="00753565">
      <w:pPr>
        <w:pStyle w:val="Legalnotice"/>
      </w:pPr>
      <w:r>
        <w:t>Australian Curriculum</w:t>
      </w:r>
      <w:r w:rsidR="00F83A3B">
        <w:t xml:space="preserve"> extracts</w:t>
      </w:r>
      <w:r>
        <w:t xml:space="preserve"> are licensed as follows: </w:t>
      </w:r>
      <w:r w:rsidRPr="00A30FD9">
        <w:rPr>
          <w:shd w:val="clear" w:color="auto" w:fill="F7F7F7"/>
        </w:rPr>
        <w:t>© ACARA 2010–2019, licensed under</w:t>
      </w:r>
      <w:r w:rsidRPr="00A30FD9">
        <w:rPr>
          <w:rStyle w:val="Strong"/>
          <w:rFonts w:cstheme="minorHAnsi"/>
          <w:szCs w:val="18"/>
        </w:rPr>
        <w:t> </w:t>
      </w:r>
      <w:hyperlink r:id="rId25" w:history="1">
        <w:r w:rsidRPr="00A30FD9">
          <w:rPr>
            <w:rStyle w:val="Hyperlink"/>
            <w:rFonts w:cstheme="minorHAnsi"/>
            <w:b/>
            <w:bCs/>
            <w:color w:val="auto"/>
            <w:szCs w:val="18"/>
          </w:rPr>
          <w:t>CC BY 4.0</w:t>
        </w:r>
      </w:hyperlink>
      <w:r w:rsidRPr="00A30FD9">
        <w:rPr>
          <w:shd w:val="clear" w:color="auto" w:fill="F7F7F7"/>
        </w:rPr>
        <w:t>. For the latest information and additional terms of use, please check the </w:t>
      </w:r>
      <w:hyperlink r:id="rId26" w:history="1">
        <w:r w:rsidRPr="00A30FD9">
          <w:rPr>
            <w:rStyle w:val="Hyperlink"/>
            <w:rFonts w:cstheme="minorHAnsi"/>
            <w:b/>
            <w:bCs/>
            <w:color w:val="auto"/>
            <w:szCs w:val="18"/>
          </w:rPr>
          <w:t>Australian Curriculum website</w:t>
        </w:r>
      </w:hyperlink>
      <w:r w:rsidRPr="00A30FD9">
        <w:rPr>
          <w:shd w:val="clear" w:color="auto" w:fill="F7F7F7"/>
        </w:rPr>
        <w:t> </w:t>
      </w:r>
      <w:r>
        <w:rPr>
          <w:shd w:val="clear" w:color="auto" w:fill="F7F7F7"/>
        </w:rPr>
        <w:t>(</w:t>
      </w:r>
      <w:r w:rsidRPr="00A30FD9">
        <w:rPr>
          <w:color w:val="0000FF"/>
        </w:rPr>
        <w:t>www.australiancurriculum.edu.au/)</w:t>
      </w:r>
      <w:r>
        <w:rPr>
          <w:rStyle w:val="Strong"/>
          <w:rFonts w:cstheme="minorHAnsi"/>
          <w:szCs w:val="18"/>
        </w:rPr>
        <w:t xml:space="preserve"> </w:t>
      </w:r>
      <w:r w:rsidRPr="00A30FD9">
        <w:rPr>
          <w:shd w:val="clear" w:color="auto" w:fill="F7F7F7"/>
        </w:rPr>
        <w:t>and its </w:t>
      </w:r>
      <w:hyperlink r:id="rId27" w:history="1">
        <w:r w:rsidRPr="00A30FD9">
          <w:rPr>
            <w:rStyle w:val="Hyperlink"/>
            <w:rFonts w:cstheme="minorHAnsi"/>
            <w:b/>
            <w:bCs/>
            <w:color w:val="auto"/>
            <w:szCs w:val="18"/>
          </w:rPr>
          <w:t>copyright notice</w:t>
        </w:r>
      </w:hyperlink>
      <w:r>
        <w:rPr>
          <w:rStyle w:val="Strong"/>
          <w:rFonts w:cstheme="minorHAnsi"/>
          <w:szCs w:val="18"/>
        </w:rPr>
        <w:t xml:space="preserve"> </w:t>
      </w:r>
      <w:r w:rsidRPr="00A30FD9">
        <w:rPr>
          <w:rStyle w:val="Strong"/>
          <w:rFonts w:cstheme="minorHAnsi"/>
          <w:b w:val="0"/>
          <w:bCs w:val="0"/>
          <w:szCs w:val="18"/>
        </w:rPr>
        <w:t>(</w:t>
      </w:r>
      <w:r w:rsidRPr="00A30FD9">
        <w:rPr>
          <w:color w:val="0000FF"/>
        </w:rPr>
        <w:t>www.australiancurriculum.edu.au/copyright-and-terms-of-use</w:t>
      </w:r>
      <w:r w:rsidRPr="00A30FD9">
        <w:rPr>
          <w:rStyle w:val="Strong"/>
          <w:rFonts w:cstheme="minorHAnsi"/>
          <w:b w:val="0"/>
          <w:bCs w:val="0"/>
          <w:szCs w:val="18"/>
        </w:rPr>
        <w:t>)</w:t>
      </w:r>
      <w:r w:rsidRPr="00A30FD9">
        <w:rPr>
          <w:shd w:val="clear" w:color="auto" w:fill="F7F7F7"/>
        </w:rPr>
        <w:t>.</w:t>
      </w:r>
    </w:p>
    <w:sectPr w:rsidR="00D94E4F" w:rsidSect="000C1CBA">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60F51" w14:textId="77777777" w:rsidR="00D71C52" w:rsidRDefault="00D71C52" w:rsidP="00185154">
      <w:r>
        <w:separator/>
      </w:r>
    </w:p>
    <w:p w14:paraId="5BF6840B" w14:textId="77777777" w:rsidR="00D71C52" w:rsidRDefault="00D71C52"/>
    <w:p w14:paraId="1B34903C" w14:textId="77777777" w:rsidR="00D71C52" w:rsidRDefault="00D71C52"/>
  </w:endnote>
  <w:endnote w:type="continuationSeparator" w:id="0">
    <w:p w14:paraId="48714275" w14:textId="77777777" w:rsidR="00D71C52" w:rsidRDefault="00D71C52" w:rsidP="00185154">
      <w:r>
        <w:continuationSeparator/>
      </w:r>
    </w:p>
    <w:p w14:paraId="3C0F6BA1" w14:textId="77777777" w:rsidR="00D71C52" w:rsidRDefault="00D71C52"/>
    <w:p w14:paraId="36A0D342" w14:textId="77777777" w:rsidR="00D71C52" w:rsidRDefault="00D71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5A705" w14:textId="77777777" w:rsidR="00051A63" w:rsidRDefault="00051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1"/>
      <w:tblW w:w="5542" w:type="pct"/>
      <w:tblInd w:w="-1134" w:type="dxa"/>
      <w:tblLook w:val="04A0" w:firstRow="1" w:lastRow="0" w:firstColumn="1" w:lastColumn="0" w:noHBand="0" w:noVBand="1"/>
    </w:tblPr>
    <w:tblGrid>
      <w:gridCol w:w="22989"/>
      <w:gridCol w:w="256"/>
    </w:tblGrid>
    <w:tr w:rsidR="006E09FA" w:rsidRPr="00454DE4" w14:paraId="0CB26364" w14:textId="77777777" w:rsidTr="00FA5661">
      <w:trPr>
        <w:cantSplit/>
        <w:trHeight w:val="964"/>
      </w:trPr>
      <w:tc>
        <w:tcPr>
          <w:tcW w:w="22988" w:type="dxa"/>
          <w:vAlign w:val="bottom"/>
          <w:hideMark/>
        </w:tcPr>
        <w:p w14:paraId="5FF6B2AE" w14:textId="77777777" w:rsidR="006E09FA" w:rsidRPr="00454DE4" w:rsidRDefault="006E09FA" w:rsidP="00E15D6B">
          <w:pPr>
            <w:spacing w:after="220" w:line="264" w:lineRule="auto"/>
            <w:jc w:val="right"/>
            <w:rPr>
              <w:rFonts w:eastAsia="Times New Roman"/>
              <w:color w:val="808080"/>
              <w:sz w:val="10"/>
              <w:szCs w:val="10"/>
            </w:rPr>
          </w:pPr>
          <w:bookmarkStart w:id="2" w:name="_Hlk84411201"/>
          <w:r>
            <w:rPr>
              <w:noProof/>
            </w:rPr>
            <w:drawing>
              <wp:inline distT="0" distB="0" distL="0" distR="0" wp14:anchorId="6F4DC987" wp14:editId="7AD1C09C">
                <wp:extent cx="399600" cy="187200"/>
                <wp:effectExtent l="0" t="0" r="63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9600" cy="187200"/>
                        </a:xfrm>
                        <a:prstGeom prst="rect">
                          <a:avLst/>
                        </a:prstGeom>
                      </pic:spPr>
                    </pic:pic>
                  </a:graphicData>
                </a:graphic>
              </wp:inline>
            </w:drawing>
          </w:r>
        </w:p>
      </w:tc>
      <w:tc>
        <w:tcPr>
          <w:tcW w:w="255" w:type="dxa"/>
          <w:textDirection w:val="btLr"/>
          <w:vAlign w:val="bottom"/>
        </w:tcPr>
        <w:p w14:paraId="1631B9D2" w14:textId="3FDDE6FC" w:rsidR="006E09FA" w:rsidRPr="00454DE4" w:rsidRDefault="00F47C3E" w:rsidP="00E15D6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227003">
                <w:rPr>
                  <w:rFonts w:eastAsia="Times New Roman"/>
                  <w:color w:val="808080"/>
                  <w:sz w:val="10"/>
                  <w:szCs w:val="10"/>
                </w:rPr>
                <w:t>210142</w:t>
              </w:r>
            </w:sdtContent>
          </w:sdt>
        </w:p>
      </w:tc>
    </w:tr>
    <w:bookmarkEnd w:id="2"/>
    <w:tr w:rsidR="006E09FA" w:rsidRPr="00454DE4" w14:paraId="192FB4F1" w14:textId="77777777" w:rsidTr="00FA5661">
      <w:trPr>
        <w:trHeight w:val="227"/>
      </w:trPr>
      <w:tc>
        <w:tcPr>
          <w:tcW w:w="23244" w:type="dxa"/>
          <w:gridSpan w:val="2"/>
          <w:vAlign w:val="center"/>
        </w:tcPr>
        <w:p w14:paraId="329BAC5A" w14:textId="77777777" w:rsidR="006E09FA" w:rsidRPr="00454DE4" w:rsidRDefault="006E09FA" w:rsidP="00454DE4">
          <w:pPr>
            <w:tabs>
              <w:tab w:val="right" w:pos="9639"/>
            </w:tabs>
            <w:spacing w:line="264" w:lineRule="auto"/>
            <w:jc w:val="center"/>
            <w:rPr>
              <w:b/>
              <w:color w:val="1E1E1E"/>
              <w:sz w:val="16"/>
            </w:rPr>
          </w:pPr>
        </w:p>
      </w:tc>
    </w:tr>
  </w:tbl>
  <w:p w14:paraId="563D3686" w14:textId="77777777" w:rsidR="006E09FA" w:rsidRPr="00454DE4" w:rsidRDefault="006E09FA" w:rsidP="00454DE4">
    <w:pPr>
      <w:rPr>
        <w:rFonts w:ascii="Arial" w:eastAsia="Arial" w:hAnsi="Arial" w:cs="Times New Roman"/>
      </w:rPr>
    </w:pPr>
    <w:r>
      <w:rPr>
        <w:rFonts w:ascii="Arial" w:eastAsia="Arial" w:hAnsi="Arial" w:cs="Times New Roman"/>
        <w:noProof/>
      </w:rPr>
      <w:drawing>
        <wp:anchor distT="0" distB="0" distL="114300" distR="114300" simplePos="0" relativeHeight="251660288" behindDoc="1" locked="0" layoutInCell="1" allowOverlap="1" wp14:anchorId="2B519A6E" wp14:editId="749E4553">
          <wp:simplePos x="0" y="0"/>
          <wp:positionH relativeFrom="page">
            <wp:posOffset>0</wp:posOffset>
          </wp:positionH>
          <wp:positionV relativeFrom="page">
            <wp:align>bottom</wp:align>
          </wp:positionV>
          <wp:extent cx="15120000" cy="761400"/>
          <wp:effectExtent l="0" t="0" r="0" b="0"/>
          <wp:wrapNone/>
          <wp:docPr id="3" name="Graphic 3"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CAA_footer_col_RGB for word_A3-landscape.svg"/>
                  <pic:cNvPicPr/>
                </pic:nvPicPr>
                <pic:blipFill>
                  <a:blip r:embed="rId4">
                    <a:extLst>
                      <a:ext uri="{96DAC541-7B7A-43D3-8B79-37D633B846F1}">
                        <asvg:svgBlip xmlns:asvg="http://schemas.microsoft.com/office/drawing/2016/SVG/main" r:embed="rId5"/>
                      </a:ext>
                    </a:extLst>
                  </a:blip>
                  <a:stretch>
                    <a:fillRect/>
                  </a:stretch>
                </pic:blipFill>
                <pic:spPr>
                  <a:xfrm>
                    <a:off x="0" y="0"/>
                    <a:ext cx="15120000" cy="761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
      <w:tblW w:w="10149" w:type="dxa"/>
      <w:tblLook w:val="04A0" w:firstRow="1" w:lastRow="0" w:firstColumn="1" w:lastColumn="0" w:noHBand="0" w:noVBand="1"/>
    </w:tblPr>
    <w:tblGrid>
      <w:gridCol w:w="4504"/>
      <w:gridCol w:w="5645"/>
    </w:tblGrid>
    <w:tr w:rsidR="006E09FA" w:rsidRPr="00C9759C" w14:paraId="79933DCA" w14:textId="77777777" w:rsidTr="00C9759C">
      <w:trPr>
        <w:cantSplit/>
        <w:trHeight w:val="856"/>
      </w:trPr>
      <w:tc>
        <w:tcPr>
          <w:tcW w:w="4530" w:type="dxa"/>
        </w:tcPr>
        <w:p w14:paraId="0CC2A030" w14:textId="77777777" w:rsidR="006E09FA" w:rsidRDefault="006E09FA" w:rsidP="00346472">
          <w:pPr>
            <w:pStyle w:val="Footer"/>
            <w:rPr>
              <w:b w:val="0"/>
              <w:color w:val="6F7378"/>
              <w:sz w:val="10"/>
              <w:szCs w:val="10"/>
            </w:rPr>
          </w:pPr>
        </w:p>
      </w:tc>
      <w:tc>
        <w:tcPr>
          <w:tcW w:w="5676" w:type="dxa"/>
          <w:shd w:val="clear" w:color="auto" w:fill="auto"/>
          <w:textDirection w:val="btLr"/>
          <w:vAlign w:val="bottom"/>
        </w:tcPr>
        <w:p w14:paraId="218800CB" w14:textId="0FC73F13" w:rsidR="006E09FA" w:rsidRPr="00C9759C" w:rsidRDefault="006E09FA" w:rsidP="00C9759C">
          <w:pPr>
            <w:pStyle w:val="Jobnumber"/>
          </w:pPr>
          <w:r w:rsidRPr="00C9759C">
            <w:sym w:font="Wingdings" w:char="F06E"/>
          </w:r>
          <w:r w:rsidRPr="00C9759C">
            <w:t xml:space="preserve"> </w:t>
          </w:r>
          <w:sdt>
            <w:sdtPr>
              <w:alias w:val="Job No."/>
              <w:tag w:val="Category"/>
              <w:id w:val="-1470814945"/>
              <w:placeholder>
                <w:docPart w:val="B6AC49C0B94B41208755B873882C373F"/>
              </w:placeholder>
              <w:dataBinding w:prefixMappings="xmlns:ns0='http://purl.org/dc/elements/1.1/' xmlns:ns1='http://schemas.openxmlformats.org/package/2006/metadata/core-properties' " w:xpath="/ns1:coreProperties[1]/ns1:category[1]" w:storeItemID="{6C3C8BC8-F283-45AE-878A-BAB7291924A1}"/>
              <w:text/>
            </w:sdtPr>
            <w:sdtEndPr/>
            <w:sdtContent>
              <w:r w:rsidR="00227003">
                <w:t>210142</w:t>
              </w:r>
            </w:sdtContent>
          </w:sdt>
        </w:p>
      </w:tc>
    </w:tr>
    <w:tr w:rsidR="006E09FA" w14:paraId="5011F22F" w14:textId="77777777" w:rsidTr="00346472">
      <w:trPr>
        <w:trHeight w:val="532"/>
      </w:trPr>
      <w:tc>
        <w:tcPr>
          <w:tcW w:w="4530" w:type="dxa"/>
        </w:tcPr>
        <w:p w14:paraId="20B66A9E" w14:textId="77777777" w:rsidR="006E09FA" w:rsidRDefault="006E09FA" w:rsidP="00346472">
          <w:pPr>
            <w:pStyle w:val="Footer"/>
            <w:rPr>
              <w:b w:val="0"/>
              <w:color w:val="6F7378"/>
              <w:sz w:val="10"/>
              <w:szCs w:val="10"/>
            </w:rPr>
          </w:pPr>
        </w:p>
      </w:tc>
      <w:tc>
        <w:tcPr>
          <w:tcW w:w="5676" w:type="dxa"/>
        </w:tcPr>
        <w:p w14:paraId="1124E92C" w14:textId="77777777" w:rsidR="006E09FA" w:rsidRDefault="006E09FA" w:rsidP="00346472">
          <w:pPr>
            <w:pStyle w:val="Footer"/>
            <w:rPr>
              <w:b w:val="0"/>
              <w:color w:val="6F7378"/>
              <w:sz w:val="10"/>
              <w:szCs w:val="10"/>
            </w:rPr>
          </w:pPr>
        </w:p>
      </w:tc>
    </w:tr>
  </w:tbl>
  <w:p w14:paraId="5B84CD90" w14:textId="77777777" w:rsidR="006E09FA" w:rsidRPr="00346472" w:rsidRDefault="006E09FA"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76D67969" wp14:editId="1CFC9F84">
          <wp:simplePos x="898543" y="9297281"/>
          <wp:positionH relativeFrom="page">
            <wp:align>left</wp:align>
          </wp:positionH>
          <wp:positionV relativeFrom="page">
            <wp:align>bottom</wp:align>
          </wp:positionV>
          <wp:extent cx="7574400" cy="11268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6E09FA" w14:paraId="3092AE19" w14:textId="77777777" w:rsidTr="00AB33F6">
      <w:tc>
        <w:tcPr>
          <w:tcW w:w="2500" w:type="pct"/>
          <w:noWrap/>
          <w:hideMark/>
        </w:tcPr>
        <w:p w14:paraId="6F805291" w14:textId="77777777" w:rsidR="006E09FA" w:rsidRPr="002E6121" w:rsidRDefault="00F47C3E" w:rsidP="00B64090">
          <w:pPr>
            <w:pStyle w:val="Footer"/>
          </w:pPr>
          <w:sdt>
            <w:sdtPr>
              <w:alias w:val="Document Title"/>
              <w:tag w:val="DocumentTitle"/>
              <w:id w:val="-1800144886"/>
              <w:placeholder>
                <w:docPart w:val="1F078801F2CC4BFEA3D8A2DF0E831F47"/>
              </w:placeholder>
              <w:dataBinding w:prefixMappings="xmlns:ns0='http://QCAA.qld.edu.au' " w:xpath="/ns0:QCAA[1]/ns0:DocumentTitle[1]" w:storeItemID="{029BFAC3-A859-40E3-910E-708531540F3D}"/>
              <w:text/>
            </w:sdtPr>
            <w:sdtEndPr/>
            <w:sdtContent>
              <w:r w:rsidR="006E09FA">
                <w:t xml:space="preserve">Year 9 Mathematics curriculum and assessment plan </w:t>
              </w:r>
            </w:sdtContent>
          </w:sdt>
        </w:p>
        <w:sdt>
          <w:sdtPr>
            <w:alias w:val="Document Subtitle"/>
            <w:tag w:val="DocumentSubtitle"/>
            <w:id w:val="415823483"/>
            <w:placeholder>
              <w:docPart w:val="CA93BDDEE0F94CA6A8E16F83E1038B95"/>
            </w:placeholder>
            <w:dataBinding w:prefixMappings="xmlns:ns0='http://QCAA.qld.edu.au' " w:xpath="/ns0:QCAA[1]/ns0:DocumentSubtitle[1]" w:storeItemID="{ECF99190-FDC9-4DC7-BF4D-418697363580}"/>
            <w:text/>
          </w:sdtPr>
          <w:sdtEndPr/>
          <w:sdtContent>
            <w:p w14:paraId="28EC7286" w14:textId="77777777" w:rsidR="006E09FA" w:rsidRPr="001C5273" w:rsidRDefault="006E09FA" w:rsidP="001C5273">
              <w:pPr>
                <w:pStyle w:val="Footersubtitle"/>
                <w:rPr>
                  <w:iCs/>
                  <w:color w:val="auto"/>
                  <w:sz w:val="21"/>
                </w:rPr>
              </w:pPr>
              <w:r>
                <w:t xml:space="preserve">Example </w:t>
              </w:r>
            </w:p>
          </w:sdtContent>
        </w:sdt>
      </w:tc>
      <w:tc>
        <w:tcPr>
          <w:tcW w:w="2500" w:type="pct"/>
          <w:hideMark/>
        </w:tcPr>
        <w:p w14:paraId="11F23D3F" w14:textId="77777777" w:rsidR="006E09FA" w:rsidRDefault="006E09FA" w:rsidP="00B64090">
          <w:pPr>
            <w:pStyle w:val="Footer"/>
            <w:jc w:val="right"/>
          </w:pPr>
          <w:r>
            <w:t>Queensland Curriculum &amp; Assessment Authority</w:t>
          </w:r>
        </w:p>
        <w:sdt>
          <w:sdtPr>
            <w:alias w:val="Publication Date"/>
            <w:tag w:val="DocumentDate"/>
            <w:id w:val="-1402664508"/>
            <w:placeholder>
              <w:docPart w:val="005ABC789FEC4A3C8F5E5A7BA48C0F29"/>
            </w:placeholder>
            <w:dataBinding w:prefixMappings="xmlns:ns0='http://QCAA.qld.edu.au' " w:xpath="/ns0:QCAA[1]/ns0:DocumentDate[1]" w:storeItemID="{029BFAC3-A859-40E3-910E-708531540F3D}"/>
            <w:date w:fullDate="2021-10-06T00:00:00Z">
              <w:dateFormat w:val="MMMM yyyy"/>
              <w:lid w:val="en-AU"/>
              <w:storeMappedDataAs w:val="dateTime"/>
              <w:calendar w:val="gregorian"/>
            </w:date>
          </w:sdtPr>
          <w:sdtEndPr/>
          <w:sdtContent>
            <w:p w14:paraId="15246711" w14:textId="20218478" w:rsidR="006E09FA" w:rsidRDefault="001B0058" w:rsidP="00B64090">
              <w:pPr>
                <w:pStyle w:val="Footersubtitle"/>
                <w:jc w:val="right"/>
              </w:pPr>
              <w:r>
                <w:t>October 2021</w:t>
              </w:r>
            </w:p>
          </w:sdtContent>
        </w:sdt>
      </w:tc>
    </w:tr>
    <w:tr w:rsidR="006E09FA" w14:paraId="2739DBF8"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62DD465" w14:textId="77777777" w:rsidR="006E09FA" w:rsidRDefault="006E09FA"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B622C0">
                <w:rPr>
                  <w:noProof/>
                  <w:sz w:val="18"/>
                </w:rPr>
                <w:t>4</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B622C0">
                <w:rPr>
                  <w:b w:val="0"/>
                  <w:noProof/>
                  <w:sz w:val="18"/>
                </w:rPr>
                <w:t>4</w:t>
              </w:r>
              <w:r>
                <w:rPr>
                  <w:b w:val="0"/>
                  <w:sz w:val="18"/>
                </w:rPr>
                <w:fldChar w:fldCharType="end"/>
              </w:r>
            </w:p>
          </w:sdtContent>
        </w:sdt>
      </w:tc>
    </w:tr>
  </w:tbl>
  <w:p w14:paraId="71B87230" w14:textId="77777777" w:rsidR="006E09FA" w:rsidRDefault="006E09FA"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1E876" w14:textId="77777777" w:rsidR="00D71C52" w:rsidRPr="001B4733" w:rsidRDefault="00D71C52" w:rsidP="001B4733">
      <w:pPr>
        <w:rPr>
          <w:color w:val="D52B1E" w:themeColor="text2"/>
        </w:rPr>
      </w:pPr>
      <w:r w:rsidRPr="001B4733">
        <w:rPr>
          <w:color w:val="D52B1E" w:themeColor="text2"/>
        </w:rPr>
        <w:continuationSeparator/>
      </w:r>
    </w:p>
    <w:p w14:paraId="7A9FD56C" w14:textId="77777777" w:rsidR="00D71C52" w:rsidRPr="001B4733" w:rsidRDefault="00D71C52">
      <w:pPr>
        <w:rPr>
          <w:sz w:val="4"/>
          <w:szCs w:val="4"/>
        </w:rPr>
      </w:pPr>
    </w:p>
  </w:footnote>
  <w:footnote w:type="continuationSeparator" w:id="0">
    <w:p w14:paraId="7DC41B2C" w14:textId="77777777" w:rsidR="00D71C52" w:rsidRPr="001B4733" w:rsidRDefault="00D71C52" w:rsidP="00185154">
      <w:pPr>
        <w:rPr>
          <w:color w:val="D52B1E" w:themeColor="text2"/>
        </w:rPr>
      </w:pPr>
      <w:r w:rsidRPr="001B4733">
        <w:rPr>
          <w:color w:val="D52B1E" w:themeColor="text2"/>
        </w:rPr>
        <w:continuationSeparator/>
      </w:r>
    </w:p>
    <w:p w14:paraId="675353C7" w14:textId="77777777" w:rsidR="00D71C52" w:rsidRPr="001B4733" w:rsidRDefault="00D71C52">
      <w:pPr>
        <w:rPr>
          <w:sz w:val="4"/>
          <w:szCs w:val="4"/>
        </w:rPr>
      </w:pPr>
    </w:p>
  </w:footnote>
  <w:footnote w:type="continuationNotice" w:id="1">
    <w:p w14:paraId="6511DFE1" w14:textId="77777777" w:rsidR="00D71C52" w:rsidRPr="001B4733" w:rsidRDefault="00D71C5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41DC6" w14:textId="77777777" w:rsidR="00051A63" w:rsidRDefault="00051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BB2BA" w14:textId="77777777" w:rsidR="00051A63" w:rsidRDefault="00051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9C113" w14:textId="77777777" w:rsidR="00051A63" w:rsidRDefault="00051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FE33947"/>
    <w:multiLevelType w:val="multilevel"/>
    <w:tmpl w:val="25A6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16"/>
  </w:num>
  <w:num w:numId="2">
    <w:abstractNumId w:val="2"/>
  </w:num>
  <w:num w:numId="3">
    <w:abstractNumId w:val="0"/>
  </w:num>
  <w:num w:numId="4">
    <w:abstractNumId w:val="6"/>
  </w:num>
  <w:num w:numId="5">
    <w:abstractNumId w:val="5"/>
  </w:num>
  <w:num w:numId="6">
    <w:abstractNumId w:val="7"/>
  </w:num>
  <w:num w:numId="7">
    <w:abstractNumId w:val="1"/>
  </w:num>
  <w:num w:numId="8">
    <w:abstractNumId w:val="8"/>
  </w:num>
  <w:num w:numId="9">
    <w:abstractNumId w:val="14"/>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4"/>
  </w:num>
  <w:num w:numId="15">
    <w:abstractNumId w:val="11"/>
  </w:num>
  <w:num w:numId="16">
    <w:abstractNumId w:val="3"/>
  </w:num>
  <w:num w:numId="17">
    <w:abstractNumId w:val="0"/>
  </w:num>
  <w:num w:numId="18">
    <w:abstractNumId w:val="10"/>
  </w:num>
  <w:num w:numId="19">
    <w:abstractNumId w:val="6"/>
  </w:num>
  <w:num w:numId="20">
    <w:abstractNumId w:val="12"/>
  </w:num>
  <w:num w:numId="21">
    <w:abstractNumId w:val="5"/>
  </w:num>
  <w:num w:numId="22">
    <w:abstractNumId w:val="6"/>
  </w:num>
  <w:num w:numId="23">
    <w:abstractNumId w:val="9"/>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attachedTemplate r:id="rId1"/>
  <w:defaultTabStop w:val="720"/>
  <w:doNotShadeFormData/>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02"/>
    <w:rsid w:val="0000270B"/>
    <w:rsid w:val="000032EE"/>
    <w:rsid w:val="000048C9"/>
    <w:rsid w:val="00004CC6"/>
    <w:rsid w:val="00005994"/>
    <w:rsid w:val="00006100"/>
    <w:rsid w:val="00010A6B"/>
    <w:rsid w:val="0001124C"/>
    <w:rsid w:val="00011E8D"/>
    <w:rsid w:val="000120D7"/>
    <w:rsid w:val="00025175"/>
    <w:rsid w:val="00035427"/>
    <w:rsid w:val="00037481"/>
    <w:rsid w:val="00041298"/>
    <w:rsid w:val="0004459E"/>
    <w:rsid w:val="000463BF"/>
    <w:rsid w:val="000504FF"/>
    <w:rsid w:val="00050F57"/>
    <w:rsid w:val="00051A63"/>
    <w:rsid w:val="00062C3E"/>
    <w:rsid w:val="00066432"/>
    <w:rsid w:val="000679B2"/>
    <w:rsid w:val="00071C7D"/>
    <w:rsid w:val="000720BB"/>
    <w:rsid w:val="00076F97"/>
    <w:rsid w:val="00077F2D"/>
    <w:rsid w:val="0008460B"/>
    <w:rsid w:val="000870BB"/>
    <w:rsid w:val="000871A4"/>
    <w:rsid w:val="00087D93"/>
    <w:rsid w:val="00090A56"/>
    <w:rsid w:val="000948F5"/>
    <w:rsid w:val="000A658E"/>
    <w:rsid w:val="000B155D"/>
    <w:rsid w:val="000B3EBE"/>
    <w:rsid w:val="000B6FA1"/>
    <w:rsid w:val="000C008E"/>
    <w:rsid w:val="000C0C22"/>
    <w:rsid w:val="000C1CBA"/>
    <w:rsid w:val="000C1D1E"/>
    <w:rsid w:val="000C796E"/>
    <w:rsid w:val="000C7AF5"/>
    <w:rsid w:val="000C7DA6"/>
    <w:rsid w:val="000D0A76"/>
    <w:rsid w:val="000D1107"/>
    <w:rsid w:val="000D53AA"/>
    <w:rsid w:val="000E1250"/>
    <w:rsid w:val="000E285A"/>
    <w:rsid w:val="000F425C"/>
    <w:rsid w:val="000F4A35"/>
    <w:rsid w:val="0010405A"/>
    <w:rsid w:val="00105DA6"/>
    <w:rsid w:val="001063C6"/>
    <w:rsid w:val="00110F66"/>
    <w:rsid w:val="00111674"/>
    <w:rsid w:val="00114620"/>
    <w:rsid w:val="00115EC2"/>
    <w:rsid w:val="001164CC"/>
    <w:rsid w:val="00116643"/>
    <w:rsid w:val="00117B97"/>
    <w:rsid w:val="00120242"/>
    <w:rsid w:val="00130F9E"/>
    <w:rsid w:val="0013218E"/>
    <w:rsid w:val="00136F3F"/>
    <w:rsid w:val="00145CCD"/>
    <w:rsid w:val="0014766D"/>
    <w:rsid w:val="001505D8"/>
    <w:rsid w:val="00154790"/>
    <w:rsid w:val="00156423"/>
    <w:rsid w:val="001600E5"/>
    <w:rsid w:val="001605B8"/>
    <w:rsid w:val="0016205A"/>
    <w:rsid w:val="00162196"/>
    <w:rsid w:val="00164F2B"/>
    <w:rsid w:val="00165034"/>
    <w:rsid w:val="001672A7"/>
    <w:rsid w:val="001774EC"/>
    <w:rsid w:val="00182792"/>
    <w:rsid w:val="001829A7"/>
    <w:rsid w:val="00185154"/>
    <w:rsid w:val="0019114D"/>
    <w:rsid w:val="001912AF"/>
    <w:rsid w:val="00194EA7"/>
    <w:rsid w:val="001A5839"/>
    <w:rsid w:val="001A5EEA"/>
    <w:rsid w:val="001A6BE8"/>
    <w:rsid w:val="001A73CA"/>
    <w:rsid w:val="001B0058"/>
    <w:rsid w:val="001B1933"/>
    <w:rsid w:val="001B1D01"/>
    <w:rsid w:val="001B3BAE"/>
    <w:rsid w:val="001B4733"/>
    <w:rsid w:val="001C43E5"/>
    <w:rsid w:val="001C497D"/>
    <w:rsid w:val="001C5273"/>
    <w:rsid w:val="001E33A3"/>
    <w:rsid w:val="001F16CA"/>
    <w:rsid w:val="001F275F"/>
    <w:rsid w:val="001F2AD3"/>
    <w:rsid w:val="001F4D02"/>
    <w:rsid w:val="001F6AB0"/>
    <w:rsid w:val="00202829"/>
    <w:rsid w:val="0020646A"/>
    <w:rsid w:val="002078C1"/>
    <w:rsid w:val="002106C4"/>
    <w:rsid w:val="00210DEF"/>
    <w:rsid w:val="00211E11"/>
    <w:rsid w:val="00220FF4"/>
    <w:rsid w:val="00222215"/>
    <w:rsid w:val="0022393A"/>
    <w:rsid w:val="00227003"/>
    <w:rsid w:val="0025119D"/>
    <w:rsid w:val="00252201"/>
    <w:rsid w:val="00254DD8"/>
    <w:rsid w:val="00256A64"/>
    <w:rsid w:val="00260CF9"/>
    <w:rsid w:val="00261E1A"/>
    <w:rsid w:val="00266880"/>
    <w:rsid w:val="00270784"/>
    <w:rsid w:val="002745E2"/>
    <w:rsid w:val="00275ED9"/>
    <w:rsid w:val="00284BE2"/>
    <w:rsid w:val="0028764B"/>
    <w:rsid w:val="0029216D"/>
    <w:rsid w:val="00292DD8"/>
    <w:rsid w:val="002A58E7"/>
    <w:rsid w:val="002B0BB3"/>
    <w:rsid w:val="002B1D93"/>
    <w:rsid w:val="002B27C3"/>
    <w:rsid w:val="002B37DC"/>
    <w:rsid w:val="002B4003"/>
    <w:rsid w:val="002C5098"/>
    <w:rsid w:val="002C5B1C"/>
    <w:rsid w:val="002D3109"/>
    <w:rsid w:val="002D3802"/>
    <w:rsid w:val="002D41CE"/>
    <w:rsid w:val="002D4254"/>
    <w:rsid w:val="002D4E6E"/>
    <w:rsid w:val="002D6427"/>
    <w:rsid w:val="002D704B"/>
    <w:rsid w:val="002D750D"/>
    <w:rsid w:val="002D7769"/>
    <w:rsid w:val="002E4C37"/>
    <w:rsid w:val="002E5482"/>
    <w:rsid w:val="002E6121"/>
    <w:rsid w:val="002F030C"/>
    <w:rsid w:val="002F2825"/>
    <w:rsid w:val="002F2AA4"/>
    <w:rsid w:val="002F3243"/>
    <w:rsid w:val="002F465C"/>
    <w:rsid w:val="002F4862"/>
    <w:rsid w:val="002F69D5"/>
    <w:rsid w:val="0030133C"/>
    <w:rsid w:val="00301893"/>
    <w:rsid w:val="00306525"/>
    <w:rsid w:val="00317EAF"/>
    <w:rsid w:val="00320635"/>
    <w:rsid w:val="00333DEC"/>
    <w:rsid w:val="00334A30"/>
    <w:rsid w:val="003374FB"/>
    <w:rsid w:val="00337583"/>
    <w:rsid w:val="003411DD"/>
    <w:rsid w:val="00344A05"/>
    <w:rsid w:val="00346472"/>
    <w:rsid w:val="00352324"/>
    <w:rsid w:val="003553D9"/>
    <w:rsid w:val="00356E58"/>
    <w:rsid w:val="003611D6"/>
    <w:rsid w:val="00367400"/>
    <w:rsid w:val="0037398C"/>
    <w:rsid w:val="0037433D"/>
    <w:rsid w:val="0037618F"/>
    <w:rsid w:val="00382D1C"/>
    <w:rsid w:val="003839A1"/>
    <w:rsid w:val="003839B7"/>
    <w:rsid w:val="003853C1"/>
    <w:rsid w:val="00391673"/>
    <w:rsid w:val="0039510D"/>
    <w:rsid w:val="003A04C1"/>
    <w:rsid w:val="003A087E"/>
    <w:rsid w:val="003A08A5"/>
    <w:rsid w:val="003A2861"/>
    <w:rsid w:val="003B0945"/>
    <w:rsid w:val="003B097F"/>
    <w:rsid w:val="003B1166"/>
    <w:rsid w:val="003B3981"/>
    <w:rsid w:val="003B4DCF"/>
    <w:rsid w:val="003D3B71"/>
    <w:rsid w:val="003D56AF"/>
    <w:rsid w:val="003E1167"/>
    <w:rsid w:val="003E1EF3"/>
    <w:rsid w:val="003E5319"/>
    <w:rsid w:val="003F2E6E"/>
    <w:rsid w:val="0040339E"/>
    <w:rsid w:val="00404615"/>
    <w:rsid w:val="00407776"/>
    <w:rsid w:val="00410047"/>
    <w:rsid w:val="00412450"/>
    <w:rsid w:val="00413C60"/>
    <w:rsid w:val="00415214"/>
    <w:rsid w:val="004178B4"/>
    <w:rsid w:val="00417A46"/>
    <w:rsid w:val="00417AE8"/>
    <w:rsid w:val="0042391F"/>
    <w:rsid w:val="0042690D"/>
    <w:rsid w:val="00427353"/>
    <w:rsid w:val="0043564D"/>
    <w:rsid w:val="0043628A"/>
    <w:rsid w:val="004373A0"/>
    <w:rsid w:val="00444AE6"/>
    <w:rsid w:val="004478FD"/>
    <w:rsid w:val="00454DE4"/>
    <w:rsid w:val="0046435A"/>
    <w:rsid w:val="00465D0B"/>
    <w:rsid w:val="004700B3"/>
    <w:rsid w:val="004701D5"/>
    <w:rsid w:val="004709CC"/>
    <w:rsid w:val="004715A6"/>
    <w:rsid w:val="00471634"/>
    <w:rsid w:val="004725E5"/>
    <w:rsid w:val="00474EFB"/>
    <w:rsid w:val="00475EFD"/>
    <w:rsid w:val="00491C59"/>
    <w:rsid w:val="004A2817"/>
    <w:rsid w:val="004A3891"/>
    <w:rsid w:val="004A715D"/>
    <w:rsid w:val="004A746C"/>
    <w:rsid w:val="004B1EDA"/>
    <w:rsid w:val="004B200F"/>
    <w:rsid w:val="004B3466"/>
    <w:rsid w:val="004B7DAE"/>
    <w:rsid w:val="004C553B"/>
    <w:rsid w:val="004C6139"/>
    <w:rsid w:val="004D25B4"/>
    <w:rsid w:val="004D7E14"/>
    <w:rsid w:val="004E4A29"/>
    <w:rsid w:val="004E79A4"/>
    <w:rsid w:val="004F0760"/>
    <w:rsid w:val="004F2350"/>
    <w:rsid w:val="004F2A3C"/>
    <w:rsid w:val="004F3D6F"/>
    <w:rsid w:val="004F60A3"/>
    <w:rsid w:val="0050345B"/>
    <w:rsid w:val="00504F96"/>
    <w:rsid w:val="005066AF"/>
    <w:rsid w:val="00507F75"/>
    <w:rsid w:val="0051056D"/>
    <w:rsid w:val="00514D1D"/>
    <w:rsid w:val="00526F36"/>
    <w:rsid w:val="005305D5"/>
    <w:rsid w:val="005317FB"/>
    <w:rsid w:val="00532847"/>
    <w:rsid w:val="00532CAA"/>
    <w:rsid w:val="005331C9"/>
    <w:rsid w:val="00540E8F"/>
    <w:rsid w:val="005476F4"/>
    <w:rsid w:val="0055219D"/>
    <w:rsid w:val="0055292B"/>
    <w:rsid w:val="0055353F"/>
    <w:rsid w:val="0055614A"/>
    <w:rsid w:val="00563598"/>
    <w:rsid w:val="0056633F"/>
    <w:rsid w:val="005666AD"/>
    <w:rsid w:val="005713E5"/>
    <w:rsid w:val="00573359"/>
    <w:rsid w:val="00580092"/>
    <w:rsid w:val="00587E1F"/>
    <w:rsid w:val="00593846"/>
    <w:rsid w:val="005968C0"/>
    <w:rsid w:val="0059707C"/>
    <w:rsid w:val="005A2D98"/>
    <w:rsid w:val="005A3DB9"/>
    <w:rsid w:val="005A435A"/>
    <w:rsid w:val="005B0C40"/>
    <w:rsid w:val="005B1E9A"/>
    <w:rsid w:val="005C143C"/>
    <w:rsid w:val="005C380A"/>
    <w:rsid w:val="005C3A2B"/>
    <w:rsid w:val="005C74CE"/>
    <w:rsid w:val="005D620B"/>
    <w:rsid w:val="005E259B"/>
    <w:rsid w:val="005E629C"/>
    <w:rsid w:val="005E648D"/>
    <w:rsid w:val="005F2AF6"/>
    <w:rsid w:val="005F3D12"/>
    <w:rsid w:val="006025ED"/>
    <w:rsid w:val="00605527"/>
    <w:rsid w:val="0061089F"/>
    <w:rsid w:val="00616EC2"/>
    <w:rsid w:val="00620553"/>
    <w:rsid w:val="0062088B"/>
    <w:rsid w:val="00623151"/>
    <w:rsid w:val="006257AB"/>
    <w:rsid w:val="00627FD0"/>
    <w:rsid w:val="00630EC3"/>
    <w:rsid w:val="00632A72"/>
    <w:rsid w:val="00633235"/>
    <w:rsid w:val="00636FB7"/>
    <w:rsid w:val="00637763"/>
    <w:rsid w:val="00640B81"/>
    <w:rsid w:val="00641D1B"/>
    <w:rsid w:val="006421A2"/>
    <w:rsid w:val="00642D04"/>
    <w:rsid w:val="0064613A"/>
    <w:rsid w:val="00647672"/>
    <w:rsid w:val="0065325A"/>
    <w:rsid w:val="00662671"/>
    <w:rsid w:val="006653B6"/>
    <w:rsid w:val="00671DE7"/>
    <w:rsid w:val="00674316"/>
    <w:rsid w:val="00676CE9"/>
    <w:rsid w:val="00677C0E"/>
    <w:rsid w:val="00680B5B"/>
    <w:rsid w:val="00684E74"/>
    <w:rsid w:val="006904F7"/>
    <w:rsid w:val="00697EF2"/>
    <w:rsid w:val="006A05F0"/>
    <w:rsid w:val="006A1801"/>
    <w:rsid w:val="006B25CE"/>
    <w:rsid w:val="006B2B0F"/>
    <w:rsid w:val="006B4AAD"/>
    <w:rsid w:val="006B5819"/>
    <w:rsid w:val="006C23F9"/>
    <w:rsid w:val="006C3183"/>
    <w:rsid w:val="006C7178"/>
    <w:rsid w:val="006C7755"/>
    <w:rsid w:val="006C792A"/>
    <w:rsid w:val="006D0305"/>
    <w:rsid w:val="006D045D"/>
    <w:rsid w:val="006D22C5"/>
    <w:rsid w:val="006E09FA"/>
    <w:rsid w:val="006E2A2F"/>
    <w:rsid w:val="006E2E09"/>
    <w:rsid w:val="006E414E"/>
    <w:rsid w:val="006F281E"/>
    <w:rsid w:val="006F49F9"/>
    <w:rsid w:val="00701DE2"/>
    <w:rsid w:val="00706618"/>
    <w:rsid w:val="00706985"/>
    <w:rsid w:val="00710AD8"/>
    <w:rsid w:val="00712507"/>
    <w:rsid w:val="007145D1"/>
    <w:rsid w:val="00720BC3"/>
    <w:rsid w:val="007240E8"/>
    <w:rsid w:val="00724495"/>
    <w:rsid w:val="007369E0"/>
    <w:rsid w:val="007375BC"/>
    <w:rsid w:val="00741647"/>
    <w:rsid w:val="00746543"/>
    <w:rsid w:val="00747958"/>
    <w:rsid w:val="00750F13"/>
    <w:rsid w:val="007514FC"/>
    <w:rsid w:val="00753565"/>
    <w:rsid w:val="00761537"/>
    <w:rsid w:val="00762E95"/>
    <w:rsid w:val="007653B0"/>
    <w:rsid w:val="00767600"/>
    <w:rsid w:val="00770BF1"/>
    <w:rsid w:val="007732AC"/>
    <w:rsid w:val="00774E81"/>
    <w:rsid w:val="00781CE1"/>
    <w:rsid w:val="0079789A"/>
    <w:rsid w:val="007A170C"/>
    <w:rsid w:val="007A28B9"/>
    <w:rsid w:val="007A2B94"/>
    <w:rsid w:val="007A3F26"/>
    <w:rsid w:val="007A4C10"/>
    <w:rsid w:val="007A5346"/>
    <w:rsid w:val="007B234A"/>
    <w:rsid w:val="007B24C7"/>
    <w:rsid w:val="007B2797"/>
    <w:rsid w:val="007B4482"/>
    <w:rsid w:val="007C148D"/>
    <w:rsid w:val="007C57C2"/>
    <w:rsid w:val="007C615D"/>
    <w:rsid w:val="007D69D9"/>
    <w:rsid w:val="007D6D64"/>
    <w:rsid w:val="007D79AE"/>
    <w:rsid w:val="007E0260"/>
    <w:rsid w:val="007E057F"/>
    <w:rsid w:val="007F218A"/>
    <w:rsid w:val="007F5EDE"/>
    <w:rsid w:val="007F79C4"/>
    <w:rsid w:val="00803DA9"/>
    <w:rsid w:val="00806941"/>
    <w:rsid w:val="00810953"/>
    <w:rsid w:val="00822503"/>
    <w:rsid w:val="00823078"/>
    <w:rsid w:val="00827E1E"/>
    <w:rsid w:val="008303E9"/>
    <w:rsid w:val="00836F7F"/>
    <w:rsid w:val="00840CEB"/>
    <w:rsid w:val="00845732"/>
    <w:rsid w:val="00845B11"/>
    <w:rsid w:val="008572D9"/>
    <w:rsid w:val="00861E13"/>
    <w:rsid w:val="008830AC"/>
    <w:rsid w:val="00886837"/>
    <w:rsid w:val="0089021A"/>
    <w:rsid w:val="00891638"/>
    <w:rsid w:val="00892496"/>
    <w:rsid w:val="0089505C"/>
    <w:rsid w:val="00896B19"/>
    <w:rsid w:val="00897665"/>
    <w:rsid w:val="008A149D"/>
    <w:rsid w:val="008A6F22"/>
    <w:rsid w:val="008B47B3"/>
    <w:rsid w:val="008B49B2"/>
    <w:rsid w:val="008B5D8F"/>
    <w:rsid w:val="008B7BB6"/>
    <w:rsid w:val="008C3E3D"/>
    <w:rsid w:val="008C537B"/>
    <w:rsid w:val="008F0A18"/>
    <w:rsid w:val="008F377D"/>
    <w:rsid w:val="008F4E0B"/>
    <w:rsid w:val="00903B44"/>
    <w:rsid w:val="00904DE7"/>
    <w:rsid w:val="00907866"/>
    <w:rsid w:val="00907CE9"/>
    <w:rsid w:val="00915659"/>
    <w:rsid w:val="00917538"/>
    <w:rsid w:val="0092011D"/>
    <w:rsid w:val="00936822"/>
    <w:rsid w:val="00940D8C"/>
    <w:rsid w:val="00943151"/>
    <w:rsid w:val="00944521"/>
    <w:rsid w:val="00944779"/>
    <w:rsid w:val="009449D2"/>
    <w:rsid w:val="00944F14"/>
    <w:rsid w:val="009453E1"/>
    <w:rsid w:val="009468D8"/>
    <w:rsid w:val="00950E97"/>
    <w:rsid w:val="00955E6F"/>
    <w:rsid w:val="009571D7"/>
    <w:rsid w:val="00957FAB"/>
    <w:rsid w:val="0096050F"/>
    <w:rsid w:val="0096253C"/>
    <w:rsid w:val="00965A2A"/>
    <w:rsid w:val="00965EC9"/>
    <w:rsid w:val="00966659"/>
    <w:rsid w:val="00974028"/>
    <w:rsid w:val="00980900"/>
    <w:rsid w:val="00987350"/>
    <w:rsid w:val="00993354"/>
    <w:rsid w:val="00995FFC"/>
    <w:rsid w:val="009A199C"/>
    <w:rsid w:val="009A20E1"/>
    <w:rsid w:val="009A63ED"/>
    <w:rsid w:val="009A7C4D"/>
    <w:rsid w:val="009B7B63"/>
    <w:rsid w:val="009B7C52"/>
    <w:rsid w:val="009C7DB2"/>
    <w:rsid w:val="009D19F6"/>
    <w:rsid w:val="009D23F7"/>
    <w:rsid w:val="009D30E3"/>
    <w:rsid w:val="009D670A"/>
    <w:rsid w:val="009E0648"/>
    <w:rsid w:val="009E2D59"/>
    <w:rsid w:val="009E2F68"/>
    <w:rsid w:val="009E48AE"/>
    <w:rsid w:val="009F1794"/>
    <w:rsid w:val="009F4334"/>
    <w:rsid w:val="009F6529"/>
    <w:rsid w:val="009F6CE7"/>
    <w:rsid w:val="00A07960"/>
    <w:rsid w:val="00A10005"/>
    <w:rsid w:val="00A27F13"/>
    <w:rsid w:val="00A32E8B"/>
    <w:rsid w:val="00A35615"/>
    <w:rsid w:val="00A35710"/>
    <w:rsid w:val="00A36C12"/>
    <w:rsid w:val="00A37108"/>
    <w:rsid w:val="00A41250"/>
    <w:rsid w:val="00A41D4E"/>
    <w:rsid w:val="00A510A2"/>
    <w:rsid w:val="00A5254A"/>
    <w:rsid w:val="00A52A8F"/>
    <w:rsid w:val="00A55155"/>
    <w:rsid w:val="00A62E21"/>
    <w:rsid w:val="00A640FF"/>
    <w:rsid w:val="00A75E69"/>
    <w:rsid w:val="00A83349"/>
    <w:rsid w:val="00A83B38"/>
    <w:rsid w:val="00A9292D"/>
    <w:rsid w:val="00AA4E2D"/>
    <w:rsid w:val="00AA6010"/>
    <w:rsid w:val="00AB22F7"/>
    <w:rsid w:val="00AB33F6"/>
    <w:rsid w:val="00AB48D1"/>
    <w:rsid w:val="00AB580C"/>
    <w:rsid w:val="00AB5BEA"/>
    <w:rsid w:val="00AB7E56"/>
    <w:rsid w:val="00AC5CDF"/>
    <w:rsid w:val="00AD3B91"/>
    <w:rsid w:val="00AD6EC2"/>
    <w:rsid w:val="00AD7576"/>
    <w:rsid w:val="00AE4C26"/>
    <w:rsid w:val="00AF2204"/>
    <w:rsid w:val="00AF6C56"/>
    <w:rsid w:val="00B0055B"/>
    <w:rsid w:val="00B012F3"/>
    <w:rsid w:val="00B0143C"/>
    <w:rsid w:val="00B059A6"/>
    <w:rsid w:val="00B0668D"/>
    <w:rsid w:val="00B0727F"/>
    <w:rsid w:val="00B1273F"/>
    <w:rsid w:val="00B20F39"/>
    <w:rsid w:val="00B26BD8"/>
    <w:rsid w:val="00B2798B"/>
    <w:rsid w:val="00B30ECC"/>
    <w:rsid w:val="00B3182D"/>
    <w:rsid w:val="00B53493"/>
    <w:rsid w:val="00B55D18"/>
    <w:rsid w:val="00B56CC8"/>
    <w:rsid w:val="00B620EC"/>
    <w:rsid w:val="00B622C0"/>
    <w:rsid w:val="00B64090"/>
    <w:rsid w:val="00B65281"/>
    <w:rsid w:val="00B65924"/>
    <w:rsid w:val="00B668FB"/>
    <w:rsid w:val="00B76B8E"/>
    <w:rsid w:val="00B80FB7"/>
    <w:rsid w:val="00B819DD"/>
    <w:rsid w:val="00B84169"/>
    <w:rsid w:val="00B913C0"/>
    <w:rsid w:val="00B97961"/>
    <w:rsid w:val="00BA0A0D"/>
    <w:rsid w:val="00BA45AE"/>
    <w:rsid w:val="00BA4F4A"/>
    <w:rsid w:val="00BA66AD"/>
    <w:rsid w:val="00BB3EE1"/>
    <w:rsid w:val="00BC2DD3"/>
    <w:rsid w:val="00BC5DF3"/>
    <w:rsid w:val="00BC67B1"/>
    <w:rsid w:val="00BD52CF"/>
    <w:rsid w:val="00BD7CF3"/>
    <w:rsid w:val="00BE16D4"/>
    <w:rsid w:val="00BE44C2"/>
    <w:rsid w:val="00BF20BD"/>
    <w:rsid w:val="00BF2C53"/>
    <w:rsid w:val="00BF44E8"/>
    <w:rsid w:val="00C000C3"/>
    <w:rsid w:val="00C019A4"/>
    <w:rsid w:val="00C02E60"/>
    <w:rsid w:val="00C10095"/>
    <w:rsid w:val="00C1680B"/>
    <w:rsid w:val="00C240FD"/>
    <w:rsid w:val="00C24374"/>
    <w:rsid w:val="00C2788A"/>
    <w:rsid w:val="00C27DD7"/>
    <w:rsid w:val="00C302EF"/>
    <w:rsid w:val="00C341F2"/>
    <w:rsid w:val="00C369B8"/>
    <w:rsid w:val="00C36A7E"/>
    <w:rsid w:val="00C41647"/>
    <w:rsid w:val="00C428D9"/>
    <w:rsid w:val="00C4641B"/>
    <w:rsid w:val="00C53907"/>
    <w:rsid w:val="00C5529B"/>
    <w:rsid w:val="00C6199A"/>
    <w:rsid w:val="00C62C70"/>
    <w:rsid w:val="00C63DD3"/>
    <w:rsid w:val="00C65BF0"/>
    <w:rsid w:val="00C71670"/>
    <w:rsid w:val="00C74C53"/>
    <w:rsid w:val="00C755AC"/>
    <w:rsid w:val="00C941F0"/>
    <w:rsid w:val="00C97431"/>
    <w:rsid w:val="00C9759C"/>
    <w:rsid w:val="00CA0E55"/>
    <w:rsid w:val="00CA3CD8"/>
    <w:rsid w:val="00CB5A23"/>
    <w:rsid w:val="00CC48B6"/>
    <w:rsid w:val="00CC73A3"/>
    <w:rsid w:val="00CC764A"/>
    <w:rsid w:val="00CD5119"/>
    <w:rsid w:val="00CD764F"/>
    <w:rsid w:val="00CE0E66"/>
    <w:rsid w:val="00CE3455"/>
    <w:rsid w:val="00D00835"/>
    <w:rsid w:val="00D03E01"/>
    <w:rsid w:val="00D16529"/>
    <w:rsid w:val="00D17000"/>
    <w:rsid w:val="00D170D4"/>
    <w:rsid w:val="00D241D3"/>
    <w:rsid w:val="00D253E1"/>
    <w:rsid w:val="00D27FA8"/>
    <w:rsid w:val="00D30E71"/>
    <w:rsid w:val="00D32946"/>
    <w:rsid w:val="00D365D3"/>
    <w:rsid w:val="00D3676D"/>
    <w:rsid w:val="00D36D9F"/>
    <w:rsid w:val="00D40B2A"/>
    <w:rsid w:val="00D42F7B"/>
    <w:rsid w:val="00D4440E"/>
    <w:rsid w:val="00D46A5D"/>
    <w:rsid w:val="00D47B5C"/>
    <w:rsid w:val="00D54710"/>
    <w:rsid w:val="00D55089"/>
    <w:rsid w:val="00D61B41"/>
    <w:rsid w:val="00D63051"/>
    <w:rsid w:val="00D64605"/>
    <w:rsid w:val="00D65286"/>
    <w:rsid w:val="00D65684"/>
    <w:rsid w:val="00D6586F"/>
    <w:rsid w:val="00D672AA"/>
    <w:rsid w:val="00D71C52"/>
    <w:rsid w:val="00D75157"/>
    <w:rsid w:val="00D83394"/>
    <w:rsid w:val="00D85C83"/>
    <w:rsid w:val="00D94430"/>
    <w:rsid w:val="00D94E4F"/>
    <w:rsid w:val="00D96A2F"/>
    <w:rsid w:val="00DA1795"/>
    <w:rsid w:val="00DA3082"/>
    <w:rsid w:val="00DA76FA"/>
    <w:rsid w:val="00DB2B49"/>
    <w:rsid w:val="00DB43C2"/>
    <w:rsid w:val="00DB50C7"/>
    <w:rsid w:val="00DB6943"/>
    <w:rsid w:val="00DB7279"/>
    <w:rsid w:val="00DB73F4"/>
    <w:rsid w:val="00DC28FE"/>
    <w:rsid w:val="00DC290C"/>
    <w:rsid w:val="00DC33B4"/>
    <w:rsid w:val="00DC4162"/>
    <w:rsid w:val="00DC5165"/>
    <w:rsid w:val="00DD0620"/>
    <w:rsid w:val="00DD10FD"/>
    <w:rsid w:val="00DD2003"/>
    <w:rsid w:val="00DD4656"/>
    <w:rsid w:val="00DD64E1"/>
    <w:rsid w:val="00DD72AF"/>
    <w:rsid w:val="00DE1B02"/>
    <w:rsid w:val="00DE7B34"/>
    <w:rsid w:val="00DF01DF"/>
    <w:rsid w:val="00DF0684"/>
    <w:rsid w:val="00DF6E36"/>
    <w:rsid w:val="00E01649"/>
    <w:rsid w:val="00E018FB"/>
    <w:rsid w:val="00E07C5F"/>
    <w:rsid w:val="00E13547"/>
    <w:rsid w:val="00E135C8"/>
    <w:rsid w:val="00E15D6B"/>
    <w:rsid w:val="00E21DC0"/>
    <w:rsid w:val="00E332B3"/>
    <w:rsid w:val="00E3453C"/>
    <w:rsid w:val="00E347CE"/>
    <w:rsid w:val="00E34E31"/>
    <w:rsid w:val="00E35419"/>
    <w:rsid w:val="00E35834"/>
    <w:rsid w:val="00E36F71"/>
    <w:rsid w:val="00E37E1D"/>
    <w:rsid w:val="00E4035B"/>
    <w:rsid w:val="00E456C3"/>
    <w:rsid w:val="00E470AA"/>
    <w:rsid w:val="00E47FAF"/>
    <w:rsid w:val="00E50705"/>
    <w:rsid w:val="00E53767"/>
    <w:rsid w:val="00E55C65"/>
    <w:rsid w:val="00E56502"/>
    <w:rsid w:val="00E634BA"/>
    <w:rsid w:val="00E65ABE"/>
    <w:rsid w:val="00E66951"/>
    <w:rsid w:val="00E6730E"/>
    <w:rsid w:val="00E6763B"/>
    <w:rsid w:val="00E706E6"/>
    <w:rsid w:val="00E70DFB"/>
    <w:rsid w:val="00E74D81"/>
    <w:rsid w:val="00E85F78"/>
    <w:rsid w:val="00E93E1D"/>
    <w:rsid w:val="00EB1E09"/>
    <w:rsid w:val="00EB58BD"/>
    <w:rsid w:val="00EB63FB"/>
    <w:rsid w:val="00EB70D8"/>
    <w:rsid w:val="00EB752E"/>
    <w:rsid w:val="00EC0FFC"/>
    <w:rsid w:val="00EC2EF5"/>
    <w:rsid w:val="00EC4EB8"/>
    <w:rsid w:val="00EC7184"/>
    <w:rsid w:val="00ED2E33"/>
    <w:rsid w:val="00ED3024"/>
    <w:rsid w:val="00ED6217"/>
    <w:rsid w:val="00ED71B6"/>
    <w:rsid w:val="00EE5474"/>
    <w:rsid w:val="00EE629F"/>
    <w:rsid w:val="00EE6E64"/>
    <w:rsid w:val="00EE7398"/>
    <w:rsid w:val="00EF0695"/>
    <w:rsid w:val="00EF0E10"/>
    <w:rsid w:val="00EF2076"/>
    <w:rsid w:val="00EF2AFB"/>
    <w:rsid w:val="00F02919"/>
    <w:rsid w:val="00F12B72"/>
    <w:rsid w:val="00F22995"/>
    <w:rsid w:val="00F23C51"/>
    <w:rsid w:val="00F309BD"/>
    <w:rsid w:val="00F3324D"/>
    <w:rsid w:val="00F33D5C"/>
    <w:rsid w:val="00F3402F"/>
    <w:rsid w:val="00F3474B"/>
    <w:rsid w:val="00F431FB"/>
    <w:rsid w:val="00F461A3"/>
    <w:rsid w:val="00F47C3E"/>
    <w:rsid w:val="00F5197E"/>
    <w:rsid w:val="00F51DDF"/>
    <w:rsid w:val="00F53ACB"/>
    <w:rsid w:val="00F54A61"/>
    <w:rsid w:val="00F60E46"/>
    <w:rsid w:val="00F615C5"/>
    <w:rsid w:val="00F6184E"/>
    <w:rsid w:val="00F728F2"/>
    <w:rsid w:val="00F73D5A"/>
    <w:rsid w:val="00F8007E"/>
    <w:rsid w:val="00F801E8"/>
    <w:rsid w:val="00F81C8A"/>
    <w:rsid w:val="00F81FB6"/>
    <w:rsid w:val="00F83A3B"/>
    <w:rsid w:val="00F84805"/>
    <w:rsid w:val="00F95B12"/>
    <w:rsid w:val="00F97CAC"/>
    <w:rsid w:val="00FA09B2"/>
    <w:rsid w:val="00FA21B5"/>
    <w:rsid w:val="00FA2B02"/>
    <w:rsid w:val="00FA32C4"/>
    <w:rsid w:val="00FA49A6"/>
    <w:rsid w:val="00FA5661"/>
    <w:rsid w:val="00FB1115"/>
    <w:rsid w:val="00FB18F6"/>
    <w:rsid w:val="00FB2C51"/>
    <w:rsid w:val="00FB401E"/>
    <w:rsid w:val="00FB4AE4"/>
    <w:rsid w:val="00FC29D6"/>
    <w:rsid w:val="00FC3AAA"/>
    <w:rsid w:val="00FC6084"/>
    <w:rsid w:val="00FD4BC8"/>
    <w:rsid w:val="00FE7A02"/>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01DEEA6"/>
  <w15:docId w15:val="{23D2D836-35E3-4C56-91C6-A9A14A40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E1B02"/>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spacing w:line="252" w:lineRule="auto"/>
      <w:ind w:left="170" w:hanging="170"/>
    </w:pPr>
    <w:rPr>
      <w:szCs w:val="24"/>
    </w:rPr>
  </w:style>
  <w:style w:type="paragraph" w:customStyle="1" w:styleId="TableNumber">
    <w:name w:val="Table Number"/>
    <w:basedOn w:val="Tabletext"/>
    <w:uiPriority w:val="15"/>
    <w:qFormat/>
    <w:rsid w:val="00F97CAC"/>
    <w:pPr>
      <w:numPr>
        <w:numId w:val="23"/>
      </w:numPr>
      <w:tabs>
        <w:tab w:val="left" w:pos="227"/>
      </w:tabs>
      <w:spacing w:line="252" w:lineRule="auto"/>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3"/>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3"/>
    <w:rsid w:val="00DE1B02"/>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3"/>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E0E66"/>
    <w:rPr>
      <w:rFonts w:ascii="Arial" w:eastAsia="Times New Roman" w:hAnsi="Arial" w:cs="Times New Roman"/>
      <w:sz w:val="19"/>
      <w:szCs w:val="21"/>
      <w:lang w:eastAsia="en-AU"/>
      <w14:numForm w14:val="lining"/>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table" w:customStyle="1" w:styleId="QCAAtablestyle11">
    <w:name w:val="QCAA table style 11"/>
    <w:basedOn w:val="TableNormal"/>
    <w:rsid w:val="006904F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character" w:styleId="CommentReference">
    <w:name w:val="annotation reference"/>
    <w:basedOn w:val="DefaultParagraphFont"/>
    <w:uiPriority w:val="99"/>
    <w:semiHidden/>
    <w:rsid w:val="002F3243"/>
    <w:rPr>
      <w:sz w:val="16"/>
      <w:szCs w:val="16"/>
    </w:rPr>
  </w:style>
  <w:style w:type="paragraph" w:styleId="CommentText">
    <w:name w:val="annotation text"/>
    <w:basedOn w:val="Normal"/>
    <w:link w:val="CommentTextChar"/>
    <w:uiPriority w:val="99"/>
    <w:semiHidden/>
    <w:rsid w:val="002F3243"/>
    <w:rPr>
      <w:sz w:val="20"/>
      <w:szCs w:val="20"/>
    </w:rPr>
  </w:style>
  <w:style w:type="character" w:customStyle="1" w:styleId="CommentTextChar">
    <w:name w:val="Comment Text Char"/>
    <w:basedOn w:val="DefaultParagraphFont"/>
    <w:link w:val="CommentText"/>
    <w:uiPriority w:val="99"/>
    <w:semiHidden/>
    <w:rsid w:val="002F3243"/>
    <w:rPr>
      <w:sz w:val="20"/>
      <w:szCs w:val="20"/>
    </w:rPr>
  </w:style>
  <w:style w:type="paragraph" w:styleId="CommentSubject">
    <w:name w:val="annotation subject"/>
    <w:basedOn w:val="CommentText"/>
    <w:next w:val="CommentText"/>
    <w:link w:val="CommentSubjectChar"/>
    <w:uiPriority w:val="99"/>
    <w:semiHidden/>
    <w:rsid w:val="002F3243"/>
    <w:rPr>
      <w:b/>
      <w:bCs/>
    </w:rPr>
  </w:style>
  <w:style w:type="character" w:customStyle="1" w:styleId="CommentSubjectChar">
    <w:name w:val="Comment Subject Char"/>
    <w:basedOn w:val="CommentTextChar"/>
    <w:link w:val="CommentSubject"/>
    <w:uiPriority w:val="99"/>
    <w:semiHidden/>
    <w:rsid w:val="002F3243"/>
    <w:rPr>
      <w:b/>
      <w:bCs/>
      <w:sz w:val="20"/>
      <w:szCs w:val="20"/>
    </w:rPr>
  </w:style>
  <w:style w:type="table" w:customStyle="1" w:styleId="QCAAtablestyle14">
    <w:name w:val="QCAA table style 14"/>
    <w:basedOn w:val="TableNormal"/>
    <w:rsid w:val="007C57C2"/>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table" w:customStyle="1" w:styleId="QCAAtablestyle12">
    <w:name w:val="QCAA table style 12"/>
    <w:basedOn w:val="TableNormal"/>
    <w:rsid w:val="007C57C2"/>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table" w:customStyle="1" w:styleId="QCAAtablestyle13">
    <w:name w:val="QCAA table style 13"/>
    <w:basedOn w:val="TableNormal"/>
    <w:rsid w:val="00356E58"/>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0C796E"/>
    <w:pPr>
      <w:spacing w:before="0" w:after="0"/>
    </w:pPr>
    <w:rPr>
      <w:sz w:val="21"/>
    </w:rPr>
  </w:style>
  <w:style w:type="character" w:styleId="UnresolvedMention">
    <w:name w:val="Unresolved Mention"/>
    <w:basedOn w:val="DefaultParagraphFont"/>
    <w:uiPriority w:val="99"/>
    <w:semiHidden/>
    <w:unhideWhenUsed/>
    <w:rsid w:val="001F4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martcopying.edu.au/guidelines/copyright-basics/indigenous-cultural-and-intellectual-property-righ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svg"/><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scootle.edu.au/ec/search?accContentId=ACMMG21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1.png"/><Relationship Id="rId27" Type="http://schemas.openxmlformats.org/officeDocument/2006/relationships/hyperlink" Target="https://www.australiancurriculum.edu.au/copyright-and-terms-of-use" TargetMode="Externa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Desktop\Unchecked%20plans\Year_%209_plan_%20Mathematic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6AC49C0B94B41208755B873882C373F"/>
        <w:category>
          <w:name w:val="General"/>
          <w:gallery w:val="placeholder"/>
        </w:category>
        <w:types>
          <w:type w:val="bbPlcHdr"/>
        </w:types>
        <w:behaviors>
          <w:behavior w:val="content"/>
        </w:behaviors>
        <w:guid w:val="{0E93213D-53D4-460A-9488-B8C18A33C0A8}"/>
      </w:docPartPr>
      <w:docPartBody>
        <w:p w:rsidR="00FE1ADD" w:rsidRDefault="009C6267">
          <w:pPr>
            <w:pStyle w:val="B6AC49C0B94B41208755B873882C373F"/>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A6FB30B4F9934AC997DCE7A49AA0FB2F"/>
        <w:category>
          <w:name w:val="General"/>
          <w:gallery w:val="placeholder"/>
        </w:category>
        <w:types>
          <w:type w:val="bbPlcHdr"/>
        </w:types>
        <w:behaviors>
          <w:behavior w:val="content"/>
        </w:behaviors>
        <w:guid w:val="{A9EE0F71-D18E-4E5D-990A-A9712841388D}"/>
      </w:docPartPr>
      <w:docPartBody>
        <w:p w:rsidR="00FE1ADD" w:rsidRDefault="009C6267">
          <w:pPr>
            <w:pStyle w:val="A6FB30B4F9934AC997DCE7A49AA0FB2F"/>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ED290F4487A049EB9DE3C2FB00275B22"/>
        <w:category>
          <w:name w:val="General"/>
          <w:gallery w:val="placeholder"/>
        </w:category>
        <w:types>
          <w:type w:val="bbPlcHdr"/>
        </w:types>
        <w:behaviors>
          <w:behavior w:val="content"/>
        </w:behaviors>
        <w:guid w:val="{DA71C4FF-7183-4592-9B61-206735845D5C}"/>
      </w:docPartPr>
      <w:docPartBody>
        <w:p w:rsidR="00FE1ADD" w:rsidRDefault="009C6267">
          <w:pPr>
            <w:pStyle w:val="ED290F4487A049EB9DE3C2FB00275B22"/>
          </w:pPr>
          <w:r w:rsidRPr="00D94E4F">
            <w:rPr>
              <w:shd w:val="clear" w:color="auto" w:fill="F7EA9F"/>
            </w:rPr>
            <w:t>[Year]</w:t>
          </w:r>
        </w:p>
      </w:docPartBody>
    </w:docPart>
    <w:docPart>
      <w:docPartPr>
        <w:name w:val="BC4CBA6690894C9599128B669D423AA7"/>
        <w:category>
          <w:name w:val="General"/>
          <w:gallery w:val="placeholder"/>
        </w:category>
        <w:types>
          <w:type w:val="bbPlcHdr"/>
        </w:types>
        <w:behaviors>
          <w:behavior w:val="content"/>
        </w:behaviors>
        <w:guid w:val="{BF280F14-8C28-481D-B08F-7064F7CA7F2E}"/>
      </w:docPartPr>
      <w:docPartBody>
        <w:p w:rsidR="00FE1ADD" w:rsidRDefault="009C6267">
          <w:pPr>
            <w:pStyle w:val="BC4CBA6690894C9599128B669D423AA7"/>
          </w:pPr>
          <w:r w:rsidRPr="0014766D">
            <w:rPr>
              <w:b/>
              <w:bCs/>
              <w:shd w:val="clear" w:color="auto" w:fill="70AD47" w:themeFill="accent6"/>
            </w:rPr>
            <w:t>[Year level/band curriculum and assessment plan]</w:t>
          </w:r>
        </w:p>
      </w:docPartBody>
    </w:docPart>
    <w:docPart>
      <w:docPartPr>
        <w:name w:val="1F078801F2CC4BFEA3D8A2DF0E831F47"/>
        <w:category>
          <w:name w:val="General"/>
          <w:gallery w:val="placeholder"/>
        </w:category>
        <w:types>
          <w:type w:val="bbPlcHdr"/>
        </w:types>
        <w:behaviors>
          <w:behavior w:val="content"/>
        </w:behaviors>
        <w:guid w:val="{9E78634E-E042-4B50-B0EE-F1C764317C26}"/>
      </w:docPartPr>
      <w:docPartBody>
        <w:p w:rsidR="00FE1ADD" w:rsidRDefault="009C6267">
          <w:pPr>
            <w:pStyle w:val="1F078801F2CC4BFEA3D8A2DF0E831F47"/>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CA93BDDEE0F94CA6A8E16F83E1038B95"/>
        <w:category>
          <w:name w:val="General"/>
          <w:gallery w:val="placeholder"/>
        </w:category>
        <w:types>
          <w:type w:val="bbPlcHdr"/>
        </w:types>
        <w:behaviors>
          <w:behavior w:val="content"/>
        </w:behaviors>
        <w:guid w:val="{C24E18E0-7B22-4B83-AF5F-08B91D86B2BF}"/>
      </w:docPartPr>
      <w:docPartBody>
        <w:p w:rsidR="00FE1ADD" w:rsidRDefault="009C6267">
          <w:pPr>
            <w:pStyle w:val="CA93BDDEE0F94CA6A8E16F83E1038B95"/>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005ABC789FEC4A3C8F5E5A7BA48C0F29"/>
        <w:category>
          <w:name w:val="General"/>
          <w:gallery w:val="placeholder"/>
        </w:category>
        <w:types>
          <w:type w:val="bbPlcHdr"/>
        </w:types>
        <w:behaviors>
          <w:behavior w:val="content"/>
        </w:behaviors>
        <w:guid w:val="{BAC996C0-1E43-4226-B675-CB8E58FAB560}"/>
      </w:docPartPr>
      <w:docPartBody>
        <w:p w:rsidR="00FE1ADD" w:rsidRDefault="009C6267">
          <w:pPr>
            <w:pStyle w:val="005ABC789FEC4A3C8F5E5A7BA48C0F2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67"/>
    <w:rsid w:val="000916D1"/>
    <w:rsid w:val="000A3211"/>
    <w:rsid w:val="002412EF"/>
    <w:rsid w:val="00366D82"/>
    <w:rsid w:val="003F70C8"/>
    <w:rsid w:val="004F4C33"/>
    <w:rsid w:val="00505CFF"/>
    <w:rsid w:val="009C6267"/>
    <w:rsid w:val="009F3A29"/>
    <w:rsid w:val="00BB3AF8"/>
    <w:rsid w:val="00C2089D"/>
    <w:rsid w:val="00CE1516"/>
    <w:rsid w:val="00D72AEC"/>
    <w:rsid w:val="00DF75AB"/>
    <w:rsid w:val="00F663CB"/>
    <w:rsid w:val="00FB2CC3"/>
    <w:rsid w:val="00FE1A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AC49C0B94B41208755B873882C373F">
    <w:name w:val="B6AC49C0B94B41208755B873882C373F"/>
  </w:style>
  <w:style w:type="paragraph" w:customStyle="1" w:styleId="A6FB30B4F9934AC997DCE7A49AA0FB2F">
    <w:name w:val="A6FB30B4F9934AC997DCE7A49AA0FB2F"/>
  </w:style>
  <w:style w:type="paragraph" w:customStyle="1" w:styleId="ED290F4487A049EB9DE3C2FB00275B22">
    <w:name w:val="ED290F4487A049EB9DE3C2FB00275B22"/>
  </w:style>
  <w:style w:type="paragraph" w:customStyle="1" w:styleId="BC4CBA6690894C9599128B669D423AA7">
    <w:name w:val="BC4CBA6690894C9599128B669D423AA7"/>
  </w:style>
  <w:style w:type="paragraph" w:customStyle="1" w:styleId="1F078801F2CC4BFEA3D8A2DF0E831F47">
    <w:name w:val="1F078801F2CC4BFEA3D8A2DF0E831F47"/>
  </w:style>
  <w:style w:type="paragraph" w:customStyle="1" w:styleId="CA93BDDEE0F94CA6A8E16F83E1038B95">
    <w:name w:val="CA93BDDEE0F94CA6A8E16F83E1038B95"/>
  </w:style>
  <w:style w:type="paragraph" w:customStyle="1" w:styleId="005ABC789FEC4A3C8F5E5A7BA48C0F29">
    <w:name w:val="005ABC789FEC4A3C8F5E5A7BA48C0F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QCAA_365">
  <a:themeElements>
    <a:clrScheme name="QCAA_grey switch test">
      <a:dk1>
        <a:sysClr val="windowText" lastClr="000000"/>
      </a:dk1>
      <a:lt1>
        <a:srgbClr val="FFFFFF"/>
      </a:lt1>
      <a:dk2>
        <a:srgbClr val="D52B1E"/>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2021-10-06T00:00:00</DocumentDate>
  <DocumentTitle>Year 9 Mathematics curriculum and assessment plan </DocumentTitle>
  <DocumentSubtitle/>
  <DocumentJobNumber/>
  <DocumentField1/>
  <DocumentField2/>
  <DocumentField3/>
  <DocumentField4/>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
  <DocumentTitle/>
  <DocumentSubtitle>Example </DocumentSubtitle>
  <DocumentJobNumber/>
  <DocumentField1/>
  <DocumentField2/>
  <DocumentField3/>
  <DocumentField4/>
  <DocumentField5/>
  <DocumentField6/>
  <DocumentField7/>
  <DocumentField8/>
</QCA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C2ECD67EF361448BAFADCE554660F27" ma:contentTypeVersion="5" ma:contentTypeDescription="Create a new document." ma:contentTypeScope="" ma:versionID="86783f85b931610d089955e1e95e1ccd">
  <xsd:schema xmlns:xsd="http://www.w3.org/2001/XMLSchema" xmlns:xs="http://www.w3.org/2001/XMLSchema" xmlns:p="http://schemas.microsoft.com/office/2006/metadata/properties" xmlns:ns3="f493214f-b0fe-439f-a075-edfcce671620" xmlns:ns4="c935afa6-a565-4c4f-a3c9-6bfdc0f44455" targetNamespace="http://schemas.microsoft.com/office/2006/metadata/properties" ma:root="true" ma:fieldsID="bb33215ba1401a3f00f89a474ad2ed5c" ns3:_="" ns4:_="">
    <xsd:import namespace="f493214f-b0fe-439f-a075-edfcce671620"/>
    <xsd:import namespace="c935afa6-a565-4c4f-a3c9-6bfdc0f444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14f-b0fe-439f-a075-edfcce671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afa6-a565-4c4f-a3c9-6bfdc0f444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D916E082-7D7D-4F3E-AD60-1885468B7CC6}">
  <ds:schemaRefs>
    <ds:schemaRef ds:uri="http://schemas.openxmlformats.org/officeDocument/2006/bibliography"/>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E54F8BBC-5C59-4E26-ACD9-E20E7F7B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14f-b0fe-439f-a075-edfcce671620"/>
    <ds:schemaRef ds:uri="c935afa6-a565-4c4f-a3c9-6bfdc0f44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Year_ 9_plan_ Mathematics.dotx</Template>
  <TotalTime>159</TotalTime>
  <Pages>4</Pages>
  <Words>2920</Words>
  <Characters>16645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Year9 Mathematics curriculum and assessment plan: Example</vt:lpstr>
    </vt:vector>
  </TitlesOfParts>
  <Company>Queensland Curriculum and Assessment Authority</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Year9 Mathematics curriculum and assessment plan: Example</dc:title>
  <dc:subject>Mathematics</dc:subject>
  <dc:creator>Queensland Curriculum and Assessment Authority</dc:creator>
  <dc:description>Creative Commons Attribution 4.0 International Licence https://creativecommons.org/licenses/by/4.0/legalcode Please give attribution to:  State of Queensland (QCAA)  2021</dc:description>
  <cp:lastModifiedBy>Clare Murphy</cp:lastModifiedBy>
  <cp:revision>6</cp:revision>
  <cp:lastPrinted>2020-11-26T01:02:00Z</cp:lastPrinted>
  <dcterms:created xsi:type="dcterms:W3CDTF">2021-09-02T01:24:00Z</dcterms:created>
  <dcterms:modified xsi:type="dcterms:W3CDTF">2021-10-06T01:47:00Z</dcterms:modified>
  <cp:category>210142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0x0101006C2ECD67EF361448BAFADCE554660F27</vt:lpwstr>
  </property>
</Properties>
</file>