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6855C127" w14:textId="77777777" w:rsidTr="000C1CBA">
        <w:trPr>
          <w:trHeight w:val="1615"/>
        </w:trPr>
        <w:tc>
          <w:tcPr>
            <w:tcW w:w="22113" w:type="dxa"/>
            <w:tcBorders>
              <w:bottom w:val="single" w:sz="12" w:space="0" w:color="D52B1E"/>
            </w:tcBorders>
            <w:vAlign w:val="bottom"/>
          </w:tcPr>
          <w:bookmarkStart w:id="0" w:name="_Toc234219367"/>
          <w:p w14:paraId="663051D2" w14:textId="77777777" w:rsidR="00DD64E1" w:rsidRPr="002D704B" w:rsidRDefault="005E4A31" w:rsidP="002D704B">
            <w:pPr>
              <w:pStyle w:val="Title"/>
            </w:pPr>
            <w:sdt>
              <w:sdtPr>
                <w:alias w:val="Document Title"/>
                <w:tag w:val="DocumentTitle"/>
                <w:id w:val="-1468812136"/>
                <w:placeholder>
                  <w:docPart w:val="10249618680E426A92428A13E4E5DA88"/>
                </w:placeholder>
                <w:dataBinding w:prefixMappings="xmlns:ns0='http://QCAA.qld.edu.au' " w:xpath="/ns0:QCAA[1]/ns0:DocumentTitle[1]" w:storeItemID="{029BFAC3-A859-40E3-910E-708531540F3D}"/>
                <w:text/>
              </w:sdtPr>
              <w:sdtEndPr/>
              <w:sdtContent>
                <w:r w:rsidR="00E86F6F">
                  <w:t>Year 10 History curriculum and assessment plan</w:t>
                </w:r>
              </w:sdtContent>
            </w:sdt>
          </w:p>
          <w:sdt>
            <w:sdtPr>
              <w:alias w:val="Document Subtitle"/>
              <w:tag w:val="DocumentSubtitle"/>
              <w:id w:val="892237444"/>
              <w:placeholder>
                <w:docPart w:val="2BE9A6E0AD6B44759D83702ED33088A7"/>
              </w:placeholder>
              <w:dataBinding w:prefixMappings="xmlns:ns0='http://QCAA.qld.edu.au' " w:xpath="/ns0:QCAA[1]/ns0:DocumentSubtitle[1]" w:storeItemID="{ECF99190-FDC9-4DC7-BF4D-418697363580}"/>
              <w:text/>
            </w:sdtPr>
            <w:sdtEndPr/>
            <w:sdtContent>
              <w:p w14:paraId="66BFD4DB" w14:textId="77777777" w:rsidR="00DD64E1" w:rsidRPr="002D704B" w:rsidRDefault="00B17193" w:rsidP="002D704B">
                <w:pPr>
                  <w:pStyle w:val="Subtitle"/>
                </w:pPr>
                <w:r>
                  <w:t>Example</w:t>
                </w:r>
              </w:p>
            </w:sdtContent>
          </w:sdt>
        </w:tc>
      </w:tr>
    </w:tbl>
    <w:p w14:paraId="3CDFEF14" w14:textId="77777777" w:rsidR="009F6529" w:rsidRPr="00B26BD8" w:rsidRDefault="009F6529" w:rsidP="009F6529">
      <w:pPr>
        <w:rPr>
          <w:sz w:val="2"/>
          <w:szCs w:val="2"/>
        </w:rPr>
      </w:pPr>
      <w:bookmarkStart w:id="1" w:name="_Toc488841092"/>
      <w:bookmarkEnd w:id="0"/>
    </w:p>
    <w:p w14:paraId="75E39A0B"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p>
    <w:bookmarkEnd w:id="1"/>
    <w:p w14:paraId="379998A6" w14:textId="77777777" w:rsidR="00CE0E66" w:rsidRDefault="000463BF" w:rsidP="000463BF">
      <w:pPr>
        <w:pStyle w:val="Heading1"/>
      </w:pPr>
      <w:r>
        <w:t>Curriculum overview</w:t>
      </w:r>
    </w:p>
    <w:tbl>
      <w:tblPr>
        <w:tblStyle w:val="QCAAtablestyle1"/>
        <w:tblW w:w="5000" w:type="pct"/>
        <w:tblLook w:val="0620" w:firstRow="1" w:lastRow="0" w:firstColumn="0" w:lastColumn="0" w:noHBand="1" w:noVBand="1"/>
      </w:tblPr>
      <w:tblGrid>
        <w:gridCol w:w="10481"/>
        <w:gridCol w:w="10481"/>
      </w:tblGrid>
      <w:tr w:rsidR="00AB580C" w:rsidRPr="009A061A" w14:paraId="432E57B4"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1A81ED80" w14:textId="77777777" w:rsidR="00AB580C" w:rsidRPr="009A061A" w:rsidRDefault="00AB580C" w:rsidP="004725E5">
            <w:pPr>
              <w:pStyle w:val="Tableheading"/>
            </w:pPr>
            <w:bookmarkStart w:id="2" w:name="_Hlk33697583"/>
            <w:r w:rsidRPr="009A061A">
              <w:t>Year level description</w:t>
            </w:r>
          </w:p>
        </w:tc>
        <w:tc>
          <w:tcPr>
            <w:tcW w:w="2500" w:type="pct"/>
            <w:shd w:val="clear" w:color="auto" w:fill="808080" w:themeFill="background1" w:themeFillShade="80"/>
          </w:tcPr>
          <w:p w14:paraId="05810F23" w14:textId="77777777" w:rsidR="00AB580C" w:rsidRPr="00B54F18" w:rsidRDefault="00AB580C" w:rsidP="004725E5">
            <w:pPr>
              <w:pStyle w:val="Tableheading"/>
            </w:pPr>
            <w:r w:rsidRPr="009A061A">
              <w:t>Cohort description</w:t>
            </w:r>
          </w:p>
        </w:tc>
      </w:tr>
      <w:tr w:rsidR="00AB580C" w14:paraId="1AEE52B9" w14:textId="77777777" w:rsidTr="00A44EAC">
        <w:trPr>
          <w:trHeight w:val="462"/>
        </w:trPr>
        <w:tc>
          <w:tcPr>
            <w:tcW w:w="2500" w:type="pct"/>
            <w:vMerge w:val="restart"/>
          </w:tcPr>
          <w:p w14:paraId="63E771C0" w14:textId="77777777" w:rsidR="00E86F6F" w:rsidRPr="0089217D" w:rsidRDefault="00E86F6F" w:rsidP="00EE64C9">
            <w:pPr>
              <w:pStyle w:val="Tabletext"/>
              <w:rPr>
                <w:b/>
              </w:rPr>
            </w:pPr>
            <w:bookmarkStart w:id="3" w:name="_Hlk69995354"/>
            <w:r w:rsidRPr="0089217D">
              <w:rPr>
                <w:b/>
              </w:rPr>
              <w:t>The modern world and Australia</w:t>
            </w:r>
          </w:p>
          <w:p w14:paraId="4103B907" w14:textId="77777777" w:rsidR="00E86F6F" w:rsidRDefault="00E86F6F" w:rsidP="00EE64C9">
            <w:pPr>
              <w:pStyle w:val="Tabletext"/>
            </w:pPr>
            <w:r>
              <w:t>The Year 10 curriculum provides a study of the history of the modern world and Australia from 1918 to the present, with an emphasis on Australia in its global context. The twentieth century became a critical period in Australia’s social, cultural, economic and political development. The transformation of the modern world during a time of political turmoil, global conflict and international cooperation provides a necessary context for understanding Australia’s development, its place within the Asia-Pacific region and its global standing.</w:t>
            </w:r>
          </w:p>
          <w:p w14:paraId="46DE190F" w14:textId="77777777" w:rsidR="00E86F6F" w:rsidRDefault="00E86F6F" w:rsidP="00EE64C9">
            <w:pPr>
              <w:pStyle w:val="Tabletext"/>
            </w:pPr>
            <w:r>
              <w:t xml:space="preserve">The content provides opportunities to develop historical understanding through key concepts, </w:t>
            </w:r>
            <w:r w:rsidRPr="00243232">
              <w:t>including </w:t>
            </w:r>
            <w:r w:rsidRPr="00243232">
              <w:rPr>
                <w:rFonts w:eastAsia="SimSun"/>
              </w:rPr>
              <w:t>evidence, continuity and change, cause and effect, perspectives, empathy, significance </w:t>
            </w:r>
            <w:r w:rsidRPr="00243232">
              <w:t>and</w:t>
            </w:r>
            <w:r w:rsidRPr="00243232">
              <w:rPr>
                <w:rFonts w:eastAsia="SimSun"/>
              </w:rPr>
              <w:t> contestability.</w:t>
            </w:r>
            <w:r>
              <w:t> These concepts may be investigated within a particular historical context to facilitate an understanding of the past and to provide a focus for historical inquiries.</w:t>
            </w:r>
          </w:p>
          <w:p w14:paraId="51743448" w14:textId="77777777" w:rsidR="00E86F6F" w:rsidRDefault="00E86F6F" w:rsidP="00EE64C9">
            <w:pPr>
              <w:pStyle w:val="Tabletext"/>
            </w:pPr>
            <w:r>
              <w:t>The history content at this year level involves two strands: historical knowledge and understanding, and historical skills. These strands are interrelated and have been developed to be taught in an integrated way, and in ways that are appropriate to specific local contexts. The order and detail in which they are taught are programming decisions.</w:t>
            </w:r>
          </w:p>
          <w:p w14:paraId="72069435" w14:textId="77777777" w:rsidR="00E86F6F" w:rsidRDefault="00E86F6F" w:rsidP="00EE64C9">
            <w:pPr>
              <w:pStyle w:val="Tabletext"/>
              <w:rPr>
                <w:lang w:eastAsia="ja-JP"/>
              </w:rPr>
            </w:pPr>
          </w:p>
          <w:p w14:paraId="01709E3C" w14:textId="77777777" w:rsidR="00E86F6F" w:rsidRPr="00EB2B29" w:rsidRDefault="00E86F6F" w:rsidP="00EE64C9">
            <w:pPr>
              <w:pStyle w:val="Tabletext"/>
              <w:rPr>
                <w:lang w:eastAsia="ja-JP"/>
              </w:rPr>
            </w:pPr>
            <w:r w:rsidRPr="00EB2B29">
              <w:rPr>
                <w:lang w:eastAsia="ja-JP"/>
              </w:rPr>
              <w:t>Key inquiry questions</w:t>
            </w:r>
          </w:p>
          <w:p w14:paraId="58730357" w14:textId="77777777" w:rsidR="00E86F6F" w:rsidRPr="00243232" w:rsidRDefault="00E86F6F" w:rsidP="00EE64C9">
            <w:pPr>
              <w:pStyle w:val="Tabletext"/>
            </w:pPr>
            <w:r w:rsidRPr="00C963FB">
              <w:rPr>
                <w:lang w:eastAsia="ja-JP"/>
              </w:rPr>
              <w:t xml:space="preserve">A framework for developing students’ historical knowledge, understanding and </w:t>
            </w:r>
            <w:r w:rsidRPr="00243232">
              <w:t>skills is provided by inquiry questions through the use and interpretation of sources. The key inquiry questions for Year 10 are:</w:t>
            </w:r>
          </w:p>
          <w:p w14:paraId="4F540C81" w14:textId="77777777" w:rsidR="00E86F6F" w:rsidRPr="00243232" w:rsidRDefault="00E86F6F" w:rsidP="00C3343E">
            <w:pPr>
              <w:pStyle w:val="TableBullet"/>
            </w:pPr>
            <w:r w:rsidRPr="00243232">
              <w:t>How did the nature of global conflict change during the twentieth century?</w:t>
            </w:r>
          </w:p>
          <w:p w14:paraId="66708561" w14:textId="77777777" w:rsidR="00E86F6F" w:rsidRPr="00243232" w:rsidRDefault="00E86F6F" w:rsidP="00C3343E">
            <w:pPr>
              <w:pStyle w:val="TableBullet"/>
            </w:pPr>
            <w:r w:rsidRPr="00243232">
              <w:t>What were the consequences of World War II? How did these consequences shape the modern world?</w:t>
            </w:r>
          </w:p>
          <w:p w14:paraId="05B9D640" w14:textId="77777777" w:rsidR="00AB580C" w:rsidRPr="00D97D6E" w:rsidRDefault="00E86F6F" w:rsidP="00C3343E">
            <w:pPr>
              <w:pStyle w:val="TableBullet"/>
            </w:pPr>
            <w:r w:rsidRPr="00C963FB">
              <w:rPr>
                <w:lang w:eastAsia="ja-JP"/>
              </w:rPr>
              <w:t>How was Australian society affected by other significant global events and changes in this period?</w:t>
            </w:r>
            <w:bookmarkEnd w:id="3"/>
          </w:p>
        </w:tc>
        <w:tc>
          <w:tcPr>
            <w:tcW w:w="2500" w:type="pct"/>
            <w:tcBorders>
              <w:bottom w:val="single" w:sz="4" w:space="0" w:color="A6A6A6"/>
            </w:tcBorders>
          </w:tcPr>
          <w:p w14:paraId="455CF9F7" w14:textId="77777777" w:rsidR="00AB580C" w:rsidRPr="0044272C" w:rsidRDefault="0044272C" w:rsidP="00EE64C9">
            <w:pPr>
              <w:pStyle w:val="Tabletext"/>
            </w:pPr>
            <w:r w:rsidRPr="0044272C">
              <w:t>This year level plan has not been developed with a specific cohort in mind. It is provided as an example of the intent of the Australian Curriculum: History, and reflective of QCAA advice and resources.</w:t>
            </w:r>
          </w:p>
        </w:tc>
      </w:tr>
      <w:tr w:rsidR="00AB580C" w14:paraId="7A4588DB" w14:textId="77777777" w:rsidTr="00A44EAC">
        <w:trPr>
          <w:trHeight w:val="254"/>
        </w:trPr>
        <w:tc>
          <w:tcPr>
            <w:tcW w:w="2500" w:type="pct"/>
            <w:vMerge/>
          </w:tcPr>
          <w:p w14:paraId="43E83C74" w14:textId="77777777" w:rsidR="00AB580C" w:rsidRPr="002C70AE" w:rsidRDefault="00AB580C" w:rsidP="004725E5">
            <w:pPr>
              <w:pStyle w:val="Instructiontowriters"/>
            </w:pPr>
          </w:p>
        </w:tc>
        <w:tc>
          <w:tcPr>
            <w:tcW w:w="2500" w:type="pct"/>
            <w:tcBorders>
              <w:bottom w:val="single" w:sz="12" w:space="0" w:color="D52B1E" w:themeColor="text2"/>
            </w:tcBorders>
            <w:shd w:val="clear" w:color="auto" w:fill="808080" w:themeFill="background1" w:themeFillShade="80"/>
          </w:tcPr>
          <w:p w14:paraId="3F63FF4A"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Course organisation</w:t>
            </w:r>
          </w:p>
        </w:tc>
      </w:tr>
      <w:tr w:rsidR="00AB580C" w14:paraId="02112A00" w14:textId="77777777" w:rsidTr="00A44EAC">
        <w:trPr>
          <w:trHeight w:val="1983"/>
        </w:trPr>
        <w:tc>
          <w:tcPr>
            <w:tcW w:w="2500" w:type="pct"/>
            <w:vMerge/>
          </w:tcPr>
          <w:p w14:paraId="58A024A1" w14:textId="77777777" w:rsidR="00AB580C" w:rsidRPr="002C70AE" w:rsidRDefault="00AB580C" w:rsidP="004725E5">
            <w:pPr>
              <w:pStyle w:val="Instructiontowriters"/>
            </w:pPr>
          </w:p>
        </w:tc>
        <w:tc>
          <w:tcPr>
            <w:tcW w:w="2500" w:type="pct"/>
            <w:tcBorders>
              <w:top w:val="single" w:sz="12" w:space="0" w:color="D52B1E" w:themeColor="text2"/>
            </w:tcBorders>
          </w:tcPr>
          <w:p w14:paraId="12AA240F" w14:textId="77777777" w:rsidR="00AB580C" w:rsidRPr="00F91A56" w:rsidRDefault="0044272C" w:rsidP="00EE64C9">
            <w:pPr>
              <w:pStyle w:val="Tabletext"/>
            </w:pPr>
            <w:r w:rsidRPr="00F91A56">
              <w:t>This year level plan is written with the consideration that all school scenarios for delivery of History are unique. It is written to:</w:t>
            </w:r>
          </w:p>
          <w:p w14:paraId="243618AF" w14:textId="77777777" w:rsidR="0044272C" w:rsidRPr="00F91A56" w:rsidRDefault="0044272C" w:rsidP="00EE64C9">
            <w:pPr>
              <w:pStyle w:val="TableBullet"/>
            </w:pPr>
            <w:r w:rsidRPr="00F91A56">
              <w:t>offer units of work that could be adapted to suit multiple contexts as required by the school, including allocated time and resources</w:t>
            </w:r>
          </w:p>
          <w:p w14:paraId="4A5DC51E" w14:textId="7333EEE4" w:rsidR="0044272C" w:rsidRPr="00F91A56" w:rsidRDefault="0044272C" w:rsidP="00EE64C9">
            <w:pPr>
              <w:pStyle w:val="TableBullet"/>
            </w:pPr>
            <w:r w:rsidRPr="00F91A56">
              <w:t>consider different types of assessment that are suitable for the History</w:t>
            </w:r>
          </w:p>
          <w:p w14:paraId="0A5FFE0C" w14:textId="77777777" w:rsidR="0044272C" w:rsidRPr="00F91A56" w:rsidRDefault="0044272C" w:rsidP="00EE64C9">
            <w:pPr>
              <w:pStyle w:val="TableBullet"/>
            </w:pPr>
            <w:r w:rsidRPr="00F91A56">
              <w:t xml:space="preserve">provide examples for schools to adapt to their own contexts. </w:t>
            </w:r>
          </w:p>
          <w:p w14:paraId="1FA1C649" w14:textId="77777777" w:rsidR="0044272C" w:rsidRPr="00F91A56" w:rsidRDefault="0044272C" w:rsidP="00EE64C9">
            <w:pPr>
              <w:pStyle w:val="Tabletext"/>
              <w:rPr>
                <w:b/>
              </w:rPr>
            </w:pPr>
            <w:r w:rsidRPr="00F91A56">
              <w:rPr>
                <w:b/>
              </w:rPr>
              <w:t>Senior pathways</w:t>
            </w:r>
          </w:p>
          <w:p w14:paraId="1C40B3A4" w14:textId="77777777" w:rsidR="00971C3D" w:rsidRPr="00A64992" w:rsidRDefault="00971C3D" w:rsidP="00EE64C9">
            <w:pPr>
              <w:pStyle w:val="Tabletext"/>
              <w:rPr>
                <w:rStyle w:val="TabletextChar"/>
                <w:rFonts w:eastAsiaTheme="minorHAnsi"/>
              </w:rPr>
            </w:pPr>
            <w:r w:rsidRPr="00A64992">
              <w:rPr>
                <w:rStyle w:val="TabletextChar"/>
                <w:rFonts w:eastAsiaTheme="minorHAnsi"/>
              </w:rPr>
              <w:t xml:space="preserve">Senior </w:t>
            </w:r>
            <w:r>
              <w:rPr>
                <w:rStyle w:val="TabletextChar"/>
                <w:rFonts w:eastAsiaTheme="minorHAnsi"/>
              </w:rPr>
              <w:t>History</w:t>
            </w:r>
            <w:r w:rsidRPr="00A64992">
              <w:rPr>
                <w:rStyle w:val="TabletextChar"/>
                <w:rFonts w:eastAsiaTheme="minorHAnsi"/>
              </w:rPr>
              <w:t xml:space="preserve"> pathways are diverse. Consideration of these pathways is necessary when designing a course of work </w:t>
            </w:r>
            <w:r w:rsidR="0089217D">
              <w:rPr>
                <w:rStyle w:val="TabletextChar"/>
                <w:rFonts w:eastAsiaTheme="minorHAnsi"/>
              </w:rPr>
              <w:t>—</w:t>
            </w:r>
            <w:r w:rsidRPr="00A64992">
              <w:rPr>
                <w:rStyle w:val="TabletextChar"/>
                <w:rFonts w:eastAsiaTheme="minorHAnsi"/>
              </w:rPr>
              <w:t xml:space="preserve"> opportunities to develop the knowledge and skills necessary to succeed in these pathways should be evident across a course of study. </w:t>
            </w:r>
          </w:p>
          <w:p w14:paraId="79385B3D" w14:textId="77777777" w:rsidR="00F91A56" w:rsidRPr="00F91A56" w:rsidRDefault="00971C3D" w:rsidP="00EE64C9">
            <w:pPr>
              <w:pStyle w:val="Tabletext"/>
            </w:pPr>
            <w:r w:rsidRPr="00A64992">
              <w:rPr>
                <w:rStyle w:val="TabletextChar"/>
                <w:rFonts w:eastAsiaTheme="minorHAnsi"/>
              </w:rPr>
              <w:t>Senior pathways include:</w:t>
            </w:r>
            <w:r>
              <w:rPr>
                <w:rStyle w:val="TabletextChar"/>
                <w:rFonts w:eastAsiaTheme="minorHAnsi"/>
              </w:rPr>
              <w:t xml:space="preserve"> </w:t>
            </w:r>
            <w:r w:rsidR="00F91A56">
              <w:t>Modern History</w:t>
            </w:r>
            <w:r>
              <w:t xml:space="preserve"> </w:t>
            </w:r>
            <w:r w:rsidR="00C3343E">
              <w:t>and</w:t>
            </w:r>
            <w:r>
              <w:t xml:space="preserve"> </w:t>
            </w:r>
            <w:r w:rsidR="00F91A56">
              <w:t>Ancient History</w:t>
            </w:r>
          </w:p>
        </w:tc>
      </w:tr>
    </w:tbl>
    <w:p w14:paraId="6784F8C5" w14:textId="77777777" w:rsidR="00C019A4" w:rsidRDefault="00C019A4" w:rsidP="00C019A4">
      <w:pPr>
        <w:pStyle w:val="Heading1"/>
      </w:pPr>
      <w:r>
        <w:t>Unit overview</w:t>
      </w:r>
    </w:p>
    <w:tbl>
      <w:tblPr>
        <w:tblStyle w:val="QCAAtablestyle1"/>
        <w:tblW w:w="5000" w:type="pct"/>
        <w:tblLook w:val="0620" w:firstRow="1" w:lastRow="0" w:firstColumn="0" w:lastColumn="0" w:noHBand="1" w:noVBand="1"/>
      </w:tblPr>
      <w:tblGrid>
        <w:gridCol w:w="5341"/>
        <w:gridCol w:w="5207"/>
        <w:gridCol w:w="5207"/>
        <w:gridCol w:w="5207"/>
      </w:tblGrid>
      <w:tr w:rsidR="00E13547" w14:paraId="10BC7D16" w14:textId="77777777" w:rsidTr="004725E5">
        <w:trPr>
          <w:cnfStyle w:val="100000000000" w:firstRow="1" w:lastRow="0" w:firstColumn="0" w:lastColumn="0" w:oddVBand="0" w:evenVBand="0" w:oddHBand="0" w:evenHBand="0" w:firstRowFirstColumn="0" w:firstRowLastColumn="0" w:lastRowFirstColumn="0" w:lastRowLastColumn="0"/>
        </w:trPr>
        <w:tc>
          <w:tcPr>
            <w:tcW w:w="1274" w:type="pct"/>
          </w:tcPr>
          <w:p w14:paraId="7348954D" w14:textId="77777777" w:rsidR="00E13547" w:rsidRDefault="00E13547" w:rsidP="004725E5">
            <w:pPr>
              <w:pStyle w:val="Tableheading"/>
            </w:pPr>
            <w:r w:rsidRPr="003C692A">
              <w:t>Te</w:t>
            </w:r>
            <w:r>
              <w:t>r</w:t>
            </w:r>
            <w:r w:rsidRPr="003C692A">
              <w:t>m 1</w:t>
            </w:r>
          </w:p>
        </w:tc>
        <w:tc>
          <w:tcPr>
            <w:tcW w:w="1242" w:type="pct"/>
          </w:tcPr>
          <w:p w14:paraId="4294A5DB" w14:textId="77777777" w:rsidR="00E13547" w:rsidRDefault="00E13547" w:rsidP="004725E5">
            <w:pPr>
              <w:pStyle w:val="Tableheading"/>
            </w:pPr>
            <w:r w:rsidRPr="003C692A">
              <w:t>Term 2</w:t>
            </w:r>
          </w:p>
        </w:tc>
        <w:tc>
          <w:tcPr>
            <w:tcW w:w="1242" w:type="pct"/>
          </w:tcPr>
          <w:p w14:paraId="5BAB9833" w14:textId="77777777" w:rsidR="00E13547" w:rsidRDefault="00E13547" w:rsidP="004725E5">
            <w:pPr>
              <w:pStyle w:val="Tableheading"/>
            </w:pPr>
            <w:r w:rsidRPr="003C692A">
              <w:t>Term 3</w:t>
            </w:r>
          </w:p>
        </w:tc>
        <w:tc>
          <w:tcPr>
            <w:tcW w:w="1242" w:type="pct"/>
          </w:tcPr>
          <w:p w14:paraId="60FACDF8" w14:textId="77777777" w:rsidR="00E13547" w:rsidRDefault="00E13547" w:rsidP="004725E5">
            <w:pPr>
              <w:pStyle w:val="Tableheading"/>
            </w:pPr>
            <w:r w:rsidRPr="003C692A">
              <w:t>Term 4</w:t>
            </w:r>
          </w:p>
        </w:tc>
      </w:tr>
      <w:tr w:rsidR="00E13547" w14:paraId="71D9A814" w14:textId="77777777" w:rsidTr="004725E5">
        <w:tc>
          <w:tcPr>
            <w:tcW w:w="1274" w:type="pct"/>
          </w:tcPr>
          <w:p w14:paraId="2A176E3D" w14:textId="71B89606" w:rsidR="00E13547" w:rsidRPr="00D4440E" w:rsidRDefault="00E13547" w:rsidP="00D4440E">
            <w:pPr>
              <w:pStyle w:val="Tablesubhead"/>
            </w:pPr>
            <w:r w:rsidRPr="00D4440E">
              <w:t xml:space="preserve">Unit 1 — </w:t>
            </w:r>
            <w:r w:rsidR="00480418">
              <w:t>The weight of war</w:t>
            </w:r>
          </w:p>
        </w:tc>
        <w:tc>
          <w:tcPr>
            <w:tcW w:w="1242" w:type="pct"/>
          </w:tcPr>
          <w:p w14:paraId="5FECEB4E" w14:textId="77777777" w:rsidR="00E13547" w:rsidRPr="0062088B" w:rsidRDefault="00E13547" w:rsidP="0062088B">
            <w:pPr>
              <w:pStyle w:val="Tablesubhead"/>
            </w:pPr>
            <w:r>
              <w:t xml:space="preserve">Unit 2 </w:t>
            </w:r>
            <w:r w:rsidR="0062088B">
              <w:t xml:space="preserve">— </w:t>
            </w:r>
            <w:r w:rsidR="00E86F6F">
              <w:t>Rights and freedoms</w:t>
            </w:r>
          </w:p>
        </w:tc>
        <w:tc>
          <w:tcPr>
            <w:tcW w:w="1242" w:type="pct"/>
          </w:tcPr>
          <w:p w14:paraId="1F0C04AD" w14:textId="77777777" w:rsidR="00E13547" w:rsidRPr="0062088B" w:rsidRDefault="00E13547" w:rsidP="0062088B">
            <w:pPr>
              <w:pStyle w:val="Tablesubhead"/>
            </w:pPr>
            <w:r>
              <w:t xml:space="preserve">Unit 3 — </w:t>
            </w:r>
            <w:r w:rsidR="00E86F6F">
              <w:t>Movers and shakers in history</w:t>
            </w:r>
          </w:p>
        </w:tc>
        <w:tc>
          <w:tcPr>
            <w:tcW w:w="1242" w:type="pct"/>
          </w:tcPr>
          <w:p w14:paraId="2B1C258F" w14:textId="77777777" w:rsidR="00E13547" w:rsidRPr="002D7769" w:rsidRDefault="00E13547" w:rsidP="002D7769">
            <w:pPr>
              <w:pStyle w:val="Tablesubhead"/>
            </w:pPr>
            <w:r>
              <w:t xml:space="preserve">Unit 4 — </w:t>
            </w:r>
            <w:r w:rsidR="00E86F6F">
              <w:t>Popular culture</w:t>
            </w:r>
          </w:p>
        </w:tc>
      </w:tr>
      <w:tr w:rsidR="00E86F6F" w14:paraId="4F55DE38" w14:textId="77777777" w:rsidTr="0016106E">
        <w:trPr>
          <w:trHeight w:val="1776"/>
        </w:trPr>
        <w:tc>
          <w:tcPr>
            <w:tcW w:w="0" w:type="pct"/>
          </w:tcPr>
          <w:p w14:paraId="4611EBE5" w14:textId="0B2018BC" w:rsidR="00E86F6F" w:rsidRPr="00E86F6F" w:rsidRDefault="00E86F6F" w:rsidP="00EE64C9">
            <w:pPr>
              <w:pStyle w:val="Tabletext"/>
            </w:pPr>
            <w:r w:rsidRPr="009E4AB9">
              <w:t>Inquiry questions:</w:t>
            </w:r>
            <w:r w:rsidRPr="00E86F6F">
              <w:t xml:space="preserve"> </w:t>
            </w:r>
            <w:r w:rsidR="008C5910">
              <w:t xml:space="preserve">To what extent did the experiences </w:t>
            </w:r>
            <w:r w:rsidR="002867B5">
              <w:t xml:space="preserve">and consequences </w:t>
            </w:r>
            <w:r w:rsidR="008C5910">
              <w:t>of World War II</w:t>
            </w:r>
            <w:r w:rsidRPr="00E86F6F">
              <w:t xml:space="preserve"> </w:t>
            </w:r>
            <w:r w:rsidR="002867B5">
              <w:t>shape the modern world?</w:t>
            </w:r>
          </w:p>
          <w:p w14:paraId="389387EF" w14:textId="54AC280C" w:rsidR="00E86F6F" w:rsidRPr="007F58A1" w:rsidRDefault="002C1D57" w:rsidP="00EE64C9">
            <w:pPr>
              <w:pStyle w:val="Tabletext"/>
            </w:pPr>
            <w:r>
              <w:t>S</w:t>
            </w:r>
            <w:r w:rsidR="00E86F6F">
              <w:t xml:space="preserve">tudents will </w:t>
            </w:r>
            <w:r w:rsidR="001437A5">
              <w:t>investigate</w:t>
            </w:r>
            <w:r w:rsidR="00CE506D">
              <w:t xml:space="preserve"> the causes and course of</w:t>
            </w:r>
            <w:r w:rsidR="00E86F6F">
              <w:t xml:space="preserve"> World War II</w:t>
            </w:r>
            <w:r w:rsidR="00BC30EC">
              <w:t xml:space="preserve"> </w:t>
            </w:r>
            <w:r w:rsidR="005E60DA">
              <w:t>to</w:t>
            </w:r>
            <w:r w:rsidR="00BC30EC">
              <w:t xml:space="preserve"> determine it</w:t>
            </w:r>
            <w:r w:rsidR="00321176">
              <w:t>s broader impact</w:t>
            </w:r>
            <w:r w:rsidR="006E58B1">
              <w:t xml:space="preserve"> as an episode in world history.</w:t>
            </w:r>
            <w:r w:rsidR="00E86F6F">
              <w:t xml:space="preserve"> Through analys</w:t>
            </w:r>
            <w:r w:rsidR="00170F3B">
              <w:t>is</w:t>
            </w:r>
            <w:r w:rsidR="00E86F6F">
              <w:t xml:space="preserve"> and evaluat</w:t>
            </w:r>
            <w:r w:rsidR="00170F3B">
              <w:t>ion of</w:t>
            </w:r>
            <w:r w:rsidR="00E86F6F">
              <w:t xml:space="preserve"> </w:t>
            </w:r>
            <w:r w:rsidR="008B3BBA">
              <w:t>primary</w:t>
            </w:r>
            <w:r w:rsidR="00E86F6F">
              <w:t xml:space="preserve"> sources</w:t>
            </w:r>
            <w:r w:rsidR="009613AC">
              <w:t xml:space="preserve"> (</w:t>
            </w:r>
            <w:r w:rsidR="00E86F6F">
              <w:t>e.g. cartoons, posters, speeches</w:t>
            </w:r>
            <w:r w:rsidR="006E58B1">
              <w:t xml:space="preserve">, </w:t>
            </w:r>
            <w:r w:rsidR="002E47E9">
              <w:t>government records</w:t>
            </w:r>
            <w:r w:rsidR="009613AC">
              <w:t>)</w:t>
            </w:r>
            <w:r w:rsidR="00E86F6F">
              <w:t xml:space="preserve"> </w:t>
            </w:r>
            <w:r w:rsidR="00153713">
              <w:t xml:space="preserve">and secondary sources </w:t>
            </w:r>
            <w:r w:rsidR="00675FE4">
              <w:t xml:space="preserve">(e.g. </w:t>
            </w:r>
            <w:r w:rsidR="008F53A0">
              <w:t>scholarly articles)</w:t>
            </w:r>
            <w:r w:rsidR="00170F3B">
              <w:t xml:space="preserve">, </w:t>
            </w:r>
            <w:r w:rsidR="00E86F6F">
              <w:t xml:space="preserve">conclusions </w:t>
            </w:r>
            <w:r w:rsidR="003F150D">
              <w:t>about</w:t>
            </w:r>
            <w:r w:rsidR="00E86F6F">
              <w:t xml:space="preserve"> the </w:t>
            </w:r>
            <w:r w:rsidR="00A50A17">
              <w:t>causes and effects of the conflict</w:t>
            </w:r>
            <w:r w:rsidR="004B2EA9">
              <w:t xml:space="preserve"> and its ongoing consequences</w:t>
            </w:r>
            <w:r w:rsidR="00C43E32">
              <w:t xml:space="preserve"> will be formed</w:t>
            </w:r>
            <w:r w:rsidR="00E86F6F">
              <w:t xml:space="preserve">. </w:t>
            </w:r>
            <w:r w:rsidR="00E14233">
              <w:t>To achieve this, s</w:t>
            </w:r>
            <w:r w:rsidR="00E86F6F">
              <w:t xml:space="preserve">tudents will consider the impact </w:t>
            </w:r>
            <w:r w:rsidR="007C7B06">
              <w:t xml:space="preserve">of developments such as the Treaty of Versailles (1919) </w:t>
            </w:r>
            <w:r w:rsidR="00927DFB">
              <w:t>and the Japanese inva</w:t>
            </w:r>
            <w:r w:rsidR="00CF50AE">
              <w:t xml:space="preserve">sion of China (1937) </w:t>
            </w:r>
            <w:r w:rsidR="00E86F6F">
              <w:t>on</w:t>
            </w:r>
            <w:r w:rsidR="00CF50AE">
              <w:t xml:space="preserve"> the outbreak of theatres of war</w:t>
            </w:r>
            <w:r w:rsidR="00E444BB">
              <w:t xml:space="preserve"> in Europe and the Pacific in 1939. </w:t>
            </w:r>
            <w:r w:rsidR="00E86F6F">
              <w:t>Other sources including</w:t>
            </w:r>
            <w:r w:rsidR="00A86E60">
              <w:t xml:space="preserve"> political cartoons,</w:t>
            </w:r>
            <w:r w:rsidR="00E86F6F">
              <w:t xml:space="preserve"> </w:t>
            </w:r>
            <w:r w:rsidR="003615B2">
              <w:t xml:space="preserve">propaganda </w:t>
            </w:r>
            <w:r w:rsidR="00E86F6F">
              <w:t>posters</w:t>
            </w:r>
            <w:r w:rsidR="003638DB">
              <w:t xml:space="preserve">, </w:t>
            </w:r>
            <w:r w:rsidR="00E86F6F">
              <w:t>speeches</w:t>
            </w:r>
            <w:r w:rsidR="003638DB">
              <w:t xml:space="preserve"> and articles</w:t>
            </w:r>
            <w:r w:rsidR="00E86F6F">
              <w:t xml:space="preserve"> will </w:t>
            </w:r>
            <w:r w:rsidR="00585E67">
              <w:t xml:space="preserve">then </w:t>
            </w:r>
            <w:r w:rsidR="00E86F6F">
              <w:t xml:space="preserve">be used to examine significant events </w:t>
            </w:r>
            <w:r w:rsidR="00E444BB">
              <w:t xml:space="preserve">in the European theatre of war </w:t>
            </w:r>
            <w:r w:rsidR="00E86F6F">
              <w:t xml:space="preserve">such as the </w:t>
            </w:r>
            <w:r w:rsidR="00E86F6F" w:rsidRPr="00747DEC">
              <w:t xml:space="preserve">Night of Long Knives </w:t>
            </w:r>
            <w:r w:rsidR="00E86F6F">
              <w:t>(1934)</w:t>
            </w:r>
            <w:r w:rsidR="00E03DC7">
              <w:t>, the Battle of Normandy (1944)</w:t>
            </w:r>
            <w:r w:rsidR="00745BED">
              <w:t xml:space="preserve"> and</w:t>
            </w:r>
            <w:r w:rsidR="00E86F6F">
              <w:t xml:space="preserve"> the Holocaust (1941</w:t>
            </w:r>
            <w:r w:rsidR="009613AC">
              <w:t>–</w:t>
            </w:r>
            <w:r w:rsidR="00E86F6F">
              <w:t>1945)</w:t>
            </w:r>
            <w:r w:rsidR="00591149">
              <w:t xml:space="preserve"> to assess the extent to which those events shaped both the conflict</w:t>
            </w:r>
            <w:r w:rsidR="00A870D5">
              <w:t xml:space="preserve"> and its </w:t>
            </w:r>
            <w:r w:rsidR="004E06A8">
              <w:t>enduring</w:t>
            </w:r>
            <w:r w:rsidR="00A870D5">
              <w:t xml:space="preserve"> </w:t>
            </w:r>
            <w:r w:rsidR="004E06A8">
              <w:t>impacts</w:t>
            </w:r>
            <w:r w:rsidR="00E86F6F">
              <w:t xml:space="preserve">. In addition, students will analyse </w:t>
            </w:r>
            <w:r w:rsidR="00E86F6F">
              <w:lastRenderedPageBreak/>
              <w:t>and evaluate similar sources on significant events in the Pacific</w:t>
            </w:r>
            <w:r w:rsidR="00745BED">
              <w:t xml:space="preserve"> theatre</w:t>
            </w:r>
            <w:r w:rsidR="009613AC">
              <w:t xml:space="preserve">, </w:t>
            </w:r>
            <w:r w:rsidR="00E86F6F">
              <w:t>e.g. the fall of Singapore (1942), Kokoda Trail campaign (1942)</w:t>
            </w:r>
            <w:r w:rsidR="00006181">
              <w:t xml:space="preserve"> and </w:t>
            </w:r>
            <w:r w:rsidR="005C015D">
              <w:t>the atomic bombings of Hiroshima and Nagasaki (1945)</w:t>
            </w:r>
            <w:r w:rsidR="00581142">
              <w:t>. The particular focus will be on</w:t>
            </w:r>
            <w:r w:rsidR="00E86F6F">
              <w:t xml:space="preserve"> </w:t>
            </w:r>
            <w:r w:rsidR="00581142">
              <w:t>investigating</w:t>
            </w:r>
            <w:r w:rsidR="00E86F6F">
              <w:t xml:space="preserve"> the ways that Australians were </w:t>
            </w:r>
            <w:r w:rsidR="007268B0">
              <w:t>affected</w:t>
            </w:r>
            <w:r w:rsidR="00233D81">
              <w:t xml:space="preserve"> by </w:t>
            </w:r>
            <w:r w:rsidR="005277CA">
              <w:t>the war.</w:t>
            </w:r>
            <w:r w:rsidR="008F52E7">
              <w:t xml:space="preserve"> S</w:t>
            </w:r>
            <w:r w:rsidR="004672C6">
              <w:t xml:space="preserve">ources used will </w:t>
            </w:r>
            <w:r w:rsidR="008F52E7">
              <w:t>consider</w:t>
            </w:r>
            <w:r w:rsidR="00FC4A2F">
              <w:t xml:space="preserve"> the impact on the home front and the ways Australians were</w:t>
            </w:r>
            <w:r w:rsidR="005277CA">
              <w:t xml:space="preserve"> </w:t>
            </w:r>
            <w:r w:rsidR="00E86F6F">
              <w:t>encouraged to contribute to the war effort</w:t>
            </w:r>
            <w:r w:rsidR="00032946">
              <w:t xml:space="preserve">, alongside </w:t>
            </w:r>
            <w:r w:rsidR="001B2C40">
              <w:t>the</w:t>
            </w:r>
            <w:r w:rsidR="00E86F6F">
              <w:t xml:space="preserve"> </w:t>
            </w:r>
            <w:r w:rsidR="00C24AF0">
              <w:t xml:space="preserve">developments that </w:t>
            </w:r>
            <w:r w:rsidR="00E86F6F">
              <w:t>influenced Australia’s international relationships in the twentieth century</w:t>
            </w:r>
            <w:r w:rsidR="00117845">
              <w:t>.</w:t>
            </w:r>
          </w:p>
        </w:tc>
        <w:tc>
          <w:tcPr>
            <w:tcW w:w="0" w:type="pct"/>
          </w:tcPr>
          <w:p w14:paraId="0ED2AA34" w14:textId="43033325" w:rsidR="00E86F6F" w:rsidRPr="00E86F6F" w:rsidRDefault="00E86F6F" w:rsidP="00EE64C9">
            <w:pPr>
              <w:pStyle w:val="Tabletext"/>
            </w:pPr>
            <w:r w:rsidRPr="009E4AB9">
              <w:lastRenderedPageBreak/>
              <w:t>Inquiry question:</w:t>
            </w:r>
            <w:r w:rsidRPr="00E86F6F">
              <w:t xml:space="preserve"> How have the rights and freedoms of Aboriginal </w:t>
            </w:r>
            <w:r w:rsidR="00ED5F32">
              <w:t>p</w:t>
            </w:r>
            <w:r w:rsidR="00ED5F32" w:rsidRPr="00E86F6F">
              <w:t xml:space="preserve">eoples </w:t>
            </w:r>
            <w:r w:rsidRPr="00E86F6F">
              <w:t xml:space="preserve">and Torres Strait Islander </w:t>
            </w:r>
            <w:r w:rsidR="00ED5F32">
              <w:t>p</w:t>
            </w:r>
            <w:r w:rsidR="00ED5F32" w:rsidRPr="00E86F6F">
              <w:t xml:space="preserve">eoples </w:t>
            </w:r>
            <w:r w:rsidRPr="00E86F6F">
              <w:t>been addressed in Australia from 1945</w:t>
            </w:r>
            <w:r w:rsidR="009613AC">
              <w:t xml:space="preserve"> to </w:t>
            </w:r>
            <w:r w:rsidRPr="00E86F6F">
              <w:t xml:space="preserve">the present? </w:t>
            </w:r>
          </w:p>
          <w:p w14:paraId="42D84037" w14:textId="2D3A4F33" w:rsidR="00E86F6F" w:rsidRPr="003A1CFD" w:rsidRDefault="00D31B94" w:rsidP="00EE64C9">
            <w:pPr>
              <w:pStyle w:val="Tabletext"/>
            </w:pPr>
            <w:r>
              <w:t>S</w:t>
            </w:r>
            <w:r w:rsidR="00E86F6F" w:rsidRPr="00E86F6F">
              <w:t xml:space="preserve">tudents will focus on the events and developments that contributed to the rights and freedoms of Aboriginal </w:t>
            </w:r>
            <w:r w:rsidR="00ED5F32">
              <w:t>p</w:t>
            </w:r>
            <w:r w:rsidR="00E86F6F" w:rsidRPr="00E86F6F">
              <w:t xml:space="preserve">eoples and Torres Strait Islander </w:t>
            </w:r>
            <w:r w:rsidR="00ED5F32">
              <w:t>p</w:t>
            </w:r>
            <w:r w:rsidR="00E86F6F" w:rsidRPr="00E86F6F">
              <w:t>eoples being addressed from 1945</w:t>
            </w:r>
            <w:r w:rsidR="009613AC">
              <w:t xml:space="preserve"> to </w:t>
            </w:r>
            <w:r w:rsidR="00E86F6F" w:rsidRPr="00E86F6F">
              <w:t xml:space="preserve">the present. Through analysing primary and secondary sources, students will investigate the background to the struggle of Aboriginal </w:t>
            </w:r>
            <w:r w:rsidR="00ED5F32">
              <w:t>p</w:t>
            </w:r>
            <w:r w:rsidR="00ED5F32" w:rsidRPr="00E86F6F">
              <w:t xml:space="preserve">eoples </w:t>
            </w:r>
            <w:r w:rsidR="00E86F6F" w:rsidRPr="00E86F6F">
              <w:t xml:space="preserve">and Torres Strait Islander </w:t>
            </w:r>
            <w:r w:rsidR="00ED5F32">
              <w:t>p</w:t>
            </w:r>
            <w:r w:rsidR="00ED5F32" w:rsidRPr="00E86F6F">
              <w:t xml:space="preserve">eoples </w:t>
            </w:r>
            <w:r w:rsidR="00E86F6F" w:rsidRPr="00E86F6F">
              <w:t xml:space="preserve">for rights and freedoms, as well as the influence of the United States civil rights movement </w:t>
            </w:r>
            <w:proofErr w:type="gramStart"/>
            <w:r w:rsidR="00E86F6F" w:rsidRPr="00E86F6F">
              <w:t>on</w:t>
            </w:r>
            <w:proofErr w:type="gramEnd"/>
            <w:r w:rsidR="00E86F6F" w:rsidRPr="00E86F6F">
              <w:t xml:space="preserve"> Australia. The sources to be used will also allow students to identify key individuals, groups and events that contributed to change. Milestones associated with the rights and freedoms of Aboriginal </w:t>
            </w:r>
            <w:r w:rsidR="00ED5F32">
              <w:t>p</w:t>
            </w:r>
            <w:r w:rsidR="00ED5F32" w:rsidRPr="00E86F6F">
              <w:t xml:space="preserve">eoples </w:t>
            </w:r>
            <w:r w:rsidR="00E86F6F" w:rsidRPr="00E86F6F">
              <w:t xml:space="preserve">and Torres Strait Islander </w:t>
            </w:r>
            <w:r w:rsidR="00ED5F32">
              <w:t>p</w:t>
            </w:r>
            <w:r w:rsidR="00E86F6F" w:rsidRPr="00E86F6F">
              <w:t xml:space="preserve">eoples being addressed in Australia include the right to vote federally (1962), the Freedom Ride in Australia (1965), 1967 Referendum, </w:t>
            </w:r>
            <w:r w:rsidR="00E86F6F" w:rsidRPr="00E86F6F">
              <w:rPr>
                <w:i/>
              </w:rPr>
              <w:t>Bringing Them Home Report</w:t>
            </w:r>
            <w:r w:rsidR="00E86F6F" w:rsidRPr="00E86F6F">
              <w:t xml:space="preserve"> into the Stolen Generations (1997), Mabo </w:t>
            </w:r>
            <w:r w:rsidR="00E86F6F" w:rsidRPr="00E86F6F">
              <w:lastRenderedPageBreak/>
              <w:t>decision (1992) and National Apology to the Stolen Generations (2018).</w:t>
            </w:r>
          </w:p>
        </w:tc>
        <w:tc>
          <w:tcPr>
            <w:tcW w:w="0" w:type="pct"/>
          </w:tcPr>
          <w:p w14:paraId="7D246813" w14:textId="77777777" w:rsidR="00E86F6F" w:rsidRPr="00E86F6F" w:rsidRDefault="00E86F6F" w:rsidP="00EE64C9">
            <w:pPr>
              <w:pStyle w:val="Tabletext"/>
            </w:pPr>
            <w:r w:rsidRPr="009E4AB9">
              <w:lastRenderedPageBreak/>
              <w:t>Inquiry question:</w:t>
            </w:r>
            <w:r w:rsidRPr="00E86F6F">
              <w:t xml:space="preserve"> How have movers and shakers in Australian history been perceived by historians and society? </w:t>
            </w:r>
          </w:p>
          <w:p w14:paraId="78B9A8E5" w14:textId="2D0C8269" w:rsidR="00E86F6F" w:rsidRDefault="00D31B94" w:rsidP="00EE64C9">
            <w:pPr>
              <w:pStyle w:val="Tabletext"/>
              <w:rPr>
                <w:sz w:val="21"/>
                <w14:numForm w14:val="lining"/>
              </w:rPr>
            </w:pPr>
            <w:r>
              <w:t>S</w:t>
            </w:r>
            <w:r w:rsidR="00E86F6F" w:rsidRPr="00F17BF9">
              <w:t xml:space="preserve">tudents will </w:t>
            </w:r>
            <w:r w:rsidR="00E86F6F">
              <w:t xml:space="preserve">continue to </w:t>
            </w:r>
            <w:r w:rsidR="00E86F6F" w:rsidRPr="00F17BF9">
              <w:t xml:space="preserve">develop their </w:t>
            </w:r>
            <w:r w:rsidR="00E86F6F">
              <w:t xml:space="preserve">skills of historical inquiry through a process of investigation which includes posing questions, locating and analysing sources and using evidence from sources to develop an informed explanation of the past. The focus of the investigation will be on </w:t>
            </w:r>
            <w:r w:rsidR="00E86F6F" w:rsidRPr="00F17BF9">
              <w:t>evaluating</w:t>
            </w:r>
            <w:r w:rsidR="000E1BA8">
              <w:t xml:space="preserve"> the </w:t>
            </w:r>
            <w:r w:rsidR="00724EFC">
              <w:t>way</w:t>
            </w:r>
            <w:r w:rsidR="00E86F6F" w:rsidRPr="00F17BF9">
              <w:t xml:space="preserve"> </w:t>
            </w:r>
            <w:r w:rsidR="00B321B0">
              <w:t xml:space="preserve">an individual in Australia’s history (1918 to </w:t>
            </w:r>
            <w:r w:rsidR="00BF3D10">
              <w:t>present day)</w:t>
            </w:r>
            <w:r w:rsidR="00724EFC">
              <w:t xml:space="preserve"> has been represented</w:t>
            </w:r>
            <w:r w:rsidR="00E86F6F" w:rsidRPr="00F17BF9">
              <w:t xml:space="preserve">. </w:t>
            </w:r>
            <w:r w:rsidR="00E86F6F">
              <w:t xml:space="preserve">In consultation with their teacher, students will be required to select </w:t>
            </w:r>
            <w:r w:rsidR="00E86F6F" w:rsidRPr="00F17BF9">
              <w:t xml:space="preserve">a </w:t>
            </w:r>
            <w:r w:rsidR="00E86F6F">
              <w:t>significant historical personality from Unit 1 or Unit</w:t>
            </w:r>
            <w:r w:rsidR="006C4AA8">
              <w:t> </w:t>
            </w:r>
            <w:r w:rsidR="00E86F6F">
              <w:t>2 for their process of historical inquiry. When undertaking independent research on the selected personality, students will be required to analyse and evaluate primary and secondary sources, and use the evidence to</w:t>
            </w:r>
            <w:r w:rsidR="002920B9">
              <w:t xml:space="preserve"> </w:t>
            </w:r>
            <w:r w:rsidR="00CC03B7">
              <w:t>assess</w:t>
            </w:r>
            <w:r w:rsidR="002920B9">
              <w:t xml:space="preserve"> the historical representation of th</w:t>
            </w:r>
            <w:r w:rsidR="00F5599A">
              <w:t xml:space="preserve">e individual and </w:t>
            </w:r>
            <w:r w:rsidR="00E86F6F">
              <w:t>develop their own interpretation o</w:t>
            </w:r>
            <w:r w:rsidR="00F5599A">
              <w:t>f</w:t>
            </w:r>
            <w:r w:rsidR="00E86F6F">
              <w:t xml:space="preserve"> this person’s life and/or achievements. </w:t>
            </w:r>
            <w:r w:rsidR="00E86F6F">
              <w:rPr>
                <w:sz w:val="21"/>
                <w14:numForm w14:val="lining"/>
              </w:rPr>
              <w:t xml:space="preserve"> </w:t>
            </w:r>
          </w:p>
          <w:p w14:paraId="05914D1C" w14:textId="77777777" w:rsidR="00E86F6F" w:rsidRDefault="00E86F6F" w:rsidP="00EE64C9">
            <w:pPr>
              <w:pStyle w:val="Tabletext"/>
            </w:pPr>
          </w:p>
        </w:tc>
        <w:tc>
          <w:tcPr>
            <w:tcW w:w="0" w:type="pct"/>
          </w:tcPr>
          <w:p w14:paraId="3247DEA6" w14:textId="77777777" w:rsidR="00E86F6F" w:rsidRDefault="00E86F6F" w:rsidP="00EE64C9">
            <w:pPr>
              <w:pStyle w:val="Tabletext"/>
              <w:rPr>
                <w14:numForm w14:val="lining"/>
              </w:rPr>
            </w:pPr>
            <w:r w:rsidRPr="009E4AB9">
              <w:rPr>
                <w14:numForm w14:val="lining"/>
              </w:rPr>
              <w:lastRenderedPageBreak/>
              <w:t>Inquiry questions:</w:t>
            </w:r>
            <w:r w:rsidRPr="00E86F6F">
              <w:rPr>
                <w14:numForm w14:val="lining"/>
              </w:rPr>
              <w:t xml:space="preserve"> How and why has popular culture changed in post-war Australia with the introduction of television and rock </w:t>
            </w:r>
            <w:r>
              <w:rPr>
                <w14:numForm w14:val="lining"/>
              </w:rPr>
              <w:t>‘n’</w:t>
            </w:r>
            <w:r w:rsidRPr="00E86F6F">
              <w:rPr>
                <w14:numForm w14:val="lining"/>
              </w:rPr>
              <w:t xml:space="preserve"> roll? How did popular culture influence the establishment of a post-war Australian national identity? </w:t>
            </w:r>
          </w:p>
          <w:p w14:paraId="0A3557FB" w14:textId="77777777" w:rsidR="00E86F6F" w:rsidRPr="00E86F6F" w:rsidRDefault="00E86F6F" w:rsidP="00EE64C9">
            <w:pPr>
              <w:pStyle w:val="Tabletext"/>
              <w:rPr>
                <w14:numForm w14:val="lining"/>
              </w:rPr>
            </w:pPr>
          </w:p>
          <w:p w14:paraId="3B7CEB36" w14:textId="702DB5F2" w:rsidR="00E86F6F" w:rsidRPr="00E86F6F" w:rsidRDefault="00D31B94" w:rsidP="00EE64C9">
            <w:pPr>
              <w:pStyle w:val="Tabletext"/>
              <w:rPr>
                <w14:numForm w14:val="lining"/>
              </w:rPr>
            </w:pPr>
            <w:r>
              <w:rPr>
                <w14:numForm w14:val="lining"/>
              </w:rPr>
              <w:t>S</w:t>
            </w:r>
            <w:r w:rsidR="00E86F6F" w:rsidRPr="00E86F6F">
              <w:rPr>
                <w14:numForm w14:val="lining"/>
              </w:rPr>
              <w:t>tudents will begin by investigating the nature of popular culture at the end of World War II. They will then investigate developments and changes in popular culture since the end of World War II with the introduction of television and rock ’n’ roll; and consider its impact on beliefs and values in Australian society. Students will be required to develop a specific focus for the unit based on Australia’s contribution to international popular culture in rock ’n’ roll or film and television. They will analyse and evaluate primary and secondary sources that will form their understanding of the challenge of establishing a national identity and the Australian way of life in the post-World War</w:t>
            </w:r>
            <w:r w:rsidR="00ED5F32">
              <w:rPr>
                <w14:numForm w14:val="lining"/>
              </w:rPr>
              <w:t> </w:t>
            </w:r>
            <w:r w:rsidR="00E86F6F" w:rsidRPr="00E86F6F">
              <w:rPr>
                <w14:numForm w14:val="lining"/>
              </w:rPr>
              <w:t>II era.</w:t>
            </w:r>
          </w:p>
          <w:p w14:paraId="425844D8" w14:textId="77777777" w:rsidR="00E86F6F" w:rsidRDefault="00E86F6F" w:rsidP="00EE64C9">
            <w:pPr>
              <w:pStyle w:val="Tabletext"/>
            </w:pPr>
          </w:p>
        </w:tc>
      </w:tr>
    </w:tbl>
    <w:p w14:paraId="2C3AFCB0" w14:textId="77777777" w:rsidR="00DB6943" w:rsidRDefault="00DB6943" w:rsidP="00DB6943">
      <w:pPr>
        <w:pStyle w:val="Heading1"/>
      </w:pPr>
      <w:r>
        <w:lastRenderedPageBreak/>
        <w:t>Assessment overview</w:t>
      </w:r>
    </w:p>
    <w:p w14:paraId="6DFCA674" w14:textId="77777777" w:rsidR="00AB580C" w:rsidRPr="00800B6F" w:rsidRDefault="00AB580C" w:rsidP="00800B6F"/>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14:paraId="26B827FD" w14:textId="77777777" w:rsidTr="000F42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08AAB07" w14:textId="77777777" w:rsidR="00090A56" w:rsidRDefault="00090A56" w:rsidP="00090A56">
            <w:pPr>
              <w:pStyle w:val="Tableheading"/>
            </w:pPr>
          </w:p>
        </w:tc>
        <w:tc>
          <w:tcPr>
            <w:tcW w:w="5051" w:type="dxa"/>
            <w:gridSpan w:val="2"/>
          </w:tcPr>
          <w:p w14:paraId="32CFDAD3" w14:textId="77777777" w:rsidR="00090A56" w:rsidRPr="00C00F1C"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00F1C">
              <w:t>Term 1</w:t>
            </w:r>
          </w:p>
        </w:tc>
        <w:tc>
          <w:tcPr>
            <w:tcW w:w="5051" w:type="dxa"/>
            <w:gridSpan w:val="2"/>
          </w:tcPr>
          <w:p w14:paraId="6B0A9BBA" w14:textId="77777777" w:rsidR="00090A56" w:rsidRPr="00C00F1C"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00F1C">
              <w:t>Term 2</w:t>
            </w:r>
          </w:p>
        </w:tc>
        <w:tc>
          <w:tcPr>
            <w:tcW w:w="5051" w:type="dxa"/>
            <w:gridSpan w:val="2"/>
          </w:tcPr>
          <w:p w14:paraId="11052EED" w14:textId="77777777" w:rsidR="00090A56" w:rsidRPr="00C00F1C"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00F1C">
              <w:t>Term 3</w:t>
            </w:r>
          </w:p>
        </w:tc>
        <w:tc>
          <w:tcPr>
            <w:tcW w:w="5051" w:type="dxa"/>
            <w:gridSpan w:val="2"/>
          </w:tcPr>
          <w:p w14:paraId="0EE5F36C" w14:textId="77777777" w:rsidR="00090A56" w:rsidRPr="00C00F1C"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00F1C">
              <w:t>Term 4</w:t>
            </w:r>
          </w:p>
        </w:tc>
      </w:tr>
      <w:tr w:rsidR="000F425C" w14:paraId="001998EB" w14:textId="77777777" w:rsidTr="003839A1">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1E2DFC5" w14:textId="77777777" w:rsidR="000F425C" w:rsidRDefault="000F425C" w:rsidP="00090A56">
            <w:pPr>
              <w:pStyle w:val="Tabletext"/>
            </w:pPr>
          </w:p>
        </w:tc>
        <w:tc>
          <w:tcPr>
            <w:tcW w:w="4144" w:type="dxa"/>
          </w:tcPr>
          <w:p w14:paraId="77AF2749" w14:textId="45D5C1B7" w:rsidR="000F425C" w:rsidRPr="00C00F1C" w:rsidRDefault="0044272C" w:rsidP="0022393A">
            <w:pPr>
              <w:pStyle w:val="Tablesubhead"/>
              <w:cnfStyle w:val="000000000000" w:firstRow="0" w:lastRow="0" w:firstColumn="0" w:lastColumn="0" w:oddVBand="0" w:evenVBand="0" w:oddHBand="0" w:evenHBand="0" w:firstRowFirstColumn="0" w:firstRowLastColumn="0" w:lastRowFirstColumn="0" w:lastRowLastColumn="0"/>
            </w:pPr>
            <w:r w:rsidRPr="00C00F1C">
              <w:t xml:space="preserve">Unit 1 — The </w:t>
            </w:r>
            <w:r w:rsidR="002E42AB">
              <w:t>weight of war</w:t>
            </w:r>
          </w:p>
        </w:tc>
        <w:tc>
          <w:tcPr>
            <w:tcW w:w="907" w:type="dxa"/>
          </w:tcPr>
          <w:p w14:paraId="1583077F" w14:textId="77777777" w:rsidR="000F425C" w:rsidRPr="00C00F1C" w:rsidRDefault="0022393A" w:rsidP="0022393A">
            <w:pPr>
              <w:pStyle w:val="Tablesubhead"/>
              <w:cnfStyle w:val="000000000000" w:firstRow="0" w:lastRow="0" w:firstColumn="0" w:lastColumn="0" w:oddVBand="0" w:evenVBand="0" w:oddHBand="0" w:evenHBand="0" w:firstRowFirstColumn="0" w:firstRowLastColumn="0" w:lastRowFirstColumn="0" w:lastRowLastColumn="0"/>
            </w:pPr>
            <w:r w:rsidRPr="00C00F1C">
              <w:t>Week</w:t>
            </w:r>
          </w:p>
        </w:tc>
        <w:tc>
          <w:tcPr>
            <w:tcW w:w="4144" w:type="dxa"/>
          </w:tcPr>
          <w:p w14:paraId="5EC353CC" w14:textId="77777777" w:rsidR="000F425C" w:rsidRPr="00C00F1C" w:rsidRDefault="003932C2" w:rsidP="0022393A">
            <w:pPr>
              <w:pStyle w:val="Tablesubhead"/>
              <w:cnfStyle w:val="000000000000" w:firstRow="0" w:lastRow="0" w:firstColumn="0" w:lastColumn="0" w:oddVBand="0" w:evenVBand="0" w:oddHBand="0" w:evenHBand="0" w:firstRowFirstColumn="0" w:firstRowLastColumn="0" w:lastRowFirstColumn="0" w:lastRowLastColumn="0"/>
            </w:pPr>
            <w:r w:rsidRPr="00C00F1C">
              <w:t xml:space="preserve">Unit 2 — Rights and freedoms </w:t>
            </w:r>
          </w:p>
        </w:tc>
        <w:tc>
          <w:tcPr>
            <w:tcW w:w="907" w:type="dxa"/>
          </w:tcPr>
          <w:p w14:paraId="0672AFF3" w14:textId="77777777" w:rsidR="000F425C" w:rsidRPr="00C00F1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C00F1C">
              <w:t>Week/s</w:t>
            </w:r>
          </w:p>
        </w:tc>
        <w:tc>
          <w:tcPr>
            <w:tcW w:w="4144" w:type="dxa"/>
          </w:tcPr>
          <w:p w14:paraId="78D4B3E6" w14:textId="77777777" w:rsidR="000F425C" w:rsidRPr="00C00F1C" w:rsidRDefault="003932C2" w:rsidP="0022393A">
            <w:pPr>
              <w:pStyle w:val="Tablesubhead"/>
              <w:cnfStyle w:val="000000000000" w:firstRow="0" w:lastRow="0" w:firstColumn="0" w:lastColumn="0" w:oddVBand="0" w:evenVBand="0" w:oddHBand="0" w:evenHBand="0" w:firstRowFirstColumn="0" w:firstRowLastColumn="0" w:lastRowFirstColumn="0" w:lastRowLastColumn="0"/>
            </w:pPr>
            <w:r w:rsidRPr="00C00F1C">
              <w:t>Unit 3 — Movers and shakers in history</w:t>
            </w:r>
          </w:p>
        </w:tc>
        <w:tc>
          <w:tcPr>
            <w:tcW w:w="907" w:type="dxa"/>
          </w:tcPr>
          <w:p w14:paraId="1306685B" w14:textId="77777777" w:rsidR="000F425C" w:rsidRPr="00C00F1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C00F1C">
              <w:t>Week/s</w:t>
            </w:r>
          </w:p>
        </w:tc>
        <w:tc>
          <w:tcPr>
            <w:tcW w:w="4144" w:type="dxa"/>
          </w:tcPr>
          <w:p w14:paraId="77DE30D0" w14:textId="77777777" w:rsidR="000F425C" w:rsidRPr="00C00F1C" w:rsidRDefault="003932C2" w:rsidP="0022393A">
            <w:pPr>
              <w:pStyle w:val="Tablesubhead"/>
              <w:cnfStyle w:val="000000000000" w:firstRow="0" w:lastRow="0" w:firstColumn="0" w:lastColumn="0" w:oddVBand="0" w:evenVBand="0" w:oddHBand="0" w:evenHBand="0" w:firstRowFirstColumn="0" w:firstRowLastColumn="0" w:lastRowFirstColumn="0" w:lastRowLastColumn="0"/>
            </w:pPr>
            <w:r w:rsidRPr="00C00F1C">
              <w:t xml:space="preserve">Unit 4 — Popular culture </w:t>
            </w:r>
          </w:p>
        </w:tc>
        <w:tc>
          <w:tcPr>
            <w:tcW w:w="907" w:type="dxa"/>
          </w:tcPr>
          <w:p w14:paraId="22039FE3" w14:textId="77777777" w:rsidR="000F425C" w:rsidRPr="00C00F1C"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C00F1C">
              <w:t>Week</w:t>
            </w:r>
          </w:p>
        </w:tc>
      </w:tr>
      <w:tr w:rsidR="000F425C" w14:paraId="1A245EED" w14:textId="77777777" w:rsidTr="008667B9">
        <w:trPr>
          <w:cantSplit/>
          <w:trHeight w:val="249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10C0D7D" w14:textId="77777777" w:rsidR="000F425C" w:rsidRDefault="009D30E3" w:rsidP="009D30E3">
            <w:pPr>
              <w:pStyle w:val="Tablesubhead"/>
              <w:ind w:left="113" w:right="113"/>
              <w:jc w:val="center"/>
            </w:pPr>
            <w:r>
              <w:t>Assessment</w:t>
            </w:r>
          </w:p>
        </w:tc>
        <w:tc>
          <w:tcPr>
            <w:tcW w:w="4144" w:type="dxa"/>
          </w:tcPr>
          <w:p w14:paraId="766E755C" w14:textId="77777777" w:rsidR="008667B9" w:rsidRPr="00CE57AD" w:rsidRDefault="008667B9" w:rsidP="00EE64C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CE57AD">
              <w:rPr>
                <w:rStyle w:val="TabletextChar"/>
              </w:rPr>
              <w:t>Technique: Examination</w:t>
            </w:r>
          </w:p>
          <w:p w14:paraId="06994921" w14:textId="7E20128F" w:rsidR="0005003E" w:rsidRPr="008A09B9" w:rsidRDefault="0005003E" w:rsidP="0005003E">
            <w:pPr>
              <w:pStyle w:val="Tabletext"/>
              <w:cnfStyle w:val="000000000000" w:firstRow="0" w:lastRow="0" w:firstColumn="0" w:lastColumn="0" w:oddVBand="0" w:evenVBand="0" w:oddHBand="0" w:evenHBand="0" w:firstRowFirstColumn="0" w:firstRowLastColumn="0" w:lastRowFirstColumn="0" w:lastRowLastColumn="0"/>
            </w:pPr>
            <w:r>
              <w:t xml:space="preserve">Students </w:t>
            </w:r>
            <w:r w:rsidR="00ED5F32">
              <w:t xml:space="preserve">will </w:t>
            </w:r>
            <w:r>
              <w:t>construct s</w:t>
            </w:r>
            <w:r w:rsidRPr="008A09B9">
              <w:t>hort and extended response</w:t>
            </w:r>
            <w:r>
              <w:t>s to unseen questions under s</w:t>
            </w:r>
            <w:r w:rsidRPr="008A09B9">
              <w:t>upervised</w:t>
            </w:r>
            <w:r>
              <w:t xml:space="preserve"> conditions. Stimulus </w:t>
            </w:r>
            <w:r w:rsidR="00ED5F32">
              <w:t xml:space="preserve">will </w:t>
            </w:r>
            <w:r>
              <w:t xml:space="preserve">also </w:t>
            </w:r>
            <w:r w:rsidR="00ED5F32">
              <w:t xml:space="preserve">be </w:t>
            </w:r>
            <w:r>
              <w:t xml:space="preserve">provided prior to the examination as seen sources. Questions </w:t>
            </w:r>
            <w:r w:rsidR="00ED5F32">
              <w:t xml:space="preserve">will </w:t>
            </w:r>
            <w:r>
              <w:t>focus on the analysis and evaluation of historical sources from the interwar period and World War II.</w:t>
            </w:r>
          </w:p>
          <w:p w14:paraId="41973075" w14:textId="77777777" w:rsidR="00F93AD1" w:rsidRDefault="00F93AD1" w:rsidP="00EE64C9">
            <w:pPr>
              <w:pStyle w:val="Tabletext"/>
              <w:cnfStyle w:val="000000000000" w:firstRow="0" w:lastRow="0" w:firstColumn="0" w:lastColumn="0" w:oddVBand="0" w:evenVBand="0" w:oddHBand="0" w:evenHBand="0" w:firstRowFirstColumn="0" w:firstRowLastColumn="0" w:lastRowFirstColumn="0" w:lastRowLastColumn="0"/>
              <w:rPr>
                <w:rStyle w:val="TabletextChar"/>
                <w:b/>
              </w:rPr>
            </w:pPr>
          </w:p>
          <w:p w14:paraId="602ADE8E" w14:textId="77777777" w:rsidR="00EE64C9" w:rsidRP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EE64C9">
              <w:rPr>
                <w:rStyle w:val="TabletextChar"/>
              </w:rPr>
              <w:t xml:space="preserve">Format: </w:t>
            </w:r>
            <w:r>
              <w:rPr>
                <w:rStyle w:val="TabletextChar"/>
              </w:rPr>
              <w:t>Written</w:t>
            </w:r>
          </w:p>
          <w:p w14:paraId="67A8D68F" w14:textId="77777777" w:rsid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pPr>
          </w:p>
          <w:p w14:paraId="533C1825" w14:textId="77777777" w:rsidR="00BF7D0D" w:rsidRDefault="00BF7D0D" w:rsidP="00EE64C9">
            <w:pPr>
              <w:pStyle w:val="Tabletext"/>
              <w:cnfStyle w:val="000000000000" w:firstRow="0" w:lastRow="0" w:firstColumn="0" w:lastColumn="0" w:oddVBand="0" w:evenVBand="0" w:oddHBand="0" w:evenHBand="0" w:firstRowFirstColumn="0" w:firstRowLastColumn="0" w:lastRowFirstColumn="0" w:lastRowLastColumn="0"/>
              <w:rPr>
                <w:b/>
              </w:rPr>
            </w:pPr>
            <w:r w:rsidRPr="00CE57AD">
              <w:t>Conditions:</w:t>
            </w:r>
          </w:p>
          <w:p w14:paraId="4377285F" w14:textId="77777777" w:rsidR="00367C13" w:rsidRPr="008A09B9" w:rsidRDefault="00367C13" w:rsidP="0016106E">
            <w:pPr>
              <w:pStyle w:val="TableBullet"/>
              <w:cnfStyle w:val="000000000000" w:firstRow="0" w:lastRow="0" w:firstColumn="0" w:lastColumn="0" w:oddVBand="0" w:evenVBand="0" w:oddHBand="0" w:evenHBand="0" w:firstRowFirstColumn="0" w:firstRowLastColumn="0" w:lastRowFirstColumn="0" w:lastRowLastColumn="0"/>
            </w:pPr>
            <w:r>
              <w:t>9</w:t>
            </w:r>
            <w:r w:rsidRPr="008A09B9">
              <w:t>0 minutes, plus 10 minutes</w:t>
            </w:r>
          </w:p>
          <w:p w14:paraId="4D5491B0" w14:textId="77777777" w:rsidR="00367C13" w:rsidRPr="008A09B9" w:rsidRDefault="00367C13" w:rsidP="0016106E">
            <w:pPr>
              <w:pStyle w:val="TableBullet"/>
              <w:cnfStyle w:val="000000000000" w:firstRow="0" w:lastRow="0" w:firstColumn="0" w:lastColumn="0" w:oddVBand="0" w:evenVBand="0" w:oddHBand="0" w:evenHBand="0" w:firstRowFirstColumn="0" w:firstRowLastColumn="0" w:lastRowFirstColumn="0" w:lastRowLastColumn="0"/>
            </w:pPr>
            <w:r w:rsidRPr="008A09B9">
              <w:t>600–800 words</w:t>
            </w:r>
          </w:p>
          <w:p w14:paraId="4065EA39" w14:textId="2F74FE5F" w:rsidR="00367C13" w:rsidRDefault="00367C13" w:rsidP="0016106E">
            <w:pPr>
              <w:pStyle w:val="TableBullet2"/>
              <w:cnfStyle w:val="000000000000" w:firstRow="0" w:lastRow="0" w:firstColumn="0" w:lastColumn="0" w:oddVBand="0" w:evenVBand="0" w:oddHBand="0" w:evenHBand="0" w:firstRowFirstColumn="0" w:firstRowLastColumn="0" w:lastRowFirstColumn="0" w:lastRowLastColumn="0"/>
            </w:pPr>
            <w:r>
              <w:t>short response</w:t>
            </w:r>
            <w:r w:rsidR="00ED5F32">
              <w:t>:</w:t>
            </w:r>
            <w:r>
              <w:t xml:space="preserve"> 50</w:t>
            </w:r>
            <w:r w:rsidR="00ED5F32">
              <w:t>–</w:t>
            </w:r>
            <w:r>
              <w:t>100 words per item</w:t>
            </w:r>
          </w:p>
          <w:p w14:paraId="20D76C05" w14:textId="364F5742" w:rsidR="00FA21B5" w:rsidRDefault="00367C13" w:rsidP="0016106E">
            <w:pPr>
              <w:pStyle w:val="TableBullet2"/>
              <w:cnfStyle w:val="000000000000" w:firstRow="0" w:lastRow="0" w:firstColumn="0" w:lastColumn="0" w:oddVBand="0" w:evenVBand="0" w:oddHBand="0" w:evenHBand="0" w:firstRowFirstColumn="0" w:firstRowLastColumn="0" w:lastRowFirstColumn="0" w:lastRowLastColumn="0"/>
            </w:pPr>
            <w:r>
              <w:t>extended response</w:t>
            </w:r>
            <w:r w:rsidR="00ED5F32">
              <w:t>:</w:t>
            </w:r>
            <w:r>
              <w:t xml:space="preserve"> 300</w:t>
            </w:r>
            <w:r w:rsidR="00ED5F32">
              <w:t>–</w:t>
            </w:r>
            <w:r>
              <w:t>400 words per item</w:t>
            </w:r>
          </w:p>
        </w:tc>
        <w:tc>
          <w:tcPr>
            <w:tcW w:w="907" w:type="dxa"/>
          </w:tcPr>
          <w:p w14:paraId="0357B118" w14:textId="77777777" w:rsidR="000F425C" w:rsidRDefault="00E86F6F" w:rsidP="00266F69">
            <w:pPr>
              <w:pStyle w:val="Tabletext"/>
              <w:jc w:val="center"/>
              <w:cnfStyle w:val="000000000000" w:firstRow="0" w:lastRow="0" w:firstColumn="0" w:lastColumn="0" w:oddVBand="0" w:evenVBand="0" w:oddHBand="0" w:evenHBand="0" w:firstRowFirstColumn="0" w:firstRowLastColumn="0" w:lastRowFirstColumn="0" w:lastRowLastColumn="0"/>
            </w:pPr>
            <w:r>
              <w:t>8</w:t>
            </w:r>
          </w:p>
        </w:tc>
        <w:tc>
          <w:tcPr>
            <w:tcW w:w="4144" w:type="dxa"/>
          </w:tcPr>
          <w:p w14:paraId="56319ED0" w14:textId="77777777" w:rsidR="008667B9" w:rsidRPr="00EE64C9" w:rsidRDefault="008667B9" w:rsidP="00EE64C9">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rsidRPr="00EE64C9">
              <w:rPr>
                <w:rStyle w:val="TabletextChar"/>
                <w14:numForm w14:val="default"/>
              </w:rPr>
              <w:t>Technique: Investigation</w:t>
            </w:r>
          </w:p>
          <w:p w14:paraId="48A67B23" w14:textId="5BC90B92" w:rsidR="00BF7D0D" w:rsidRPr="00EE64C9" w:rsidRDefault="0005003E" w:rsidP="00EE64C9">
            <w:pPr>
              <w:pStyle w:val="Tabletext"/>
              <w:cnfStyle w:val="000000000000" w:firstRow="0" w:lastRow="0" w:firstColumn="0" w:lastColumn="0" w:oddVBand="0" w:evenVBand="0" w:oddHBand="0" w:evenHBand="0" w:firstRowFirstColumn="0" w:firstRowLastColumn="0" w:lastRowFirstColumn="0" w:lastRowLastColumn="0"/>
            </w:pPr>
            <w:r>
              <w:rPr>
                <w:rStyle w:val="TabletextChar"/>
                <w14:numForm w14:val="default"/>
              </w:rPr>
              <w:t xml:space="preserve">Students </w:t>
            </w:r>
            <w:r w:rsidR="000051C9">
              <w:rPr>
                <w:rStyle w:val="TabletextChar"/>
                <w14:numForm w14:val="default"/>
              </w:rPr>
              <w:t xml:space="preserve">will </w:t>
            </w:r>
            <w:r>
              <w:rPr>
                <w:rStyle w:val="TabletextChar"/>
                <w14:numForm w14:val="default"/>
              </w:rPr>
              <w:t>construct a g</w:t>
            </w:r>
            <w:r w:rsidR="008A3AD9" w:rsidRPr="00EE64C9">
              <w:rPr>
                <w:rStyle w:val="TabletextChar"/>
                <w14:numForm w14:val="default"/>
              </w:rPr>
              <w:t xml:space="preserve">roup </w:t>
            </w:r>
            <w:r w:rsidR="00367C13" w:rsidRPr="00EE64C9">
              <w:rPr>
                <w:rStyle w:val="TabletextChar"/>
                <w14:numForm w14:val="default"/>
              </w:rPr>
              <w:t>presentation</w:t>
            </w:r>
            <w:r w:rsidR="008A3AD9" w:rsidRPr="00EE64C9">
              <w:rPr>
                <w:rStyle w:val="TabletextChar"/>
                <w14:numForm w14:val="default"/>
              </w:rPr>
              <w:t xml:space="preserve"> </w:t>
            </w:r>
            <w:r w:rsidR="00367C13" w:rsidRPr="00EE64C9">
              <w:rPr>
                <w:rStyle w:val="TabletextChar"/>
                <w14:numForm w14:val="default"/>
              </w:rPr>
              <w:t xml:space="preserve">in the form of a vodcast </w:t>
            </w:r>
            <w:r w:rsidR="00D04464" w:rsidRPr="00EE64C9">
              <w:rPr>
                <w:rStyle w:val="TabletextChar"/>
                <w14:numForm w14:val="default"/>
              </w:rPr>
              <w:t xml:space="preserve">that responds </w:t>
            </w:r>
            <w:r w:rsidR="008A3AD9" w:rsidRPr="00EE64C9">
              <w:rPr>
                <w:rStyle w:val="TabletextChar"/>
                <w14:numForm w14:val="default"/>
              </w:rPr>
              <w:t xml:space="preserve">to an inquiry question </w:t>
            </w:r>
            <w:r w:rsidR="00266F69" w:rsidRPr="00EE64C9">
              <w:rPr>
                <w:rStyle w:val="TabletextChar"/>
                <w14:numForm w14:val="default"/>
              </w:rPr>
              <w:t xml:space="preserve">addressing </w:t>
            </w:r>
            <w:r w:rsidR="008A3AD9" w:rsidRPr="00EE64C9">
              <w:t xml:space="preserve">the rights and freedoms of Aboriginal </w:t>
            </w:r>
            <w:r w:rsidR="000051C9">
              <w:t>p</w:t>
            </w:r>
            <w:r w:rsidR="000051C9" w:rsidRPr="00EE64C9">
              <w:t xml:space="preserve">eoples </w:t>
            </w:r>
            <w:r w:rsidR="008A3AD9" w:rsidRPr="00EE64C9">
              <w:t xml:space="preserve">and Torres Strait Islander </w:t>
            </w:r>
            <w:r w:rsidR="000051C9">
              <w:t>p</w:t>
            </w:r>
            <w:r w:rsidR="000051C9" w:rsidRPr="00EE64C9">
              <w:t xml:space="preserve">eoples </w:t>
            </w:r>
            <w:r w:rsidR="008A3AD9" w:rsidRPr="00EE64C9">
              <w:t>from 1945</w:t>
            </w:r>
            <w:r w:rsidR="000051C9">
              <w:t xml:space="preserve"> to </w:t>
            </w:r>
            <w:r w:rsidR="008A3AD9" w:rsidRPr="00EE64C9">
              <w:t>the present.</w:t>
            </w:r>
          </w:p>
          <w:p w14:paraId="35CEC4EF" w14:textId="77777777" w:rsidR="008A3AD9" w:rsidRPr="00EE64C9" w:rsidRDefault="008A3AD9" w:rsidP="00EE64C9">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p>
          <w:p w14:paraId="5865C8C8" w14:textId="77777777" w:rsid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pPr>
            <w:r>
              <w:t>Format: Multimodal</w:t>
            </w:r>
          </w:p>
          <w:p w14:paraId="53D49731" w14:textId="77777777" w:rsid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pPr>
          </w:p>
          <w:p w14:paraId="1DB91A47" w14:textId="77777777" w:rsidR="00BF7D0D" w:rsidRPr="00EE64C9" w:rsidRDefault="00BF7D0D" w:rsidP="00EE64C9">
            <w:pPr>
              <w:pStyle w:val="Tabletext"/>
              <w:cnfStyle w:val="000000000000" w:firstRow="0" w:lastRow="0" w:firstColumn="0" w:lastColumn="0" w:oddVBand="0" w:evenVBand="0" w:oddHBand="0" w:evenHBand="0" w:firstRowFirstColumn="0" w:firstRowLastColumn="0" w:lastRowFirstColumn="0" w:lastRowLastColumn="0"/>
            </w:pPr>
            <w:r w:rsidRPr="00EE64C9">
              <w:t>Conditions:</w:t>
            </w:r>
          </w:p>
          <w:p w14:paraId="6131E9B6" w14:textId="4ACDB515" w:rsidR="00ED5F32" w:rsidRDefault="00266F69" w:rsidP="00ED5F32">
            <w:pPr>
              <w:pStyle w:val="TableBullet"/>
              <w:cnfStyle w:val="000000000000" w:firstRow="0" w:lastRow="0" w:firstColumn="0" w:lastColumn="0" w:oddVBand="0" w:evenVBand="0" w:oddHBand="0" w:evenHBand="0" w:firstRowFirstColumn="0" w:firstRowLastColumn="0" w:lastRowFirstColumn="0" w:lastRowLastColumn="0"/>
            </w:pPr>
            <w:r w:rsidRPr="00EE64C9">
              <w:t>Research</w:t>
            </w:r>
            <w:r w:rsidR="00ED5F32">
              <w:t xml:space="preserve">: </w:t>
            </w:r>
            <w:r w:rsidRPr="00EE64C9">
              <w:t>2 weeks</w:t>
            </w:r>
          </w:p>
          <w:p w14:paraId="52DFD5BD" w14:textId="50A8C6B0" w:rsidR="008A3AD9" w:rsidRPr="00EE64C9" w:rsidRDefault="00266F69" w:rsidP="0016106E">
            <w:pPr>
              <w:pStyle w:val="TableBullet"/>
              <w:cnfStyle w:val="000000000000" w:firstRow="0" w:lastRow="0" w:firstColumn="0" w:lastColumn="0" w:oddVBand="0" w:evenVBand="0" w:oddHBand="0" w:evenHBand="0" w:firstRowFirstColumn="0" w:firstRowLastColumn="0" w:lastRowFirstColumn="0" w:lastRowLastColumn="0"/>
            </w:pPr>
            <w:r w:rsidRPr="00EE64C9">
              <w:t xml:space="preserve">Compiling presentation: 2 weeks in class </w:t>
            </w:r>
          </w:p>
          <w:p w14:paraId="70179FB4" w14:textId="72C89804" w:rsidR="008667B9" w:rsidRPr="00EE64C9" w:rsidRDefault="00ED5F32" w:rsidP="0016106E">
            <w:pPr>
              <w:pStyle w:val="TableBullet"/>
              <w:cnfStyle w:val="000000000000" w:firstRow="0" w:lastRow="0" w:firstColumn="0" w:lastColumn="0" w:oddVBand="0" w:evenVBand="0" w:oddHBand="0" w:evenHBand="0" w:firstRowFirstColumn="0" w:firstRowLastColumn="0" w:lastRowFirstColumn="0" w:lastRowLastColumn="0"/>
            </w:pPr>
            <w:r>
              <w:t xml:space="preserve">Presentation: </w:t>
            </w:r>
            <w:r w:rsidR="00A96BDE" w:rsidRPr="00EE64C9">
              <w:t>3</w:t>
            </w:r>
            <w:r>
              <w:t>–</w:t>
            </w:r>
            <w:r w:rsidR="00A96BDE" w:rsidRPr="00EE64C9">
              <w:t xml:space="preserve">4 minutes speaking by each </w:t>
            </w:r>
            <w:r w:rsidR="00D04464" w:rsidRPr="00EE64C9">
              <w:t xml:space="preserve">student </w:t>
            </w:r>
            <w:r w:rsidR="00D04464" w:rsidRPr="00EE64C9">
              <w:rPr>
                <w:rStyle w:val="TabletextChar"/>
                <w14:numForm w14:val="default"/>
              </w:rPr>
              <w:t>(maximum 4 students per group)</w:t>
            </w:r>
          </w:p>
        </w:tc>
        <w:tc>
          <w:tcPr>
            <w:tcW w:w="907" w:type="dxa"/>
          </w:tcPr>
          <w:p w14:paraId="5556B9BF" w14:textId="77777777" w:rsidR="000F425C" w:rsidRDefault="00277931" w:rsidP="00266F69">
            <w:pPr>
              <w:pStyle w:val="Tabletext"/>
              <w:jc w:val="center"/>
              <w:cnfStyle w:val="000000000000" w:firstRow="0" w:lastRow="0" w:firstColumn="0" w:lastColumn="0" w:oddVBand="0" w:evenVBand="0" w:oddHBand="0" w:evenHBand="0" w:firstRowFirstColumn="0" w:firstRowLastColumn="0" w:lastRowFirstColumn="0" w:lastRowLastColumn="0"/>
            </w:pPr>
            <w:r>
              <w:t>4</w:t>
            </w:r>
            <w:r w:rsidR="00367C13">
              <w:t>–</w:t>
            </w:r>
            <w:r w:rsidR="00E86F6F">
              <w:t>8</w:t>
            </w:r>
          </w:p>
        </w:tc>
        <w:tc>
          <w:tcPr>
            <w:tcW w:w="4144" w:type="dxa"/>
          </w:tcPr>
          <w:p w14:paraId="7B20A9E0" w14:textId="77777777" w:rsidR="008667B9" w:rsidRPr="00EE64C9" w:rsidRDefault="008667B9" w:rsidP="00EE64C9">
            <w:pPr>
              <w:pStyle w:val="Tabletext"/>
              <w:cnfStyle w:val="000000000000" w:firstRow="0" w:lastRow="0" w:firstColumn="0" w:lastColumn="0" w:oddVBand="0" w:evenVBand="0" w:oddHBand="0" w:evenHBand="0" w:firstRowFirstColumn="0" w:firstRowLastColumn="0" w:lastRowFirstColumn="0" w:lastRowLastColumn="0"/>
              <w:rPr>
                <w:rStyle w:val="TabletextChar"/>
                <w14:numForm w14:val="default"/>
              </w:rPr>
            </w:pPr>
            <w:r w:rsidRPr="00EE64C9">
              <w:rPr>
                <w:rStyle w:val="TabletextChar"/>
                <w14:numForm w14:val="default"/>
              </w:rPr>
              <w:t>Technique: Investigation</w:t>
            </w:r>
          </w:p>
          <w:p w14:paraId="2F22003F" w14:textId="147CBEC7" w:rsidR="00BF7D0D" w:rsidRPr="00EE64C9" w:rsidRDefault="00D04464" w:rsidP="00EE64C9">
            <w:pPr>
              <w:pStyle w:val="Tabletext"/>
              <w:cnfStyle w:val="000000000000" w:firstRow="0" w:lastRow="0" w:firstColumn="0" w:lastColumn="0" w:oddVBand="0" w:evenVBand="0" w:oddHBand="0" w:evenHBand="0" w:firstRowFirstColumn="0" w:firstRowLastColumn="0" w:lastRowFirstColumn="0" w:lastRowLastColumn="0"/>
            </w:pPr>
            <w:r w:rsidRPr="00EE64C9">
              <w:t xml:space="preserve">Students </w:t>
            </w:r>
            <w:r w:rsidR="000051C9">
              <w:t xml:space="preserve">will </w:t>
            </w:r>
            <w:r w:rsidRPr="00EE64C9">
              <w:t xml:space="preserve">construct an analytical essay in response to a research question on </w:t>
            </w:r>
            <w:r w:rsidR="00277931" w:rsidRPr="00EE64C9">
              <w:t>the life and/or achievements of a</w:t>
            </w:r>
            <w:r w:rsidRPr="00EE64C9">
              <w:t xml:space="preserve"> significant individual in Australian history from 1918</w:t>
            </w:r>
            <w:r w:rsidR="000051C9">
              <w:t xml:space="preserve"> to the </w:t>
            </w:r>
            <w:r w:rsidRPr="00EE64C9">
              <w:t>present</w:t>
            </w:r>
            <w:r w:rsidR="00277931" w:rsidRPr="00EE64C9">
              <w:t>.</w:t>
            </w:r>
          </w:p>
          <w:p w14:paraId="46702CC1" w14:textId="77777777" w:rsidR="00277931" w:rsidRPr="00EE64C9" w:rsidRDefault="00277931" w:rsidP="00EE64C9">
            <w:pPr>
              <w:pStyle w:val="Tabletext"/>
              <w:cnfStyle w:val="000000000000" w:firstRow="0" w:lastRow="0" w:firstColumn="0" w:lastColumn="0" w:oddVBand="0" w:evenVBand="0" w:oddHBand="0" w:evenHBand="0" w:firstRowFirstColumn="0" w:firstRowLastColumn="0" w:lastRowFirstColumn="0" w:lastRowLastColumn="0"/>
            </w:pPr>
          </w:p>
          <w:p w14:paraId="5871C6F9" w14:textId="77777777" w:rsidR="00EE64C9" w:rsidRP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pPr>
            <w:r w:rsidRPr="00EE64C9">
              <w:t>Format: Written</w:t>
            </w:r>
          </w:p>
          <w:p w14:paraId="1FEB16A6" w14:textId="77777777" w:rsidR="00EE64C9" w:rsidRP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pPr>
          </w:p>
          <w:p w14:paraId="18D0B021" w14:textId="77777777" w:rsidR="00BF7D0D" w:rsidRPr="00EE64C9" w:rsidRDefault="00BF7D0D" w:rsidP="00EE64C9">
            <w:pPr>
              <w:pStyle w:val="Tabletext"/>
              <w:cnfStyle w:val="000000000000" w:firstRow="0" w:lastRow="0" w:firstColumn="0" w:lastColumn="0" w:oddVBand="0" w:evenVBand="0" w:oddHBand="0" w:evenHBand="0" w:firstRowFirstColumn="0" w:firstRowLastColumn="0" w:lastRowFirstColumn="0" w:lastRowLastColumn="0"/>
            </w:pPr>
            <w:r w:rsidRPr="00EE64C9">
              <w:t>Conditions:</w:t>
            </w:r>
          </w:p>
          <w:p w14:paraId="1901A2F4" w14:textId="77777777" w:rsidR="00ED5F32" w:rsidRDefault="00277931" w:rsidP="0016106E">
            <w:pPr>
              <w:pStyle w:val="TableBullet"/>
              <w:cnfStyle w:val="000000000000" w:firstRow="0" w:lastRow="0" w:firstColumn="0" w:lastColumn="0" w:oddVBand="0" w:evenVBand="0" w:oddHBand="0" w:evenHBand="0" w:firstRowFirstColumn="0" w:firstRowLastColumn="0" w:lastRowFirstColumn="0" w:lastRowLastColumn="0"/>
            </w:pPr>
            <w:r w:rsidRPr="00EE64C9">
              <w:t>Research: 2 weeks</w:t>
            </w:r>
          </w:p>
          <w:p w14:paraId="6ED5309F" w14:textId="10AF8C5F" w:rsidR="00277931" w:rsidRPr="00EE64C9" w:rsidRDefault="00277931" w:rsidP="0016106E">
            <w:pPr>
              <w:pStyle w:val="TableBullet"/>
              <w:cnfStyle w:val="000000000000" w:firstRow="0" w:lastRow="0" w:firstColumn="0" w:lastColumn="0" w:oddVBand="0" w:evenVBand="0" w:oddHBand="0" w:evenHBand="0" w:firstRowFirstColumn="0" w:firstRowLastColumn="0" w:lastRowFirstColumn="0" w:lastRowLastColumn="0"/>
            </w:pPr>
            <w:r w:rsidRPr="00EE64C9">
              <w:t xml:space="preserve">Constructing essay: 2 weeks in class </w:t>
            </w:r>
          </w:p>
          <w:p w14:paraId="03B736A1" w14:textId="77777777" w:rsidR="00277931" w:rsidRPr="00EE64C9" w:rsidRDefault="000051C9" w:rsidP="0016106E">
            <w:pPr>
              <w:pStyle w:val="TableBullet"/>
              <w:cnfStyle w:val="000000000000" w:firstRow="0" w:lastRow="0" w:firstColumn="0" w:lastColumn="0" w:oddVBand="0" w:evenVBand="0" w:oddHBand="0" w:evenHBand="0" w:firstRowFirstColumn="0" w:firstRowLastColumn="0" w:lastRowFirstColumn="0" w:lastRowLastColumn="0"/>
            </w:pPr>
            <w:r>
              <w:t xml:space="preserve">Essay: </w:t>
            </w:r>
            <w:r w:rsidR="00277931" w:rsidRPr="00EE64C9">
              <w:t>600–800 words</w:t>
            </w:r>
          </w:p>
          <w:p w14:paraId="26B78380" w14:textId="77777777" w:rsidR="000F425C" w:rsidRPr="00EE64C9" w:rsidRDefault="000F425C" w:rsidP="00EE64C9">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693C8423" w14:textId="77777777" w:rsidR="000F425C" w:rsidRDefault="00367C13" w:rsidP="00266F69">
            <w:pPr>
              <w:pStyle w:val="Tabletext"/>
              <w:jc w:val="center"/>
              <w:cnfStyle w:val="000000000000" w:firstRow="0" w:lastRow="0" w:firstColumn="0" w:lastColumn="0" w:oddVBand="0" w:evenVBand="0" w:oddHBand="0" w:evenHBand="0" w:firstRowFirstColumn="0" w:firstRowLastColumn="0" w:lastRowFirstColumn="0" w:lastRowLastColumn="0"/>
            </w:pPr>
            <w:r>
              <w:t>4–</w:t>
            </w:r>
            <w:r w:rsidR="00E86F6F">
              <w:t>8</w:t>
            </w:r>
          </w:p>
        </w:tc>
        <w:tc>
          <w:tcPr>
            <w:tcW w:w="4144" w:type="dxa"/>
          </w:tcPr>
          <w:p w14:paraId="51A62D39" w14:textId="77777777" w:rsidR="008667B9" w:rsidRPr="00CE57AD" w:rsidRDefault="008667B9" w:rsidP="00EE64C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CE57AD">
              <w:rPr>
                <w:rStyle w:val="TabletextChar"/>
              </w:rPr>
              <w:t>Technique: Examination</w:t>
            </w:r>
          </w:p>
          <w:p w14:paraId="6F21BCDF" w14:textId="39A8D534" w:rsidR="0005003E" w:rsidRPr="008A09B9" w:rsidRDefault="0005003E" w:rsidP="0005003E">
            <w:pPr>
              <w:pStyle w:val="Tabletext"/>
              <w:cnfStyle w:val="000000000000" w:firstRow="0" w:lastRow="0" w:firstColumn="0" w:lastColumn="0" w:oddVBand="0" w:evenVBand="0" w:oddHBand="0" w:evenHBand="0" w:firstRowFirstColumn="0" w:firstRowLastColumn="0" w:lastRowFirstColumn="0" w:lastRowLastColumn="0"/>
            </w:pPr>
            <w:r>
              <w:t xml:space="preserve">Students </w:t>
            </w:r>
            <w:r w:rsidR="000051C9">
              <w:t xml:space="preserve">will </w:t>
            </w:r>
            <w:r>
              <w:t>construct s</w:t>
            </w:r>
            <w:r w:rsidRPr="008A09B9">
              <w:t>hort and extended response</w:t>
            </w:r>
            <w:r>
              <w:t>s to unseen questions under s</w:t>
            </w:r>
            <w:r w:rsidRPr="008A09B9">
              <w:t>upervised</w:t>
            </w:r>
            <w:r>
              <w:t xml:space="preserve"> conditions. Stimulus </w:t>
            </w:r>
            <w:r w:rsidR="000051C9">
              <w:t xml:space="preserve">will </w:t>
            </w:r>
            <w:r>
              <w:t xml:space="preserve">also </w:t>
            </w:r>
            <w:r w:rsidR="000051C9">
              <w:t xml:space="preserve">be </w:t>
            </w:r>
            <w:r>
              <w:t xml:space="preserve">provided prior to the examination as seen sources. Questions </w:t>
            </w:r>
            <w:r w:rsidR="000051C9">
              <w:t xml:space="preserve">will </w:t>
            </w:r>
            <w:r>
              <w:t xml:space="preserve">focus on the analysis and evaluation of historical sources </w:t>
            </w:r>
            <w:r w:rsidR="000E6CFC">
              <w:t>relating to popular culture in</w:t>
            </w:r>
            <w:r>
              <w:t xml:space="preserve"> post-war Australia.</w:t>
            </w:r>
          </w:p>
          <w:p w14:paraId="7C5796B1" w14:textId="77777777" w:rsidR="00BF7D0D" w:rsidRDefault="00BF7D0D" w:rsidP="00EE64C9">
            <w:pPr>
              <w:pStyle w:val="Tabletext"/>
              <w:cnfStyle w:val="000000000000" w:firstRow="0" w:lastRow="0" w:firstColumn="0" w:lastColumn="0" w:oddVBand="0" w:evenVBand="0" w:oddHBand="0" w:evenHBand="0" w:firstRowFirstColumn="0" w:firstRowLastColumn="0" w:lastRowFirstColumn="0" w:lastRowLastColumn="0"/>
              <w:rPr>
                <w:b/>
              </w:rPr>
            </w:pPr>
          </w:p>
          <w:p w14:paraId="473D02DB" w14:textId="77777777" w:rsid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pPr>
            <w:r>
              <w:t>Format: Written</w:t>
            </w:r>
          </w:p>
          <w:p w14:paraId="0AA35D75" w14:textId="77777777" w:rsidR="00EE64C9" w:rsidRDefault="00EE64C9" w:rsidP="00EE64C9">
            <w:pPr>
              <w:pStyle w:val="Tabletext"/>
              <w:cnfStyle w:val="000000000000" w:firstRow="0" w:lastRow="0" w:firstColumn="0" w:lastColumn="0" w:oddVBand="0" w:evenVBand="0" w:oddHBand="0" w:evenHBand="0" w:firstRowFirstColumn="0" w:firstRowLastColumn="0" w:lastRowFirstColumn="0" w:lastRowLastColumn="0"/>
            </w:pPr>
          </w:p>
          <w:p w14:paraId="38451970" w14:textId="77777777" w:rsidR="00BF7D0D" w:rsidRPr="00CE57AD" w:rsidRDefault="00BF7D0D" w:rsidP="00EE64C9">
            <w:pPr>
              <w:pStyle w:val="Tabletext"/>
              <w:cnfStyle w:val="000000000000" w:firstRow="0" w:lastRow="0" w:firstColumn="0" w:lastColumn="0" w:oddVBand="0" w:evenVBand="0" w:oddHBand="0" w:evenHBand="0" w:firstRowFirstColumn="0" w:firstRowLastColumn="0" w:lastRowFirstColumn="0" w:lastRowLastColumn="0"/>
            </w:pPr>
            <w:r w:rsidRPr="00CE57AD">
              <w:t>Conditions:</w:t>
            </w:r>
          </w:p>
          <w:p w14:paraId="4DED9F8D" w14:textId="77777777" w:rsidR="00BF7D0D" w:rsidRPr="008A09B9" w:rsidRDefault="00CE57AD" w:rsidP="0016106E">
            <w:pPr>
              <w:pStyle w:val="TableBullet"/>
              <w:cnfStyle w:val="000000000000" w:firstRow="0" w:lastRow="0" w:firstColumn="0" w:lastColumn="0" w:oddVBand="0" w:evenVBand="0" w:oddHBand="0" w:evenHBand="0" w:firstRowFirstColumn="0" w:firstRowLastColumn="0" w:lastRowFirstColumn="0" w:lastRowLastColumn="0"/>
            </w:pPr>
            <w:r>
              <w:t>9</w:t>
            </w:r>
            <w:r w:rsidR="00BF7D0D" w:rsidRPr="008A09B9">
              <w:t>0 minutes, plus 10 minutes.</w:t>
            </w:r>
          </w:p>
          <w:p w14:paraId="300EB11A" w14:textId="77777777" w:rsidR="00367C13" w:rsidRPr="008A09B9" w:rsidRDefault="00367C13" w:rsidP="0016106E">
            <w:pPr>
              <w:pStyle w:val="TableBullet"/>
              <w:cnfStyle w:val="000000000000" w:firstRow="0" w:lastRow="0" w:firstColumn="0" w:lastColumn="0" w:oddVBand="0" w:evenVBand="0" w:oddHBand="0" w:evenHBand="0" w:firstRowFirstColumn="0" w:firstRowLastColumn="0" w:lastRowFirstColumn="0" w:lastRowLastColumn="0"/>
            </w:pPr>
            <w:r w:rsidRPr="008A09B9">
              <w:t>600–800 words</w:t>
            </w:r>
          </w:p>
          <w:p w14:paraId="3EACF3DC" w14:textId="1D080AAD" w:rsidR="00A96BDE" w:rsidRDefault="00A96BDE" w:rsidP="0016106E">
            <w:pPr>
              <w:pStyle w:val="TableBullet2"/>
              <w:cnfStyle w:val="000000000000" w:firstRow="0" w:lastRow="0" w:firstColumn="0" w:lastColumn="0" w:oddVBand="0" w:evenVBand="0" w:oddHBand="0" w:evenHBand="0" w:firstRowFirstColumn="0" w:firstRowLastColumn="0" w:lastRowFirstColumn="0" w:lastRowLastColumn="0"/>
            </w:pPr>
            <w:r>
              <w:t>short response 50</w:t>
            </w:r>
            <w:r w:rsidR="000051C9">
              <w:t>–</w:t>
            </w:r>
            <w:r>
              <w:t>100 words per item</w:t>
            </w:r>
          </w:p>
          <w:p w14:paraId="0C14085B" w14:textId="588E6012" w:rsidR="000F425C" w:rsidRDefault="00A96BDE" w:rsidP="0016106E">
            <w:pPr>
              <w:pStyle w:val="TableBullet2"/>
              <w:cnfStyle w:val="000000000000" w:firstRow="0" w:lastRow="0" w:firstColumn="0" w:lastColumn="0" w:oddVBand="0" w:evenVBand="0" w:oddHBand="0" w:evenHBand="0" w:firstRowFirstColumn="0" w:firstRowLastColumn="0" w:lastRowFirstColumn="0" w:lastRowLastColumn="0"/>
            </w:pPr>
            <w:r>
              <w:t>extended response 300</w:t>
            </w:r>
            <w:r w:rsidR="000051C9">
              <w:t>–</w:t>
            </w:r>
            <w:r>
              <w:t>400 words per item</w:t>
            </w:r>
          </w:p>
        </w:tc>
        <w:tc>
          <w:tcPr>
            <w:tcW w:w="907" w:type="dxa"/>
          </w:tcPr>
          <w:p w14:paraId="77913ED5" w14:textId="77777777" w:rsidR="000F425C" w:rsidRDefault="00E86F6F" w:rsidP="00266F69">
            <w:pPr>
              <w:pStyle w:val="Tabletext"/>
              <w:jc w:val="center"/>
              <w:cnfStyle w:val="000000000000" w:firstRow="0" w:lastRow="0" w:firstColumn="0" w:lastColumn="0" w:oddVBand="0" w:evenVBand="0" w:oddHBand="0" w:evenHBand="0" w:firstRowFirstColumn="0" w:firstRowLastColumn="0" w:lastRowFirstColumn="0" w:lastRowLastColumn="0"/>
            </w:pPr>
            <w:r>
              <w:t>7</w:t>
            </w:r>
          </w:p>
        </w:tc>
      </w:tr>
      <w:tr w:rsidR="00F27D95" w14:paraId="366B8250" w14:textId="77777777" w:rsidTr="00B6176B">
        <w:trPr>
          <w:cantSplit/>
          <w:trHeight w:val="364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05A7328" w14:textId="77777777" w:rsidR="00F27D95" w:rsidRDefault="00F27D95" w:rsidP="009D30E3">
            <w:pPr>
              <w:pStyle w:val="Tablesubhead"/>
              <w:ind w:left="113" w:right="113"/>
              <w:jc w:val="center"/>
            </w:pPr>
            <w:bookmarkStart w:id="4" w:name="_Hlk69997406"/>
            <w:r>
              <w:lastRenderedPageBreak/>
              <w:t>Achievement standard</w:t>
            </w:r>
          </w:p>
        </w:tc>
        <w:tc>
          <w:tcPr>
            <w:tcW w:w="5051" w:type="dxa"/>
            <w:gridSpan w:val="2"/>
          </w:tcPr>
          <w:p w14:paraId="29007CD4" w14:textId="77777777" w:rsidR="00677692" w:rsidRPr="00677692" w:rsidRDefault="00677692" w:rsidP="009B1EFB">
            <w:pPr>
              <w:pStyle w:val="Tabletext"/>
              <w:cnfStyle w:val="000000000000" w:firstRow="0" w:lastRow="0" w:firstColumn="0" w:lastColumn="0" w:oddVBand="0" w:evenVBand="0" w:oddHBand="0" w:evenHBand="0" w:firstRowFirstColumn="0" w:firstRowLastColumn="0" w:lastRowFirstColumn="0" w:lastRowLastColumn="0"/>
              <w:rPr>
                <w:rFonts w:ascii="Helvetica" w:hAnsi="Helvetica"/>
                <w:color w:val="222222"/>
                <w:highlight w:val="yellow"/>
                <w:lang w:eastAsia="ja-JP"/>
              </w:rPr>
            </w:pPr>
            <w:r w:rsidRPr="00677692">
              <w:rPr>
                <w:rFonts w:ascii="Helvetica" w:hAnsi="Helvetica"/>
                <w:color w:val="222222"/>
              </w:rPr>
              <w:t xml:space="preserve">By the end of Year 10, </w:t>
            </w:r>
            <w:r w:rsidRPr="009B1EFB">
              <w:rPr>
                <w:rStyle w:val="Shading1"/>
                <w:szCs w:val="19"/>
              </w:rPr>
              <w:t>students refer to key events, the actions of individuals and groups, and beliefs and values to explain patterns of change and continuity over time.</w:t>
            </w:r>
            <w:r w:rsidRPr="009B1EFB">
              <w:rPr>
                <w:rFonts w:ascii="Helvetica" w:hAnsi="Helvetica"/>
                <w:color w:val="222222"/>
              </w:rPr>
              <w:t xml:space="preserve"> </w:t>
            </w:r>
            <w:r w:rsidRPr="009B1EFB">
              <w:rPr>
                <w:rStyle w:val="TabletextChar"/>
              </w:rPr>
              <w:t>They analyse the causes and effects of events and developments and explain their relative importance. They explain the context for people’s actions in the past.</w:t>
            </w:r>
            <w:r w:rsidRPr="00826EA4">
              <w:rPr>
                <w:rFonts w:ascii="Helvetica" w:hAnsi="Helvetica"/>
                <w:color w:val="222222"/>
              </w:rPr>
              <w:t xml:space="preserve"> </w:t>
            </w:r>
            <w:r w:rsidRPr="009B1EFB">
              <w:rPr>
                <w:rStyle w:val="Shading1"/>
                <w:szCs w:val="19"/>
              </w:rPr>
              <w:t>Students explain the significance of events and developments from a range of perspectives. They explain different interpretations of the past and recognise the evidence used to support these interpretations.</w:t>
            </w:r>
          </w:p>
          <w:p w14:paraId="12C1ACCF" w14:textId="77777777" w:rsidR="00F27D95" w:rsidRPr="00677692" w:rsidRDefault="00677692" w:rsidP="009B1EFB">
            <w:pPr>
              <w:pStyle w:val="Tabletext"/>
              <w:cnfStyle w:val="000000000000" w:firstRow="0" w:lastRow="0" w:firstColumn="0" w:lastColumn="0" w:oddVBand="0" w:evenVBand="0" w:oddHBand="0" w:evenHBand="0" w:firstRowFirstColumn="0" w:firstRowLastColumn="0" w:lastRowFirstColumn="0" w:lastRowLastColumn="0"/>
            </w:pPr>
            <w:r w:rsidRPr="009B1EFB">
              <w:t>Students sequence events and developments within a chronological framework, and identify relationships between events across different places and periods of time. When researching, students develop, evaluate and modify questions to frame a historical inquiry. They process, analyse and synthesise information from a range of primary and secondary sources and use it as evidence to answer inquiry questions</w:t>
            </w:r>
            <w:r w:rsidRPr="00677692">
              <w:rPr>
                <w:rFonts w:ascii="Helvetica" w:hAnsi="Helvetica"/>
                <w:color w:val="222222"/>
              </w:rPr>
              <w:t>.</w:t>
            </w:r>
            <w:r w:rsidRPr="009B1EFB">
              <w:t xml:space="preserve"> </w:t>
            </w:r>
            <w:r w:rsidRPr="009B1EFB">
              <w:rPr>
                <w:rStyle w:val="Shading1"/>
              </w:rPr>
              <w:t>Students analyse sources to identify motivations, values and attitudes. When evaluating these sources, they analyse and draw conclusions about their usefulness, taking into account their origin, purpose and context. They develop and justify their own interpretations about the past. Students develop texts, particularly explanations and discussions, incorporating historical argument. In developing these texts and organising and presenting their arguments, they use historical terms and concepts, evidence identified in sources, and they reference these sources.</w:t>
            </w:r>
          </w:p>
        </w:tc>
        <w:tc>
          <w:tcPr>
            <w:tcW w:w="5051" w:type="dxa"/>
            <w:gridSpan w:val="2"/>
          </w:tcPr>
          <w:p w14:paraId="2B0F3041" w14:textId="77777777" w:rsidR="00677692" w:rsidRPr="00677692" w:rsidRDefault="00677692" w:rsidP="009B1EFB">
            <w:pPr>
              <w:pStyle w:val="Tabletext"/>
              <w:cnfStyle w:val="000000000000" w:firstRow="0" w:lastRow="0" w:firstColumn="0" w:lastColumn="0" w:oddVBand="0" w:evenVBand="0" w:oddHBand="0" w:evenHBand="0" w:firstRowFirstColumn="0" w:firstRowLastColumn="0" w:lastRowFirstColumn="0" w:lastRowLastColumn="0"/>
              <w:rPr>
                <w:lang w:eastAsia="ja-JP"/>
              </w:rPr>
            </w:pPr>
            <w:r w:rsidRPr="00677692">
              <w:t xml:space="preserve">By the end of Year 10, </w:t>
            </w:r>
            <w:r w:rsidRPr="009B1EFB">
              <w:rPr>
                <w:rStyle w:val="Shading1"/>
              </w:rPr>
              <w:t>students refer to key events, the actions of individuals and groups, and beliefs and values to explain patterns of change and continuity over time. They analyse the causes and effects of events and developments and explain their relative importance. They explain the context for people’s actions in the past.</w:t>
            </w:r>
            <w:r w:rsidRPr="00677692">
              <w:t xml:space="preserve"> </w:t>
            </w:r>
            <w:r w:rsidRPr="00F5268E">
              <w:t>Students explain the significance of events and developments from a range of perspectives. They explain different interpretations of the past and recognise the evidence used to support these interpretations.</w:t>
            </w:r>
          </w:p>
          <w:p w14:paraId="00BB0A27" w14:textId="77777777" w:rsidR="00F27D95" w:rsidRDefault="00677692" w:rsidP="009B1EFB">
            <w:pPr>
              <w:pStyle w:val="Tabletext"/>
              <w:cnfStyle w:val="000000000000" w:firstRow="0" w:lastRow="0" w:firstColumn="0" w:lastColumn="0" w:oddVBand="0" w:evenVBand="0" w:oddHBand="0" w:evenHBand="0" w:firstRowFirstColumn="0" w:firstRowLastColumn="0" w:lastRowFirstColumn="0" w:lastRowLastColumn="0"/>
            </w:pPr>
            <w:r w:rsidRPr="00826EA4">
              <w:t>Students sequence events and developments within a chronological framework, and identify relationships between events across different places and periods of time.</w:t>
            </w:r>
            <w:r w:rsidRPr="00677692">
              <w:t xml:space="preserve"> </w:t>
            </w:r>
            <w:r w:rsidRPr="009B1EFB">
              <w:rPr>
                <w:rStyle w:val="Shading1"/>
              </w:rPr>
              <w:t>When researching, students develop, evaluate and modify questions to frame a historical inquiry. They process, analyse and synthesise information from a range of primary and secondary sources and use it as evidence to answer inquiry questions. Students analyse sources to identify motivations, values and attitudes. When evaluating these sources, they analyse and draw conclusions about their usefulness, taking into account their origin, purpose and context. They develop and justify their own interpretations about the past. Students develop texts, particularly explanations and discussions, incorporating historical argument. In developing these texts and organising and presenting their arguments, they use historical terms and concepts, evidence identified in sources, and they reference these sources.</w:t>
            </w:r>
          </w:p>
        </w:tc>
        <w:tc>
          <w:tcPr>
            <w:tcW w:w="5051" w:type="dxa"/>
            <w:gridSpan w:val="2"/>
          </w:tcPr>
          <w:p w14:paraId="22813A29" w14:textId="77777777" w:rsidR="00677692" w:rsidRPr="00677692" w:rsidRDefault="00677692" w:rsidP="009B1EFB">
            <w:pPr>
              <w:pStyle w:val="Tabletext"/>
              <w:cnfStyle w:val="000000000000" w:firstRow="0" w:lastRow="0" w:firstColumn="0" w:lastColumn="0" w:oddVBand="0" w:evenVBand="0" w:oddHBand="0" w:evenHBand="0" w:firstRowFirstColumn="0" w:firstRowLastColumn="0" w:lastRowFirstColumn="0" w:lastRowLastColumn="0"/>
              <w:rPr>
                <w:highlight w:val="yellow"/>
                <w:lang w:eastAsia="ja-JP"/>
              </w:rPr>
            </w:pPr>
            <w:r w:rsidRPr="00677692">
              <w:t xml:space="preserve">By the end of Year 10, </w:t>
            </w:r>
            <w:r w:rsidRPr="009B1EFB">
              <w:rPr>
                <w:rStyle w:val="Shading1"/>
              </w:rPr>
              <w:t>students refer to key events, the actions of individuals</w:t>
            </w:r>
            <w:r w:rsidRPr="009B1EFB">
              <w:t xml:space="preserve"> </w:t>
            </w:r>
            <w:r w:rsidRPr="00677692">
              <w:t xml:space="preserve">and groups, </w:t>
            </w:r>
            <w:r w:rsidRPr="009B1EFB">
              <w:rPr>
                <w:rStyle w:val="Shading1"/>
              </w:rPr>
              <w:t>and beliefs and values to explain patterns of change and continuity over time.</w:t>
            </w:r>
            <w:r w:rsidRPr="009B1EFB">
              <w:t xml:space="preserve"> </w:t>
            </w:r>
            <w:r w:rsidRPr="00677692">
              <w:t xml:space="preserve">They analyse the causes and effects of events and developments and explain their relative importance. </w:t>
            </w:r>
            <w:r w:rsidRPr="009B1EFB">
              <w:rPr>
                <w:rStyle w:val="Shading1"/>
              </w:rPr>
              <w:t>They explain the context for people’s actions in the past.</w:t>
            </w:r>
            <w:r w:rsidRPr="00677692">
              <w:t xml:space="preserve"> Students explain the significance of events and developments from a range of perspectives. </w:t>
            </w:r>
            <w:r w:rsidRPr="009B1EFB">
              <w:rPr>
                <w:rStyle w:val="Shading1"/>
              </w:rPr>
              <w:t>They explain different interpretations of the past and recognise the evidence used to support these interpretations.</w:t>
            </w:r>
          </w:p>
          <w:p w14:paraId="52A0EF04" w14:textId="77777777" w:rsidR="00F27D95" w:rsidRPr="00677692" w:rsidRDefault="00677692" w:rsidP="009B1EFB">
            <w:pPr>
              <w:pStyle w:val="Tabletext"/>
              <w:cnfStyle w:val="000000000000" w:firstRow="0" w:lastRow="0" w:firstColumn="0" w:lastColumn="0" w:oddVBand="0" w:evenVBand="0" w:oddHBand="0" w:evenHBand="0" w:firstRowFirstColumn="0" w:firstRowLastColumn="0" w:lastRowFirstColumn="0" w:lastRowLastColumn="0"/>
            </w:pPr>
            <w:r w:rsidRPr="00677692">
              <w:t xml:space="preserve">Students sequence events and developments within a chronological framework, and identify relationships between events across different places and periods of time. </w:t>
            </w:r>
            <w:r w:rsidRPr="009B1EFB">
              <w:rPr>
                <w:rStyle w:val="Shading1"/>
              </w:rPr>
              <w:t>When researching, students develop, evaluate and modify questions to frame a historical inquiry. They process, analyse and synthesise information from a range of primary and secondary sources and use it as evidence to answer inquiry questions. Students analyse sources to identify motivations, values and attitudes. When evaluating these sources, they analyse and draw conclusions about their usefulness, taking into account their origin, purpose and context. They develop and justify their own interpretations about the past. Students develop texts, particularly explanations and discussions, incorporating historical argument. In developing these texts and organising and presenting their arguments, they use historical terms and concepts, evidence identified in sources, and they reference these sources.</w:t>
            </w:r>
          </w:p>
        </w:tc>
        <w:tc>
          <w:tcPr>
            <w:tcW w:w="5051" w:type="dxa"/>
            <w:gridSpan w:val="2"/>
          </w:tcPr>
          <w:p w14:paraId="02FE53AC" w14:textId="77777777" w:rsidR="00677692" w:rsidRPr="009B1EFB" w:rsidRDefault="00677692" w:rsidP="009B1EFB">
            <w:pPr>
              <w:pStyle w:val="Tabletext"/>
              <w:cnfStyle w:val="000000000000" w:firstRow="0" w:lastRow="0" w:firstColumn="0" w:lastColumn="0" w:oddVBand="0" w:evenVBand="0" w:oddHBand="0" w:evenHBand="0" w:firstRowFirstColumn="0" w:firstRowLastColumn="0" w:lastRowFirstColumn="0" w:lastRowLastColumn="0"/>
              <w:rPr>
                <w:rStyle w:val="Shading1"/>
              </w:rPr>
            </w:pPr>
            <w:r w:rsidRPr="00677692">
              <w:t xml:space="preserve">By the end of Year 10, </w:t>
            </w:r>
            <w:r w:rsidRPr="009B1EFB">
              <w:rPr>
                <w:rStyle w:val="Shading1"/>
              </w:rPr>
              <w:t>students refer to key events, the actions of individuals and groups, and beliefs and values to explain patterns of change and continuity over time.</w:t>
            </w:r>
            <w:r w:rsidRPr="009B1EFB">
              <w:t xml:space="preserve"> </w:t>
            </w:r>
            <w:r w:rsidRPr="00677692">
              <w:t xml:space="preserve">They analyse the causes and effects of events and developments and explain their relative importance. </w:t>
            </w:r>
            <w:r w:rsidRPr="00826EA4">
              <w:t xml:space="preserve">They explain the context for people’s actions in the past. </w:t>
            </w:r>
            <w:r w:rsidRPr="009B1EFB">
              <w:rPr>
                <w:rStyle w:val="Shading1"/>
              </w:rPr>
              <w:t>Students explain the significance of events and developments from a range of perspectives. They explain different interpretations of the past and recognise the evidence used to support these interpretations.</w:t>
            </w:r>
          </w:p>
          <w:p w14:paraId="71DC95CB" w14:textId="77777777" w:rsidR="00F27D95" w:rsidRDefault="00677692" w:rsidP="009B1EFB">
            <w:pPr>
              <w:pStyle w:val="Tabletext"/>
              <w:cnfStyle w:val="000000000000" w:firstRow="0" w:lastRow="0" w:firstColumn="0" w:lastColumn="0" w:oddVBand="0" w:evenVBand="0" w:oddHBand="0" w:evenHBand="0" w:firstRowFirstColumn="0" w:firstRowLastColumn="0" w:lastRowFirstColumn="0" w:lastRowLastColumn="0"/>
            </w:pPr>
            <w:r w:rsidRPr="009B1EFB">
              <w:rPr>
                <w:rStyle w:val="Shading1"/>
              </w:rPr>
              <w:t>Students sequence events and developments within a chronological framework, and identify relationships between events across different places and periods of time.</w:t>
            </w:r>
            <w:r w:rsidRPr="00677692">
              <w:t xml:space="preserve"> When researching, students develop, evaluate and modify questions to frame a historical inquiry. They process, analyse and synthesise information from a range of primary and secondary sources and use it as evidence to answer inquiry questions</w:t>
            </w:r>
            <w:r w:rsidRPr="00035A8C">
              <w:t xml:space="preserve">. </w:t>
            </w:r>
            <w:r w:rsidRPr="00035A8C">
              <w:rPr>
                <w:rStyle w:val="Shading1"/>
              </w:rPr>
              <w:t>Students analyse sources to identify motivations, values and attitudes. When evaluating these sources, they analyse and draw conclusions about their usefulness, taking into account their origin, purpose and context. They develop and justify their own interpretations about the past. Students develop texts, particularly explanations and discussions, incorporating historical argument. In developing these texts and organising and presenting their arguments, they use historical terms and concepts, evidence identified in sources, and they reference these sources.</w:t>
            </w:r>
          </w:p>
        </w:tc>
      </w:tr>
      <w:bookmarkEnd w:id="4"/>
      <w:tr w:rsidR="000F425C" w14:paraId="6419191D" w14:textId="77777777" w:rsidTr="00035A8C">
        <w:trPr>
          <w:cantSplit/>
          <w:trHeight w:val="13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5730151" w14:textId="77777777" w:rsidR="000F425C" w:rsidRDefault="009D30E3" w:rsidP="009D30E3">
            <w:pPr>
              <w:pStyle w:val="Tablesubhead"/>
              <w:ind w:left="113" w:right="113"/>
              <w:jc w:val="center"/>
            </w:pPr>
            <w:r>
              <w:t>Moderation</w:t>
            </w:r>
          </w:p>
        </w:tc>
        <w:tc>
          <w:tcPr>
            <w:tcW w:w="5051" w:type="dxa"/>
            <w:gridSpan w:val="2"/>
          </w:tcPr>
          <w:p w14:paraId="66CA53FC" w14:textId="121A87BF" w:rsidR="00571C6C" w:rsidRDefault="0025352C" w:rsidP="00571C6C">
            <w:pPr>
              <w:pStyle w:val="Tabletext"/>
              <w:cnfStyle w:val="000000000000" w:firstRow="0" w:lastRow="0" w:firstColumn="0" w:lastColumn="0" w:oddVBand="0" w:evenVBand="0" w:oddHBand="0" w:evenHBand="0" w:firstRowFirstColumn="0" w:firstRowLastColumn="0" w:lastRowFirstColumn="0" w:lastRowLastColumn="0"/>
            </w:pPr>
            <w:r>
              <w:rPr>
                <w:rStyle w:val="TabletextChar"/>
              </w:rPr>
              <w:t xml:space="preserve">Calibration: </w:t>
            </w:r>
            <w:r w:rsidR="000051C9">
              <w:rPr>
                <w:rStyle w:val="TabletextChar"/>
              </w:rPr>
              <w:t>Before</w:t>
            </w:r>
            <w:r w:rsidR="00571C6C">
              <w:rPr>
                <w:rStyle w:val="TabletextChar"/>
              </w:rPr>
              <w:t xml:space="preserve"> grading all student responses, teachers </w:t>
            </w:r>
            <w:r w:rsidR="000051C9">
              <w:rPr>
                <w:rStyle w:val="TabletextChar"/>
              </w:rPr>
              <w:t xml:space="preserve">will </w:t>
            </w:r>
            <w:r w:rsidR="00571C6C">
              <w:rPr>
                <w:rStyle w:val="TabletextChar"/>
              </w:rPr>
              <w:t>examine A and C sample responses selected by the HOD</w:t>
            </w:r>
            <w:r w:rsidR="000051C9">
              <w:rPr>
                <w:rStyle w:val="TabletextChar"/>
              </w:rPr>
              <w:t>.</w:t>
            </w:r>
            <w:r w:rsidR="00571C6C">
              <w:rPr>
                <w:rStyle w:val="TabletextChar"/>
              </w:rPr>
              <w:t xml:space="preserve"> Teachers </w:t>
            </w:r>
            <w:r w:rsidR="000051C9">
              <w:rPr>
                <w:rStyle w:val="TabletextChar"/>
              </w:rPr>
              <w:t xml:space="preserve">will </w:t>
            </w:r>
            <w:r w:rsidR="00571C6C">
              <w:rPr>
                <w:rStyle w:val="TabletextChar"/>
              </w:rPr>
              <w:t xml:space="preserve">then apply their shared understanding of the task-specific standards for A and C sample responses to the grading of all subsequent student responses. </w:t>
            </w:r>
          </w:p>
          <w:p w14:paraId="7B04DDEF" w14:textId="77777777" w:rsidR="00220FF4" w:rsidRPr="00895EB1" w:rsidRDefault="00220FF4" w:rsidP="00A96BDE">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5051" w:type="dxa"/>
            <w:gridSpan w:val="2"/>
          </w:tcPr>
          <w:p w14:paraId="04C30F8A" w14:textId="77777777" w:rsidR="00571C6C" w:rsidRDefault="000E6CFC" w:rsidP="000E6CF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Teachers</w:t>
            </w:r>
            <w:r w:rsidR="000051C9">
              <w:rPr>
                <w:rStyle w:val="TabletextChar"/>
              </w:rPr>
              <w:t xml:space="preserve"> will</w:t>
            </w:r>
            <w:r>
              <w:rPr>
                <w:rStyle w:val="TabletextChar"/>
              </w:rPr>
              <w:t xml:space="preserve"> individually grade samples selected by the HOD, which are representative of the five-point scale described in the task-specific standards. </w:t>
            </w:r>
          </w:p>
          <w:p w14:paraId="4A37E265" w14:textId="77777777" w:rsidR="00571C6C" w:rsidRDefault="00571C6C" w:rsidP="000E6CFC">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5CF51E8C" w14:textId="0DE5B167" w:rsidR="000F425C" w:rsidRDefault="0025352C" w:rsidP="000E6CFC">
            <w:pPr>
              <w:pStyle w:val="Tabletext"/>
              <w:cnfStyle w:val="000000000000" w:firstRow="0" w:lastRow="0" w:firstColumn="0" w:lastColumn="0" w:oddVBand="0" w:evenVBand="0" w:oddHBand="0" w:evenHBand="0" w:firstRowFirstColumn="0" w:firstRowLastColumn="0" w:lastRowFirstColumn="0" w:lastRowLastColumn="0"/>
            </w:pPr>
            <w:r>
              <w:rPr>
                <w:rStyle w:val="TabletextChar"/>
              </w:rPr>
              <w:t xml:space="preserve">Conferencing: </w:t>
            </w:r>
            <w:r w:rsidR="000E6CFC">
              <w:rPr>
                <w:rStyle w:val="TabletextChar"/>
              </w:rPr>
              <w:t>At a follow-up meeting time nominated by the HOD, teachers</w:t>
            </w:r>
            <w:r w:rsidR="000051C9">
              <w:rPr>
                <w:rStyle w:val="TabletextChar"/>
              </w:rPr>
              <w:t xml:space="preserve"> will</w:t>
            </w:r>
            <w:r w:rsidR="000E6CFC">
              <w:rPr>
                <w:rStyle w:val="TabletextChar"/>
              </w:rPr>
              <w:t xml:space="preserve"> compare their </w:t>
            </w:r>
            <w:r w:rsidR="00571C6C">
              <w:rPr>
                <w:rStyle w:val="TabletextChar"/>
              </w:rPr>
              <w:t>judgments</w:t>
            </w:r>
            <w:r w:rsidR="000E6CFC">
              <w:rPr>
                <w:rStyle w:val="TabletextChar"/>
              </w:rPr>
              <w:t xml:space="preserve">, engaging in </w:t>
            </w:r>
            <w:r w:rsidR="000E6CFC">
              <w:rPr>
                <w:lang w:eastAsia="en-US"/>
              </w:rPr>
              <w:t xml:space="preserve">professional conversations to reach consensus on the level of achievement to be awarded for each sample. </w:t>
            </w:r>
            <w:r w:rsidR="000051C9">
              <w:rPr>
                <w:lang w:eastAsia="en-US"/>
              </w:rPr>
              <w:t xml:space="preserve">Conversations will be </w:t>
            </w:r>
            <w:r w:rsidR="000E6CFC">
              <w:rPr>
                <w:lang w:eastAsia="en-US"/>
              </w:rPr>
              <w:t>based on evidence in student responses, using the language of the task-specific standards.</w:t>
            </w:r>
          </w:p>
        </w:tc>
        <w:tc>
          <w:tcPr>
            <w:tcW w:w="5051" w:type="dxa"/>
            <w:gridSpan w:val="2"/>
          </w:tcPr>
          <w:p w14:paraId="42A1C33E" w14:textId="77777777" w:rsidR="00571C6C" w:rsidRDefault="00571C6C" w:rsidP="000F425C">
            <w:pPr>
              <w:pStyle w:val="Tabletext"/>
              <w:cnfStyle w:val="000000000000" w:firstRow="0" w:lastRow="0" w:firstColumn="0" w:lastColumn="0" w:oddVBand="0" w:evenVBand="0" w:oddHBand="0" w:evenHBand="0" w:firstRowFirstColumn="0" w:firstRowLastColumn="0" w:lastRowFirstColumn="0" w:lastRowLastColumn="0"/>
            </w:pPr>
            <w:r>
              <w:t xml:space="preserve">Individual teachers </w:t>
            </w:r>
            <w:r w:rsidR="000051C9">
              <w:t xml:space="preserve">will </w:t>
            </w:r>
            <w:r>
              <w:t xml:space="preserve">grade all student responses using the task-specific standards. </w:t>
            </w:r>
          </w:p>
          <w:p w14:paraId="52CBE7F5" w14:textId="77777777" w:rsidR="00571C6C" w:rsidRDefault="00571C6C" w:rsidP="000F425C">
            <w:pPr>
              <w:pStyle w:val="Tabletext"/>
              <w:cnfStyle w:val="000000000000" w:firstRow="0" w:lastRow="0" w:firstColumn="0" w:lastColumn="0" w:oddVBand="0" w:evenVBand="0" w:oddHBand="0" w:evenHBand="0" w:firstRowFirstColumn="0" w:firstRowLastColumn="0" w:lastRowFirstColumn="0" w:lastRowLastColumn="0"/>
            </w:pPr>
          </w:p>
          <w:p w14:paraId="738E71F3" w14:textId="4ABA4969" w:rsidR="000F425C" w:rsidRDefault="00C10953" w:rsidP="000F425C">
            <w:pPr>
              <w:pStyle w:val="Tabletext"/>
              <w:cnfStyle w:val="000000000000" w:firstRow="0" w:lastRow="0" w:firstColumn="0" w:lastColumn="0" w:oddVBand="0" w:evenVBand="0" w:oddHBand="0" w:evenHBand="0" w:firstRowFirstColumn="0" w:firstRowLastColumn="0" w:lastRowFirstColumn="0" w:lastRowLastColumn="0"/>
            </w:pPr>
            <w:r>
              <w:t xml:space="preserve">Conferencing: </w:t>
            </w:r>
            <w:r w:rsidR="00571C6C">
              <w:t xml:space="preserve">A meeting of all teachers </w:t>
            </w:r>
            <w:r w:rsidR="000051C9">
              <w:t xml:space="preserve">of </w:t>
            </w:r>
            <w:r w:rsidR="00571C6C">
              <w:t xml:space="preserve">the year level </w:t>
            </w:r>
            <w:r w:rsidR="000051C9">
              <w:t xml:space="preserve">will </w:t>
            </w:r>
            <w:r w:rsidR="00571C6C">
              <w:t xml:space="preserve">then </w:t>
            </w:r>
            <w:r w:rsidR="000051C9">
              <w:t xml:space="preserve">be </w:t>
            </w:r>
            <w:r w:rsidR="00571C6C">
              <w:t xml:space="preserve">convened to determine samples across the five-point scale for consideration at the Cluster Moderation meeting. At this time, teachers </w:t>
            </w:r>
            <w:r w:rsidR="000051C9">
              <w:t xml:space="preserve">will </w:t>
            </w:r>
            <w:r w:rsidR="00571C6C">
              <w:t xml:space="preserve">share their selected samples and their judgments, focusing their conversations </w:t>
            </w:r>
            <w:r w:rsidR="00A128F7">
              <w:t xml:space="preserve">on evidence in student responses using the language of the task-specific standards. Five samples </w:t>
            </w:r>
            <w:r w:rsidR="000051C9">
              <w:t xml:space="preserve">will </w:t>
            </w:r>
            <w:r w:rsidR="00A128F7">
              <w:t xml:space="preserve">then </w:t>
            </w:r>
            <w:r>
              <w:t>be selected</w:t>
            </w:r>
            <w:r w:rsidR="00A128F7">
              <w:t xml:space="preserve"> to take to Cluster Moderation.</w:t>
            </w:r>
          </w:p>
        </w:tc>
        <w:tc>
          <w:tcPr>
            <w:tcW w:w="5051" w:type="dxa"/>
            <w:gridSpan w:val="2"/>
          </w:tcPr>
          <w:p w14:paraId="3AB67036" w14:textId="31E34D13" w:rsidR="00571C6C" w:rsidRDefault="00C10953" w:rsidP="00571C6C">
            <w:pPr>
              <w:pStyle w:val="Tabletext"/>
              <w:cnfStyle w:val="000000000000" w:firstRow="0" w:lastRow="0" w:firstColumn="0" w:lastColumn="0" w:oddVBand="0" w:evenVBand="0" w:oddHBand="0" w:evenHBand="0" w:firstRowFirstColumn="0" w:firstRowLastColumn="0" w:lastRowFirstColumn="0" w:lastRowLastColumn="0"/>
            </w:pPr>
            <w:r>
              <w:rPr>
                <w:rStyle w:val="TabletextChar"/>
              </w:rPr>
              <w:t xml:space="preserve">Calibration: </w:t>
            </w:r>
            <w:r w:rsidR="000051C9">
              <w:rPr>
                <w:rStyle w:val="TabletextChar"/>
              </w:rPr>
              <w:t>Before</w:t>
            </w:r>
            <w:r w:rsidR="00571C6C">
              <w:rPr>
                <w:rStyle w:val="TabletextChar"/>
              </w:rPr>
              <w:t xml:space="preserve"> grading all student responses, teachers</w:t>
            </w:r>
            <w:r w:rsidR="000051C9">
              <w:rPr>
                <w:rStyle w:val="TabletextChar"/>
              </w:rPr>
              <w:t xml:space="preserve"> will</w:t>
            </w:r>
            <w:r w:rsidR="00571C6C">
              <w:rPr>
                <w:rStyle w:val="TabletextChar"/>
              </w:rPr>
              <w:t xml:space="preserve"> examine A and C sample responses selected by the HOD</w:t>
            </w:r>
            <w:r w:rsidR="000051C9">
              <w:rPr>
                <w:rStyle w:val="TabletextChar"/>
              </w:rPr>
              <w:t>.</w:t>
            </w:r>
            <w:r w:rsidR="00571C6C">
              <w:rPr>
                <w:rStyle w:val="TabletextChar"/>
              </w:rPr>
              <w:t xml:space="preserve"> Teachers </w:t>
            </w:r>
            <w:r w:rsidR="000051C9">
              <w:rPr>
                <w:rStyle w:val="TabletextChar"/>
              </w:rPr>
              <w:t xml:space="preserve">will </w:t>
            </w:r>
            <w:r w:rsidR="00571C6C">
              <w:rPr>
                <w:rStyle w:val="TabletextChar"/>
              </w:rPr>
              <w:t xml:space="preserve">then apply their shared understanding of the task-specific standards for A and C sample responses to the grading of all subsequent student responses. </w:t>
            </w:r>
          </w:p>
          <w:p w14:paraId="03FBA80E" w14:textId="77777777" w:rsidR="000F425C" w:rsidRDefault="000F425C" w:rsidP="00A96BDE">
            <w:pPr>
              <w:pStyle w:val="Tabletext"/>
              <w:cnfStyle w:val="000000000000" w:firstRow="0" w:lastRow="0" w:firstColumn="0" w:lastColumn="0" w:oddVBand="0" w:evenVBand="0" w:oddHBand="0" w:evenHBand="0" w:firstRowFirstColumn="0" w:firstRowLastColumn="0" w:lastRowFirstColumn="0" w:lastRowLastColumn="0"/>
            </w:pPr>
          </w:p>
          <w:p w14:paraId="686ACBCB" w14:textId="72625945" w:rsidR="00571C6C" w:rsidRDefault="00571C6C" w:rsidP="00A96BDE">
            <w:pPr>
              <w:pStyle w:val="Tabletext"/>
              <w:cnfStyle w:val="000000000000" w:firstRow="0" w:lastRow="0" w:firstColumn="0" w:lastColumn="0" w:oddVBand="0" w:evenVBand="0" w:oddHBand="0" w:evenHBand="0" w:firstRowFirstColumn="0" w:firstRowLastColumn="0" w:lastRowFirstColumn="0" w:lastRowLastColumn="0"/>
            </w:pPr>
          </w:p>
        </w:tc>
      </w:tr>
    </w:tbl>
    <w:p w14:paraId="31E55CBB" w14:textId="77777777" w:rsidR="00035A8C" w:rsidRDefault="00035A8C" w:rsidP="006904F7">
      <w:pPr>
        <w:pStyle w:val="Heading1"/>
      </w:pPr>
    </w:p>
    <w:p w14:paraId="47233AB0" w14:textId="77777777" w:rsidR="00035A8C" w:rsidRDefault="00035A8C" w:rsidP="00035A8C">
      <w:pPr>
        <w:pStyle w:val="BodyText"/>
      </w:pPr>
    </w:p>
    <w:p w14:paraId="2D8F5A17" w14:textId="77777777" w:rsidR="00035A8C" w:rsidRDefault="00035A8C" w:rsidP="00035A8C">
      <w:pPr>
        <w:pStyle w:val="BodyText"/>
      </w:pPr>
    </w:p>
    <w:p w14:paraId="6F7FEA43" w14:textId="77777777" w:rsidR="00035A8C" w:rsidRPr="00035A8C" w:rsidRDefault="00035A8C" w:rsidP="00035A8C">
      <w:pPr>
        <w:pStyle w:val="BodyText"/>
      </w:pPr>
    </w:p>
    <w:p w14:paraId="194AF83D" w14:textId="77777777" w:rsidR="00035A8C" w:rsidRPr="00035A8C" w:rsidRDefault="00035A8C" w:rsidP="00035A8C"/>
    <w:p w14:paraId="6C220536" w14:textId="77777777" w:rsidR="00035A8C" w:rsidRDefault="00035A8C" w:rsidP="00035A8C"/>
    <w:p w14:paraId="702EECA3" w14:textId="77777777" w:rsidR="00035A8C" w:rsidRDefault="00035A8C" w:rsidP="00035A8C"/>
    <w:p w14:paraId="53392B84" w14:textId="77777777" w:rsidR="00035A8C" w:rsidRDefault="00035A8C" w:rsidP="00035A8C"/>
    <w:p w14:paraId="53473BFF" w14:textId="77777777" w:rsidR="00035A8C" w:rsidRDefault="00035A8C" w:rsidP="00035A8C"/>
    <w:p w14:paraId="1076D243" w14:textId="77777777" w:rsidR="006904F7" w:rsidRPr="00035A8C" w:rsidRDefault="006904F7" w:rsidP="0089217D">
      <w:pPr>
        <w:pStyle w:val="Heading1"/>
      </w:pPr>
      <w:r>
        <w:lastRenderedPageBreak/>
        <w:t>Teaching and learning focus</w:t>
      </w:r>
    </w:p>
    <w:tbl>
      <w:tblPr>
        <w:tblStyle w:val="QCAAtablestyle11"/>
        <w:tblW w:w="4996" w:type="pct"/>
        <w:tblInd w:w="-6" w:type="dxa"/>
        <w:tblLayout w:type="fixed"/>
        <w:tblLook w:val="04A0" w:firstRow="1" w:lastRow="0" w:firstColumn="1" w:lastColumn="0" w:noHBand="0" w:noVBand="1"/>
      </w:tblPr>
      <w:tblGrid>
        <w:gridCol w:w="6964"/>
        <w:gridCol w:w="877"/>
        <w:gridCol w:w="877"/>
        <w:gridCol w:w="877"/>
        <w:gridCol w:w="877"/>
        <w:gridCol w:w="6955"/>
        <w:gridCol w:w="877"/>
        <w:gridCol w:w="877"/>
        <w:gridCol w:w="877"/>
        <w:gridCol w:w="887"/>
      </w:tblGrid>
      <w:tr w:rsidR="006904F7" w:rsidRPr="00D715D5" w14:paraId="273EE9AF" w14:textId="77777777" w:rsidTr="00CA0DD8">
        <w:trPr>
          <w:cnfStyle w:val="100000000000" w:firstRow="1" w:lastRow="0" w:firstColumn="0" w:lastColumn="0" w:oddVBand="0" w:evenVBand="0" w:oddHBand="0" w:evenHBand="0" w:firstRowFirstColumn="0" w:firstRowLastColumn="0" w:lastRowFirstColumn="0" w:lastRowLastColumn="0"/>
          <w:trHeight w:val="219"/>
        </w:trPr>
        <w:tc>
          <w:tcPr>
            <w:tcW w:w="20945" w:type="dxa"/>
            <w:gridSpan w:val="10"/>
          </w:tcPr>
          <w:p w14:paraId="396D0AAA" w14:textId="77777777" w:rsidR="006904F7" w:rsidRPr="00D715D5" w:rsidRDefault="006904F7" w:rsidP="0055614A">
            <w:pPr>
              <w:pStyle w:val="Tableheading"/>
            </w:pPr>
            <w:r w:rsidRPr="00D715D5">
              <w:t>Content descriptions</w:t>
            </w:r>
          </w:p>
        </w:tc>
      </w:tr>
      <w:tr w:rsidR="00CA0DD8" w:rsidRPr="00D715D5" w14:paraId="7539DC04" w14:textId="77777777" w:rsidTr="00CE57AD">
        <w:trPr>
          <w:trHeight w:val="208"/>
        </w:trPr>
        <w:tc>
          <w:tcPr>
            <w:tcW w:w="6964" w:type="dxa"/>
            <w:shd w:val="clear" w:color="auto" w:fill="E6E7E8"/>
          </w:tcPr>
          <w:p w14:paraId="3397B4D1" w14:textId="77777777" w:rsidR="00CA0DD8" w:rsidRPr="00D715D5" w:rsidRDefault="00CE57AD" w:rsidP="0055614A">
            <w:pPr>
              <w:pStyle w:val="Tablesubhead"/>
              <w:jc w:val="center"/>
            </w:pPr>
            <w:r>
              <w:t>Historical knowledge and understanding</w:t>
            </w:r>
          </w:p>
        </w:tc>
        <w:tc>
          <w:tcPr>
            <w:tcW w:w="877" w:type="dxa"/>
            <w:shd w:val="clear" w:color="auto" w:fill="E6E7E8"/>
            <w:vAlign w:val="center"/>
          </w:tcPr>
          <w:p w14:paraId="5E009263" w14:textId="77777777" w:rsidR="00CA0DD8" w:rsidRPr="00D715D5" w:rsidRDefault="00CA0DD8" w:rsidP="0055614A">
            <w:pPr>
              <w:pStyle w:val="Tablesubhead"/>
              <w:jc w:val="center"/>
            </w:pPr>
            <w:r w:rsidRPr="00D715D5">
              <w:t>Unit 1</w:t>
            </w:r>
          </w:p>
        </w:tc>
        <w:tc>
          <w:tcPr>
            <w:tcW w:w="877" w:type="dxa"/>
            <w:shd w:val="clear" w:color="auto" w:fill="E6E7E8"/>
            <w:vAlign w:val="center"/>
          </w:tcPr>
          <w:p w14:paraId="56FCBF59" w14:textId="77777777" w:rsidR="00CA0DD8" w:rsidRPr="00D715D5" w:rsidRDefault="00CA0DD8" w:rsidP="0055614A">
            <w:pPr>
              <w:pStyle w:val="Tablesubhead"/>
              <w:jc w:val="center"/>
            </w:pPr>
            <w:r w:rsidRPr="00D715D5">
              <w:t>Unit 2</w:t>
            </w:r>
          </w:p>
        </w:tc>
        <w:tc>
          <w:tcPr>
            <w:tcW w:w="877" w:type="dxa"/>
            <w:shd w:val="clear" w:color="auto" w:fill="E6E7E8"/>
            <w:vAlign w:val="center"/>
          </w:tcPr>
          <w:p w14:paraId="39459BF0" w14:textId="77777777" w:rsidR="00CA0DD8" w:rsidRPr="00D715D5" w:rsidRDefault="00CA0DD8" w:rsidP="0055614A">
            <w:pPr>
              <w:pStyle w:val="Tablesubhead"/>
              <w:jc w:val="center"/>
            </w:pPr>
            <w:r w:rsidRPr="00D715D5">
              <w:t>Unit 3</w:t>
            </w:r>
          </w:p>
        </w:tc>
        <w:tc>
          <w:tcPr>
            <w:tcW w:w="877" w:type="dxa"/>
            <w:shd w:val="clear" w:color="auto" w:fill="E6E7E8"/>
            <w:vAlign w:val="center"/>
          </w:tcPr>
          <w:p w14:paraId="3E7C2187" w14:textId="77777777" w:rsidR="00CA0DD8" w:rsidRPr="00D715D5" w:rsidRDefault="00CA0DD8" w:rsidP="0055614A">
            <w:pPr>
              <w:pStyle w:val="Tablesubhead"/>
              <w:jc w:val="center"/>
            </w:pPr>
            <w:r w:rsidRPr="00D715D5">
              <w:t>Unit 4</w:t>
            </w:r>
          </w:p>
        </w:tc>
        <w:tc>
          <w:tcPr>
            <w:tcW w:w="6955" w:type="dxa"/>
            <w:shd w:val="clear" w:color="auto" w:fill="E6E7E8"/>
          </w:tcPr>
          <w:p w14:paraId="3B1EFBA1" w14:textId="77777777" w:rsidR="00CA0DD8" w:rsidRPr="00D715D5" w:rsidRDefault="00CE57AD" w:rsidP="0055614A">
            <w:pPr>
              <w:pStyle w:val="Tablesubhead"/>
              <w:jc w:val="center"/>
            </w:pPr>
            <w:r>
              <w:t>Historical skills</w:t>
            </w:r>
          </w:p>
        </w:tc>
        <w:tc>
          <w:tcPr>
            <w:tcW w:w="877" w:type="dxa"/>
            <w:shd w:val="clear" w:color="auto" w:fill="E6E7E8"/>
            <w:vAlign w:val="center"/>
          </w:tcPr>
          <w:p w14:paraId="2EA8232F" w14:textId="77777777" w:rsidR="00CA0DD8" w:rsidRPr="00D715D5" w:rsidRDefault="00CA0DD8" w:rsidP="0055614A">
            <w:pPr>
              <w:pStyle w:val="Tablesubhead"/>
              <w:jc w:val="center"/>
            </w:pPr>
            <w:r w:rsidRPr="00D715D5">
              <w:t>Unit 1</w:t>
            </w:r>
          </w:p>
        </w:tc>
        <w:tc>
          <w:tcPr>
            <w:tcW w:w="877" w:type="dxa"/>
            <w:shd w:val="clear" w:color="auto" w:fill="E6E7E8"/>
            <w:vAlign w:val="center"/>
          </w:tcPr>
          <w:p w14:paraId="035A97CC" w14:textId="77777777" w:rsidR="00CA0DD8" w:rsidRPr="00D715D5" w:rsidRDefault="00CA0DD8" w:rsidP="0055614A">
            <w:pPr>
              <w:pStyle w:val="Tablesubhead"/>
              <w:jc w:val="center"/>
            </w:pPr>
            <w:r w:rsidRPr="00D715D5">
              <w:t>Unit 2</w:t>
            </w:r>
          </w:p>
        </w:tc>
        <w:tc>
          <w:tcPr>
            <w:tcW w:w="877" w:type="dxa"/>
            <w:shd w:val="clear" w:color="auto" w:fill="E6E7E8"/>
            <w:vAlign w:val="center"/>
          </w:tcPr>
          <w:p w14:paraId="457E18CB" w14:textId="77777777" w:rsidR="00CA0DD8" w:rsidRPr="00D715D5" w:rsidRDefault="00CA0DD8" w:rsidP="0055614A">
            <w:pPr>
              <w:pStyle w:val="Tablesubhead"/>
              <w:jc w:val="center"/>
            </w:pPr>
            <w:r w:rsidRPr="00D715D5">
              <w:t>Unit 3</w:t>
            </w:r>
          </w:p>
        </w:tc>
        <w:tc>
          <w:tcPr>
            <w:tcW w:w="887" w:type="dxa"/>
            <w:shd w:val="clear" w:color="auto" w:fill="E6E7E8"/>
            <w:vAlign w:val="center"/>
          </w:tcPr>
          <w:p w14:paraId="1189F99E" w14:textId="77777777" w:rsidR="00CA0DD8" w:rsidRPr="00D715D5" w:rsidRDefault="00CA0DD8" w:rsidP="0055614A">
            <w:pPr>
              <w:pStyle w:val="Tablesubhead"/>
              <w:jc w:val="center"/>
            </w:pPr>
            <w:r w:rsidRPr="00D715D5">
              <w:t>Unit 4</w:t>
            </w:r>
          </w:p>
        </w:tc>
      </w:tr>
      <w:tr w:rsidR="00CA0DD8" w:rsidRPr="00D715D5" w14:paraId="5310E8BE" w14:textId="77777777" w:rsidTr="00CE57AD">
        <w:trPr>
          <w:trHeight w:val="219"/>
        </w:trPr>
        <w:tc>
          <w:tcPr>
            <w:tcW w:w="6964" w:type="dxa"/>
            <w:shd w:val="clear" w:color="auto" w:fill="FFFFFF"/>
          </w:tcPr>
          <w:p w14:paraId="3BED311F" w14:textId="77777777" w:rsidR="00BE0C7E" w:rsidRDefault="00BE0C7E" w:rsidP="00BE0C7E">
            <w:pPr>
              <w:pStyle w:val="Tablesubhead"/>
            </w:pPr>
            <w:r w:rsidRPr="001B7623">
              <w:t>World War II </w:t>
            </w:r>
            <w:r>
              <w:t>(1939–45)</w:t>
            </w:r>
          </w:p>
          <w:p w14:paraId="47BA7971" w14:textId="62DC63CA" w:rsidR="00CA0DD8" w:rsidRPr="001B7623" w:rsidRDefault="00CA0DD8" w:rsidP="00475F8A">
            <w:pPr>
              <w:pStyle w:val="Tabletext"/>
            </w:pPr>
            <w:r w:rsidRPr="001B7623">
              <w:t>Overview of the causes and course of World War II </w:t>
            </w:r>
          </w:p>
        </w:tc>
        <w:tc>
          <w:tcPr>
            <w:tcW w:w="877" w:type="dxa"/>
            <w:shd w:val="clear" w:color="auto" w:fill="FFFFFF"/>
            <w:vAlign w:val="center"/>
          </w:tcPr>
          <w:p w14:paraId="57D1C4C8"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2577199B" w14:textId="77777777" w:rsidR="00CA0DD8" w:rsidRPr="001B7623" w:rsidRDefault="00CA0DD8" w:rsidP="00F5268E">
            <w:pPr>
              <w:pStyle w:val="Tabletext"/>
              <w:jc w:val="center"/>
            </w:pPr>
          </w:p>
        </w:tc>
        <w:tc>
          <w:tcPr>
            <w:tcW w:w="877" w:type="dxa"/>
            <w:shd w:val="clear" w:color="auto" w:fill="FFFFFF"/>
            <w:vAlign w:val="center"/>
          </w:tcPr>
          <w:p w14:paraId="651E06D4" w14:textId="77777777" w:rsidR="00CA0DD8" w:rsidRPr="001B7623" w:rsidRDefault="00CA0DD8" w:rsidP="00F5268E">
            <w:pPr>
              <w:pStyle w:val="Tabletext"/>
              <w:jc w:val="center"/>
            </w:pPr>
          </w:p>
        </w:tc>
        <w:tc>
          <w:tcPr>
            <w:tcW w:w="877" w:type="dxa"/>
            <w:shd w:val="clear" w:color="auto" w:fill="FFFFFF"/>
            <w:vAlign w:val="center"/>
          </w:tcPr>
          <w:p w14:paraId="4BF8E3B5" w14:textId="77777777" w:rsidR="00CA0DD8" w:rsidRPr="001B7623" w:rsidRDefault="00CA0DD8" w:rsidP="00F5268E">
            <w:pPr>
              <w:pStyle w:val="Tabletext"/>
              <w:jc w:val="center"/>
            </w:pPr>
          </w:p>
        </w:tc>
        <w:tc>
          <w:tcPr>
            <w:tcW w:w="6955" w:type="dxa"/>
            <w:shd w:val="clear" w:color="auto" w:fill="FFFFFF"/>
          </w:tcPr>
          <w:p w14:paraId="720B687D" w14:textId="45E1B34C" w:rsidR="00D65EB2" w:rsidRDefault="00D65EB2" w:rsidP="00D65EB2">
            <w:pPr>
              <w:pStyle w:val="Tablesubhead"/>
            </w:pPr>
            <w:r>
              <w:t>Chronology, terms and concepts</w:t>
            </w:r>
          </w:p>
          <w:p w14:paraId="264477CA" w14:textId="794548EB" w:rsidR="00CA0DD8" w:rsidRPr="001B7623" w:rsidRDefault="00CA0DD8" w:rsidP="00475F8A">
            <w:pPr>
              <w:pStyle w:val="Tabletext"/>
            </w:pPr>
            <w:r w:rsidRPr="001B7623">
              <w:t>Use chronological sequencing to demonstrate the relationship between events and developments in different periods and places </w:t>
            </w:r>
          </w:p>
        </w:tc>
        <w:tc>
          <w:tcPr>
            <w:tcW w:w="877" w:type="dxa"/>
            <w:shd w:val="clear" w:color="auto" w:fill="FFFFFF"/>
            <w:vAlign w:val="center"/>
          </w:tcPr>
          <w:p w14:paraId="2BB43C7A"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3C80E1B9"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37604209"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02D22638"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5059EA62" w14:textId="77777777" w:rsidTr="00CE57AD">
        <w:trPr>
          <w:trHeight w:val="219"/>
        </w:trPr>
        <w:tc>
          <w:tcPr>
            <w:tcW w:w="6964" w:type="dxa"/>
            <w:shd w:val="clear" w:color="auto" w:fill="FFFFFF"/>
          </w:tcPr>
          <w:p w14:paraId="4ABD95EB" w14:textId="77777777" w:rsidR="00CA0DD8" w:rsidRPr="001B7623" w:rsidRDefault="00CA0DD8" w:rsidP="00475F8A">
            <w:pPr>
              <w:pStyle w:val="Tabletext"/>
            </w:pPr>
            <w:r w:rsidRPr="001B7623">
              <w:t>Examination of significant events of World War II, including the Holocaust and use of the atomic bomb </w:t>
            </w:r>
          </w:p>
        </w:tc>
        <w:tc>
          <w:tcPr>
            <w:tcW w:w="877" w:type="dxa"/>
            <w:shd w:val="clear" w:color="auto" w:fill="FFFFFF"/>
            <w:vAlign w:val="center"/>
          </w:tcPr>
          <w:p w14:paraId="662D417E"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713678E7" w14:textId="77777777" w:rsidR="00CA0DD8" w:rsidRPr="001B7623" w:rsidRDefault="00CA0DD8" w:rsidP="00F5268E">
            <w:pPr>
              <w:pStyle w:val="Tabletext"/>
              <w:jc w:val="center"/>
            </w:pPr>
          </w:p>
        </w:tc>
        <w:tc>
          <w:tcPr>
            <w:tcW w:w="877" w:type="dxa"/>
            <w:shd w:val="clear" w:color="auto" w:fill="FFFFFF"/>
            <w:vAlign w:val="center"/>
          </w:tcPr>
          <w:p w14:paraId="51C938F7" w14:textId="77777777" w:rsidR="00CA0DD8" w:rsidRPr="001B7623" w:rsidRDefault="00CA0DD8" w:rsidP="00F5268E">
            <w:pPr>
              <w:pStyle w:val="Tabletext"/>
              <w:jc w:val="center"/>
            </w:pPr>
          </w:p>
        </w:tc>
        <w:tc>
          <w:tcPr>
            <w:tcW w:w="877" w:type="dxa"/>
            <w:shd w:val="clear" w:color="auto" w:fill="FFFFFF"/>
            <w:vAlign w:val="center"/>
          </w:tcPr>
          <w:p w14:paraId="2F9B5018" w14:textId="77777777" w:rsidR="00CA0DD8" w:rsidRPr="001B7623" w:rsidRDefault="00CA0DD8" w:rsidP="00F5268E">
            <w:pPr>
              <w:pStyle w:val="Tabletext"/>
              <w:jc w:val="center"/>
            </w:pPr>
          </w:p>
        </w:tc>
        <w:tc>
          <w:tcPr>
            <w:tcW w:w="6955" w:type="dxa"/>
            <w:shd w:val="clear" w:color="auto" w:fill="FFFFFF"/>
          </w:tcPr>
          <w:p w14:paraId="745C85ED" w14:textId="77777777" w:rsidR="00CA0DD8" w:rsidRPr="001B7623" w:rsidRDefault="00CA0DD8" w:rsidP="00475F8A">
            <w:pPr>
              <w:pStyle w:val="Tabletext"/>
            </w:pPr>
            <w:r w:rsidRPr="001B7623">
              <w:t>Use historical terms and concepts</w:t>
            </w:r>
          </w:p>
        </w:tc>
        <w:tc>
          <w:tcPr>
            <w:tcW w:w="877" w:type="dxa"/>
            <w:shd w:val="clear" w:color="auto" w:fill="FFFFFF"/>
            <w:vAlign w:val="center"/>
          </w:tcPr>
          <w:p w14:paraId="1C8AD3CE"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14EC3F4F"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46457963"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724EB3F0"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08E9343F" w14:textId="77777777" w:rsidTr="00CE57AD">
        <w:trPr>
          <w:trHeight w:val="219"/>
        </w:trPr>
        <w:tc>
          <w:tcPr>
            <w:tcW w:w="6964" w:type="dxa"/>
            <w:shd w:val="clear" w:color="auto" w:fill="FFFFFF"/>
          </w:tcPr>
          <w:p w14:paraId="24819688" w14:textId="77777777" w:rsidR="00CA0DD8" w:rsidRPr="001B7623" w:rsidRDefault="00CA0DD8" w:rsidP="00475F8A">
            <w:pPr>
              <w:pStyle w:val="Tabletext"/>
              <w:rPr>
                <w:szCs w:val="19"/>
              </w:rPr>
            </w:pPr>
            <w:r w:rsidRPr="001B7623">
              <w:rPr>
                <w:szCs w:val="19"/>
              </w:rPr>
              <w:t>Experiences of Australians during World War II (such as Prisoners of War (POWs), the Battle of Britain, Kokoda, the Fall of Singapore) </w:t>
            </w:r>
          </w:p>
        </w:tc>
        <w:tc>
          <w:tcPr>
            <w:tcW w:w="877" w:type="dxa"/>
            <w:shd w:val="clear" w:color="auto" w:fill="FFFFFF"/>
            <w:vAlign w:val="center"/>
          </w:tcPr>
          <w:p w14:paraId="1A78AC96"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2281AD6B" w14:textId="77777777" w:rsidR="00CA0DD8" w:rsidRPr="001B7623" w:rsidRDefault="00CA0DD8" w:rsidP="00F5268E">
            <w:pPr>
              <w:pStyle w:val="Tabletext"/>
              <w:jc w:val="center"/>
            </w:pPr>
          </w:p>
        </w:tc>
        <w:tc>
          <w:tcPr>
            <w:tcW w:w="877" w:type="dxa"/>
            <w:shd w:val="clear" w:color="auto" w:fill="FFFFFF"/>
            <w:vAlign w:val="center"/>
          </w:tcPr>
          <w:p w14:paraId="63E69AD1"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20CE1F91" w14:textId="77777777" w:rsidR="00CA0DD8" w:rsidRPr="001B7623" w:rsidRDefault="00CA0DD8" w:rsidP="00F5268E">
            <w:pPr>
              <w:pStyle w:val="Tabletext"/>
              <w:jc w:val="center"/>
            </w:pPr>
          </w:p>
        </w:tc>
        <w:tc>
          <w:tcPr>
            <w:tcW w:w="6955" w:type="dxa"/>
            <w:shd w:val="clear" w:color="auto" w:fill="FFFFFF"/>
          </w:tcPr>
          <w:p w14:paraId="19D8BB10" w14:textId="75BE3881" w:rsidR="00D65EB2" w:rsidRDefault="00D65EB2" w:rsidP="00D65EB2">
            <w:pPr>
              <w:pStyle w:val="Tablesubhead"/>
            </w:pPr>
            <w:r>
              <w:t>Historical questions and research</w:t>
            </w:r>
          </w:p>
          <w:p w14:paraId="1E9DB6C6" w14:textId="63ADB3D4" w:rsidR="00CA0DD8" w:rsidRPr="001B7623" w:rsidRDefault="00CA0DD8" w:rsidP="00475F8A">
            <w:pPr>
              <w:pStyle w:val="Tabletext"/>
            </w:pPr>
            <w:r w:rsidRPr="001B7623">
              <w:t>Identify and select different kinds of questions about the past to inform historical inquiry</w:t>
            </w:r>
          </w:p>
        </w:tc>
        <w:tc>
          <w:tcPr>
            <w:tcW w:w="877" w:type="dxa"/>
            <w:shd w:val="clear" w:color="auto" w:fill="FFFFFF"/>
            <w:vAlign w:val="center"/>
          </w:tcPr>
          <w:p w14:paraId="23798D24" w14:textId="77777777" w:rsidR="00CA0DD8" w:rsidRPr="00D715D5" w:rsidRDefault="00CA0DD8" w:rsidP="00F5268E">
            <w:pPr>
              <w:pStyle w:val="Tabletext"/>
              <w:jc w:val="center"/>
            </w:pPr>
          </w:p>
        </w:tc>
        <w:tc>
          <w:tcPr>
            <w:tcW w:w="877" w:type="dxa"/>
            <w:shd w:val="clear" w:color="auto" w:fill="FFFFFF"/>
            <w:vAlign w:val="center"/>
          </w:tcPr>
          <w:p w14:paraId="0928754C"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7028A891"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62D7B936" w14:textId="77777777" w:rsidR="00CA0DD8" w:rsidRPr="00D715D5" w:rsidRDefault="00CA0DD8" w:rsidP="00F5268E">
            <w:pPr>
              <w:pStyle w:val="Tabletext"/>
              <w:jc w:val="center"/>
            </w:pPr>
          </w:p>
        </w:tc>
      </w:tr>
      <w:tr w:rsidR="00CA0DD8" w:rsidRPr="00D715D5" w14:paraId="6E44C63B" w14:textId="77777777" w:rsidTr="00CE57AD">
        <w:trPr>
          <w:trHeight w:val="219"/>
        </w:trPr>
        <w:tc>
          <w:tcPr>
            <w:tcW w:w="6964" w:type="dxa"/>
            <w:shd w:val="clear" w:color="auto" w:fill="FFFFFF"/>
          </w:tcPr>
          <w:p w14:paraId="75861060" w14:textId="77777777" w:rsidR="00CA0DD8" w:rsidRPr="001B7623" w:rsidRDefault="00CA0DD8" w:rsidP="00475F8A">
            <w:pPr>
              <w:pStyle w:val="Tabletext"/>
              <w:rPr>
                <w:szCs w:val="19"/>
              </w:rPr>
            </w:pPr>
            <w:r w:rsidRPr="001B7623">
              <w:rPr>
                <w:szCs w:val="19"/>
              </w:rPr>
              <w:t>The impact of World War II, with a particular emphasis on the Australian home front, including the changing roles of women and use of wartime government controls (conscription, manpower controls, rationing and censorship) </w:t>
            </w:r>
          </w:p>
        </w:tc>
        <w:tc>
          <w:tcPr>
            <w:tcW w:w="877" w:type="dxa"/>
            <w:shd w:val="clear" w:color="auto" w:fill="FFFFFF"/>
            <w:vAlign w:val="center"/>
          </w:tcPr>
          <w:p w14:paraId="332F3B9F"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360F0945" w14:textId="77777777" w:rsidR="00CA0DD8" w:rsidRPr="001B7623" w:rsidRDefault="00CA0DD8" w:rsidP="00F5268E">
            <w:pPr>
              <w:pStyle w:val="Tabletext"/>
              <w:jc w:val="center"/>
            </w:pPr>
          </w:p>
        </w:tc>
        <w:tc>
          <w:tcPr>
            <w:tcW w:w="877" w:type="dxa"/>
            <w:shd w:val="clear" w:color="auto" w:fill="FFFFFF"/>
            <w:vAlign w:val="center"/>
          </w:tcPr>
          <w:p w14:paraId="79E372FB"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25BEFC00" w14:textId="77777777" w:rsidR="00CA0DD8" w:rsidRPr="001B7623" w:rsidRDefault="00CA0DD8" w:rsidP="00F5268E">
            <w:pPr>
              <w:pStyle w:val="Tabletext"/>
              <w:jc w:val="center"/>
            </w:pPr>
          </w:p>
        </w:tc>
        <w:tc>
          <w:tcPr>
            <w:tcW w:w="6955" w:type="dxa"/>
            <w:shd w:val="clear" w:color="auto" w:fill="FFFFFF"/>
          </w:tcPr>
          <w:p w14:paraId="2AD6465F" w14:textId="77777777" w:rsidR="00CA0DD8" w:rsidRPr="001B7623" w:rsidRDefault="00CA0DD8" w:rsidP="00475F8A">
            <w:pPr>
              <w:pStyle w:val="Tabletext"/>
            </w:pPr>
            <w:r w:rsidRPr="001B7623">
              <w:t>Evaluate and enhance these questions </w:t>
            </w:r>
          </w:p>
        </w:tc>
        <w:tc>
          <w:tcPr>
            <w:tcW w:w="877" w:type="dxa"/>
            <w:shd w:val="clear" w:color="auto" w:fill="FFFFFF"/>
            <w:vAlign w:val="center"/>
          </w:tcPr>
          <w:p w14:paraId="79567117" w14:textId="77777777" w:rsidR="00CA0DD8" w:rsidRPr="00D715D5" w:rsidRDefault="00CA0DD8" w:rsidP="00F5268E">
            <w:pPr>
              <w:pStyle w:val="Tabletext"/>
              <w:jc w:val="center"/>
            </w:pPr>
          </w:p>
        </w:tc>
        <w:tc>
          <w:tcPr>
            <w:tcW w:w="877" w:type="dxa"/>
            <w:shd w:val="clear" w:color="auto" w:fill="FFFFFF"/>
            <w:vAlign w:val="center"/>
          </w:tcPr>
          <w:p w14:paraId="043D839C"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46EE9BB6"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4AD87D1E" w14:textId="77777777" w:rsidR="00CA0DD8" w:rsidRPr="00D715D5" w:rsidRDefault="00CA0DD8" w:rsidP="00F5268E">
            <w:pPr>
              <w:pStyle w:val="Tabletext"/>
              <w:jc w:val="center"/>
            </w:pPr>
          </w:p>
        </w:tc>
      </w:tr>
      <w:tr w:rsidR="00CA0DD8" w:rsidRPr="00D715D5" w14:paraId="5358530F" w14:textId="77777777" w:rsidTr="00CE57AD">
        <w:trPr>
          <w:trHeight w:val="219"/>
        </w:trPr>
        <w:tc>
          <w:tcPr>
            <w:tcW w:w="6964" w:type="dxa"/>
            <w:shd w:val="clear" w:color="auto" w:fill="FFFFFF"/>
          </w:tcPr>
          <w:p w14:paraId="5F75B992" w14:textId="77777777" w:rsidR="00CA0DD8" w:rsidRPr="001B7623" w:rsidRDefault="00CA0DD8" w:rsidP="00475F8A">
            <w:pPr>
              <w:pStyle w:val="Tabletext"/>
              <w:rPr>
                <w:szCs w:val="19"/>
              </w:rPr>
            </w:pPr>
            <w:r w:rsidRPr="001B7623">
              <w:rPr>
                <w:szCs w:val="19"/>
              </w:rPr>
              <w:t>The significance of World War II to Australia’s international relationships in the twentieth century, with particular reference to the United Nations, Britain, the USA and Asia </w:t>
            </w:r>
          </w:p>
        </w:tc>
        <w:tc>
          <w:tcPr>
            <w:tcW w:w="877" w:type="dxa"/>
            <w:shd w:val="clear" w:color="auto" w:fill="FFFFFF"/>
            <w:vAlign w:val="center"/>
          </w:tcPr>
          <w:p w14:paraId="425D04DC"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05903834" w14:textId="77777777" w:rsidR="00CA0DD8" w:rsidRPr="001B7623" w:rsidRDefault="00CA0DD8" w:rsidP="00F5268E">
            <w:pPr>
              <w:pStyle w:val="Tabletext"/>
              <w:jc w:val="center"/>
            </w:pPr>
          </w:p>
        </w:tc>
        <w:tc>
          <w:tcPr>
            <w:tcW w:w="877" w:type="dxa"/>
            <w:shd w:val="clear" w:color="auto" w:fill="FFFFFF"/>
            <w:vAlign w:val="center"/>
          </w:tcPr>
          <w:p w14:paraId="08C8D2EC"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1B506BC6" w14:textId="77777777" w:rsidR="00CA0DD8" w:rsidRPr="001B7623" w:rsidRDefault="00CA0DD8" w:rsidP="00F5268E">
            <w:pPr>
              <w:pStyle w:val="Tabletext"/>
              <w:jc w:val="center"/>
            </w:pPr>
          </w:p>
        </w:tc>
        <w:tc>
          <w:tcPr>
            <w:tcW w:w="6955" w:type="dxa"/>
            <w:shd w:val="clear" w:color="auto" w:fill="FFFFFF"/>
          </w:tcPr>
          <w:p w14:paraId="77433BB4" w14:textId="77777777" w:rsidR="00CA0DD8" w:rsidRPr="001B7623" w:rsidRDefault="00CA0DD8" w:rsidP="00475F8A">
            <w:pPr>
              <w:pStyle w:val="Tabletext"/>
            </w:pPr>
            <w:r w:rsidRPr="001B7623">
              <w:t>Identify and locate relevant sources, using ICT and other methods</w:t>
            </w:r>
          </w:p>
        </w:tc>
        <w:tc>
          <w:tcPr>
            <w:tcW w:w="877" w:type="dxa"/>
            <w:shd w:val="clear" w:color="auto" w:fill="FFFFFF"/>
            <w:vAlign w:val="center"/>
          </w:tcPr>
          <w:p w14:paraId="6956721B" w14:textId="77777777" w:rsidR="00CA0DD8" w:rsidRPr="00D715D5" w:rsidRDefault="00CA0DD8" w:rsidP="00F5268E">
            <w:pPr>
              <w:pStyle w:val="Tabletext"/>
              <w:jc w:val="center"/>
            </w:pPr>
          </w:p>
        </w:tc>
        <w:tc>
          <w:tcPr>
            <w:tcW w:w="877" w:type="dxa"/>
            <w:shd w:val="clear" w:color="auto" w:fill="FFFFFF"/>
            <w:vAlign w:val="center"/>
          </w:tcPr>
          <w:p w14:paraId="3464709E"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0C412C14"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3B44A41A" w14:textId="77777777" w:rsidR="00CA0DD8" w:rsidRPr="00D715D5" w:rsidRDefault="00CA0DD8" w:rsidP="00F5268E">
            <w:pPr>
              <w:pStyle w:val="Tabletext"/>
              <w:jc w:val="center"/>
            </w:pPr>
          </w:p>
        </w:tc>
      </w:tr>
      <w:tr w:rsidR="00CA0DD8" w:rsidRPr="00D715D5" w14:paraId="23482FBA" w14:textId="77777777" w:rsidTr="00CE57AD">
        <w:trPr>
          <w:trHeight w:val="219"/>
        </w:trPr>
        <w:tc>
          <w:tcPr>
            <w:tcW w:w="6964" w:type="dxa"/>
            <w:shd w:val="clear" w:color="auto" w:fill="FFFFFF"/>
          </w:tcPr>
          <w:p w14:paraId="0F7382C8" w14:textId="03D55CBD" w:rsidR="00BE0C7E" w:rsidRDefault="00BE0C7E" w:rsidP="00BE0C7E">
            <w:pPr>
              <w:pStyle w:val="Tablesubhead"/>
            </w:pPr>
            <w:r>
              <w:t>Rights and freedoms (1945–the present)</w:t>
            </w:r>
          </w:p>
          <w:p w14:paraId="7E774993" w14:textId="01D625C4" w:rsidR="00CA0DD8" w:rsidRPr="001B7623" w:rsidRDefault="00CA0DD8" w:rsidP="00475F8A">
            <w:pPr>
              <w:pStyle w:val="Tabletext"/>
              <w:rPr>
                <w:szCs w:val="19"/>
              </w:rPr>
            </w:pPr>
            <w:r w:rsidRPr="001B7623">
              <w:rPr>
                <w:szCs w:val="19"/>
              </w:rPr>
              <w:t>The origins and significance of the Universal Declaration of Human Rights, including Australia’s involvement in the development of the declaration </w:t>
            </w:r>
          </w:p>
        </w:tc>
        <w:tc>
          <w:tcPr>
            <w:tcW w:w="877" w:type="dxa"/>
            <w:shd w:val="clear" w:color="auto" w:fill="FFFFFF"/>
            <w:vAlign w:val="center"/>
          </w:tcPr>
          <w:p w14:paraId="414E9885" w14:textId="77777777" w:rsidR="00CA0DD8" w:rsidRPr="001B7623" w:rsidRDefault="00CA0DD8" w:rsidP="00F5268E">
            <w:pPr>
              <w:pStyle w:val="Tabletext"/>
              <w:jc w:val="center"/>
            </w:pPr>
          </w:p>
        </w:tc>
        <w:tc>
          <w:tcPr>
            <w:tcW w:w="877" w:type="dxa"/>
            <w:shd w:val="clear" w:color="auto" w:fill="FFFFFF"/>
            <w:vAlign w:val="center"/>
          </w:tcPr>
          <w:p w14:paraId="7F3DF390"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06B5E5EF" w14:textId="77777777" w:rsidR="00CA0DD8" w:rsidRPr="001B7623" w:rsidRDefault="00CA0DD8" w:rsidP="00F5268E">
            <w:pPr>
              <w:pStyle w:val="Tabletext"/>
              <w:jc w:val="center"/>
            </w:pPr>
          </w:p>
        </w:tc>
        <w:tc>
          <w:tcPr>
            <w:tcW w:w="877" w:type="dxa"/>
            <w:shd w:val="clear" w:color="auto" w:fill="FFFFFF"/>
            <w:vAlign w:val="center"/>
          </w:tcPr>
          <w:p w14:paraId="0B42B6CD" w14:textId="77777777" w:rsidR="00CA0DD8" w:rsidRPr="001B7623" w:rsidRDefault="00CA0DD8" w:rsidP="00F5268E">
            <w:pPr>
              <w:pStyle w:val="Tabletext"/>
              <w:jc w:val="center"/>
            </w:pPr>
          </w:p>
        </w:tc>
        <w:tc>
          <w:tcPr>
            <w:tcW w:w="6955" w:type="dxa"/>
            <w:shd w:val="clear" w:color="auto" w:fill="FFFFFF"/>
          </w:tcPr>
          <w:p w14:paraId="3936C9D8" w14:textId="44EAC2B4" w:rsidR="00D65EB2" w:rsidRDefault="00D65EB2" w:rsidP="00D65EB2">
            <w:pPr>
              <w:pStyle w:val="Tablesubhead"/>
            </w:pPr>
            <w:r>
              <w:t>Analysis and use of sources</w:t>
            </w:r>
          </w:p>
          <w:p w14:paraId="196B9A10" w14:textId="43F215B0" w:rsidR="00CA0DD8" w:rsidRPr="001B7623" w:rsidRDefault="00CA0DD8" w:rsidP="00475F8A">
            <w:pPr>
              <w:pStyle w:val="Tabletext"/>
            </w:pPr>
            <w:r w:rsidRPr="001B7623">
              <w:t>Identify the origin, purpose and context of primary and secondary sources</w:t>
            </w:r>
          </w:p>
        </w:tc>
        <w:tc>
          <w:tcPr>
            <w:tcW w:w="877" w:type="dxa"/>
            <w:shd w:val="clear" w:color="auto" w:fill="FFFFFF"/>
            <w:vAlign w:val="center"/>
          </w:tcPr>
          <w:p w14:paraId="50020525"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788C3228"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356D20F1"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3695937F"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0F3C51C5" w14:textId="77777777" w:rsidTr="00CE57AD">
        <w:trPr>
          <w:trHeight w:val="219"/>
        </w:trPr>
        <w:tc>
          <w:tcPr>
            <w:tcW w:w="6964" w:type="dxa"/>
            <w:shd w:val="clear" w:color="auto" w:fill="FFFFFF"/>
          </w:tcPr>
          <w:p w14:paraId="235BBC14" w14:textId="77777777" w:rsidR="00CA0DD8" w:rsidRPr="001B7623" w:rsidRDefault="00CA0DD8" w:rsidP="00475F8A">
            <w:pPr>
              <w:pStyle w:val="Tabletext"/>
              <w:rPr>
                <w:szCs w:val="19"/>
              </w:rPr>
            </w:pPr>
            <w:r w:rsidRPr="001B7623">
              <w:rPr>
                <w:szCs w:val="19"/>
              </w:rPr>
              <w:t>Background to the struggle of Aboriginal and Torres Strait Islander Peoples for rights and freedoms before 1965, including the 1938 Day of Mourning and the Stolen Generations </w:t>
            </w:r>
          </w:p>
        </w:tc>
        <w:tc>
          <w:tcPr>
            <w:tcW w:w="877" w:type="dxa"/>
            <w:shd w:val="clear" w:color="auto" w:fill="FFFFFF"/>
            <w:vAlign w:val="center"/>
          </w:tcPr>
          <w:p w14:paraId="114B0603" w14:textId="77777777" w:rsidR="00CA0DD8" w:rsidRPr="001B7623" w:rsidRDefault="00CA0DD8" w:rsidP="00F5268E">
            <w:pPr>
              <w:pStyle w:val="Tabletext"/>
              <w:jc w:val="center"/>
            </w:pPr>
          </w:p>
        </w:tc>
        <w:tc>
          <w:tcPr>
            <w:tcW w:w="877" w:type="dxa"/>
            <w:shd w:val="clear" w:color="auto" w:fill="FFFFFF"/>
            <w:vAlign w:val="center"/>
          </w:tcPr>
          <w:p w14:paraId="06326428"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5638F572" w14:textId="77777777" w:rsidR="00CA0DD8" w:rsidRPr="001B7623" w:rsidRDefault="00CA0DD8" w:rsidP="00F5268E">
            <w:pPr>
              <w:pStyle w:val="Tabletext"/>
              <w:jc w:val="center"/>
              <w:rPr>
                <w:b/>
              </w:rPr>
            </w:pPr>
            <w:r w:rsidRPr="001B7623">
              <w:rPr>
                <w:rFonts w:cs="Arial"/>
                <w:sz w:val="20"/>
                <w:szCs w:val="20"/>
                <w:lang w:val="en-GB"/>
              </w:rPr>
              <w:sym w:font="Wingdings" w:char="F0FC"/>
            </w:r>
          </w:p>
        </w:tc>
        <w:tc>
          <w:tcPr>
            <w:tcW w:w="877" w:type="dxa"/>
            <w:shd w:val="clear" w:color="auto" w:fill="FFFFFF"/>
            <w:vAlign w:val="center"/>
          </w:tcPr>
          <w:p w14:paraId="622D08FA" w14:textId="77777777" w:rsidR="00CA0DD8" w:rsidRPr="001B7623" w:rsidRDefault="00CA0DD8" w:rsidP="00F5268E">
            <w:pPr>
              <w:pStyle w:val="Tabletext"/>
              <w:jc w:val="center"/>
            </w:pPr>
          </w:p>
        </w:tc>
        <w:tc>
          <w:tcPr>
            <w:tcW w:w="6955" w:type="dxa"/>
            <w:shd w:val="clear" w:color="auto" w:fill="FFFFFF"/>
          </w:tcPr>
          <w:p w14:paraId="74BE549B" w14:textId="77777777" w:rsidR="00CA0DD8" w:rsidRPr="001B7623" w:rsidRDefault="00CA0DD8" w:rsidP="00475F8A">
            <w:pPr>
              <w:pStyle w:val="Tabletext"/>
            </w:pPr>
            <w:r w:rsidRPr="001B7623">
              <w:t>Process and synthesise information from a range of sources for use as evidence in an historical argument</w:t>
            </w:r>
          </w:p>
        </w:tc>
        <w:tc>
          <w:tcPr>
            <w:tcW w:w="877" w:type="dxa"/>
            <w:shd w:val="clear" w:color="auto" w:fill="FFFFFF"/>
            <w:vAlign w:val="center"/>
          </w:tcPr>
          <w:p w14:paraId="44C0ACD4"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2EB317DC"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27A71A68"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50ACC632"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7BD8C20B" w14:textId="77777777" w:rsidTr="00CE57AD">
        <w:trPr>
          <w:trHeight w:val="219"/>
        </w:trPr>
        <w:tc>
          <w:tcPr>
            <w:tcW w:w="6964" w:type="dxa"/>
            <w:shd w:val="clear" w:color="auto" w:fill="FFFFFF"/>
          </w:tcPr>
          <w:p w14:paraId="1819B1BC" w14:textId="77777777" w:rsidR="00CA0DD8" w:rsidRPr="001B7623" w:rsidRDefault="00CA0DD8" w:rsidP="00475F8A">
            <w:pPr>
              <w:pStyle w:val="Tabletext"/>
              <w:rPr>
                <w:szCs w:val="19"/>
              </w:rPr>
            </w:pPr>
            <w:r w:rsidRPr="001B7623">
              <w:rPr>
                <w:szCs w:val="19"/>
              </w:rPr>
              <w:t>The US civil rights movement and its influence on Australia</w:t>
            </w:r>
          </w:p>
        </w:tc>
        <w:tc>
          <w:tcPr>
            <w:tcW w:w="877" w:type="dxa"/>
            <w:shd w:val="clear" w:color="auto" w:fill="FFFFFF"/>
            <w:vAlign w:val="center"/>
          </w:tcPr>
          <w:p w14:paraId="2CC4317F" w14:textId="77777777" w:rsidR="00CA0DD8" w:rsidRPr="001B7623" w:rsidRDefault="00CA0DD8" w:rsidP="00F5268E">
            <w:pPr>
              <w:pStyle w:val="Tabletext"/>
              <w:jc w:val="center"/>
            </w:pPr>
          </w:p>
        </w:tc>
        <w:tc>
          <w:tcPr>
            <w:tcW w:w="877" w:type="dxa"/>
            <w:shd w:val="clear" w:color="auto" w:fill="FFFFFF"/>
            <w:vAlign w:val="center"/>
          </w:tcPr>
          <w:p w14:paraId="7DAB9173"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39F7F172" w14:textId="77777777" w:rsidR="00CA0DD8" w:rsidRPr="001B7623" w:rsidRDefault="00CA0DD8" w:rsidP="00F5268E">
            <w:pPr>
              <w:pStyle w:val="Tabletext"/>
              <w:jc w:val="center"/>
            </w:pPr>
          </w:p>
        </w:tc>
        <w:tc>
          <w:tcPr>
            <w:tcW w:w="877" w:type="dxa"/>
            <w:shd w:val="clear" w:color="auto" w:fill="FFFFFF"/>
            <w:vAlign w:val="center"/>
          </w:tcPr>
          <w:p w14:paraId="77F6883D" w14:textId="77777777" w:rsidR="00CA0DD8" w:rsidRPr="001B7623" w:rsidRDefault="00CA0DD8" w:rsidP="00F5268E">
            <w:pPr>
              <w:pStyle w:val="Tabletext"/>
              <w:jc w:val="center"/>
            </w:pPr>
          </w:p>
        </w:tc>
        <w:tc>
          <w:tcPr>
            <w:tcW w:w="6955" w:type="dxa"/>
            <w:shd w:val="clear" w:color="auto" w:fill="FFFFFF"/>
          </w:tcPr>
          <w:p w14:paraId="47D58698" w14:textId="77777777" w:rsidR="00CA0DD8" w:rsidRPr="001B7623" w:rsidRDefault="00CA0DD8" w:rsidP="00475F8A">
            <w:pPr>
              <w:pStyle w:val="Tabletext"/>
            </w:pPr>
            <w:r w:rsidRPr="001B7623">
              <w:t>Evaluate the reliability and usefulness of primary and secondary sources </w:t>
            </w:r>
          </w:p>
        </w:tc>
        <w:tc>
          <w:tcPr>
            <w:tcW w:w="877" w:type="dxa"/>
            <w:shd w:val="clear" w:color="auto" w:fill="FFFFFF"/>
            <w:vAlign w:val="center"/>
          </w:tcPr>
          <w:p w14:paraId="65994790"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445B510E"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7E415595"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2B7D2A9E"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25CF5B11" w14:textId="77777777" w:rsidTr="00CE57AD">
        <w:trPr>
          <w:trHeight w:val="219"/>
        </w:trPr>
        <w:tc>
          <w:tcPr>
            <w:tcW w:w="6964" w:type="dxa"/>
            <w:shd w:val="clear" w:color="auto" w:fill="FFFFFF"/>
          </w:tcPr>
          <w:p w14:paraId="4599073F" w14:textId="77777777" w:rsidR="00CA0DD8" w:rsidRPr="001B7623" w:rsidRDefault="00CA0DD8" w:rsidP="00475F8A">
            <w:pPr>
              <w:pStyle w:val="Tabletext"/>
              <w:rPr>
                <w:szCs w:val="19"/>
              </w:rPr>
            </w:pPr>
            <w:r w:rsidRPr="001B7623">
              <w:rPr>
                <w:szCs w:val="19"/>
              </w:rPr>
              <w:t>The significance of the following for the civil rights of Aboriginal and Torres Strait Islander Peoples: 1962 right to vote federally; 1967 Referendum; Reconciliation; Mabo decision; Bringing Them Home Report (the Stolen Generations), the Apology</w:t>
            </w:r>
          </w:p>
        </w:tc>
        <w:tc>
          <w:tcPr>
            <w:tcW w:w="877" w:type="dxa"/>
            <w:shd w:val="clear" w:color="auto" w:fill="FFFFFF"/>
            <w:vAlign w:val="center"/>
          </w:tcPr>
          <w:p w14:paraId="1AB7E16B" w14:textId="77777777" w:rsidR="00CA0DD8" w:rsidRPr="001B7623" w:rsidRDefault="00CA0DD8" w:rsidP="00F5268E">
            <w:pPr>
              <w:pStyle w:val="Tabletext"/>
              <w:jc w:val="center"/>
            </w:pPr>
          </w:p>
        </w:tc>
        <w:tc>
          <w:tcPr>
            <w:tcW w:w="877" w:type="dxa"/>
            <w:shd w:val="clear" w:color="auto" w:fill="FFFFFF"/>
            <w:vAlign w:val="center"/>
          </w:tcPr>
          <w:p w14:paraId="1B4F7E12"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53A434DB"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5D8C97DD" w14:textId="77777777" w:rsidR="00CA0DD8" w:rsidRPr="001B7623" w:rsidRDefault="00CA0DD8" w:rsidP="00F5268E">
            <w:pPr>
              <w:pStyle w:val="Tabletext"/>
              <w:jc w:val="center"/>
            </w:pPr>
          </w:p>
        </w:tc>
        <w:tc>
          <w:tcPr>
            <w:tcW w:w="6955" w:type="dxa"/>
            <w:shd w:val="clear" w:color="auto" w:fill="FFFFFF"/>
          </w:tcPr>
          <w:p w14:paraId="0B1F75AF" w14:textId="77777777" w:rsidR="00D65EB2" w:rsidRDefault="00D65EB2" w:rsidP="00D65EB2">
            <w:pPr>
              <w:pStyle w:val="Tablesubhead"/>
            </w:pPr>
            <w:r>
              <w:t>Perspectives and interpretations</w:t>
            </w:r>
          </w:p>
          <w:p w14:paraId="75AADF1C" w14:textId="4277DB28" w:rsidR="00CA0DD8" w:rsidRPr="001B7623" w:rsidRDefault="00CA0DD8" w:rsidP="00475F8A">
            <w:pPr>
              <w:pStyle w:val="Tabletext"/>
            </w:pPr>
            <w:r w:rsidRPr="001B7623">
              <w:t>Identify and analyse the perspectives of people from the past </w:t>
            </w:r>
          </w:p>
        </w:tc>
        <w:tc>
          <w:tcPr>
            <w:tcW w:w="877" w:type="dxa"/>
            <w:shd w:val="clear" w:color="auto" w:fill="FFFFFF"/>
            <w:vAlign w:val="center"/>
          </w:tcPr>
          <w:p w14:paraId="373E2F9B"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67B51FA7"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2A8C3B69"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60CFFAA4"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79F1B509" w14:textId="77777777" w:rsidTr="00CE57AD">
        <w:trPr>
          <w:trHeight w:val="219"/>
        </w:trPr>
        <w:tc>
          <w:tcPr>
            <w:tcW w:w="6964" w:type="dxa"/>
            <w:shd w:val="clear" w:color="auto" w:fill="FFFFFF"/>
          </w:tcPr>
          <w:p w14:paraId="1EE56DD3" w14:textId="77777777" w:rsidR="00CA0DD8" w:rsidRPr="001B7623" w:rsidRDefault="00CA0DD8" w:rsidP="00475F8A">
            <w:pPr>
              <w:pStyle w:val="Tabletext"/>
              <w:rPr>
                <w:szCs w:val="19"/>
              </w:rPr>
            </w:pPr>
            <w:r w:rsidRPr="001B7623">
              <w:rPr>
                <w:szCs w:val="19"/>
              </w:rPr>
              <w:t>Methods used by civil rights activists to achieve change for Aboriginal and Torres Strait Islander Peoples, and the role of ONE individual or group in the struggle </w:t>
            </w:r>
          </w:p>
        </w:tc>
        <w:tc>
          <w:tcPr>
            <w:tcW w:w="877" w:type="dxa"/>
            <w:shd w:val="clear" w:color="auto" w:fill="FFFFFF"/>
            <w:vAlign w:val="center"/>
          </w:tcPr>
          <w:p w14:paraId="62B2F88A" w14:textId="77777777" w:rsidR="00CA0DD8" w:rsidRPr="001B7623" w:rsidRDefault="00CA0DD8" w:rsidP="00F5268E">
            <w:pPr>
              <w:pStyle w:val="Tabletext"/>
              <w:jc w:val="center"/>
            </w:pPr>
          </w:p>
        </w:tc>
        <w:tc>
          <w:tcPr>
            <w:tcW w:w="877" w:type="dxa"/>
            <w:shd w:val="clear" w:color="auto" w:fill="FFFFFF"/>
            <w:vAlign w:val="center"/>
          </w:tcPr>
          <w:p w14:paraId="06F5AB84"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19C19137" w14:textId="77777777" w:rsidR="00CA0DD8" w:rsidRPr="001B7623" w:rsidRDefault="00CA0DD8" w:rsidP="00F5268E">
            <w:pPr>
              <w:pStyle w:val="Tabletext"/>
              <w:jc w:val="center"/>
              <w:rPr>
                <w:b/>
              </w:rPr>
            </w:pPr>
            <w:r w:rsidRPr="001B7623">
              <w:rPr>
                <w:rFonts w:cs="Arial"/>
                <w:sz w:val="20"/>
                <w:szCs w:val="20"/>
                <w:lang w:val="en-GB"/>
              </w:rPr>
              <w:sym w:font="Wingdings" w:char="F0FC"/>
            </w:r>
          </w:p>
        </w:tc>
        <w:tc>
          <w:tcPr>
            <w:tcW w:w="877" w:type="dxa"/>
            <w:shd w:val="clear" w:color="auto" w:fill="FFFFFF"/>
            <w:vAlign w:val="center"/>
          </w:tcPr>
          <w:p w14:paraId="31ECAF8B" w14:textId="77777777" w:rsidR="00CA0DD8" w:rsidRPr="001B7623" w:rsidRDefault="00CA0DD8" w:rsidP="00F5268E">
            <w:pPr>
              <w:pStyle w:val="Tabletext"/>
              <w:jc w:val="center"/>
            </w:pPr>
          </w:p>
        </w:tc>
        <w:tc>
          <w:tcPr>
            <w:tcW w:w="6955" w:type="dxa"/>
            <w:shd w:val="clear" w:color="auto" w:fill="FFFFFF"/>
          </w:tcPr>
          <w:p w14:paraId="601722B0" w14:textId="77777777" w:rsidR="00CA0DD8" w:rsidRPr="001B7623" w:rsidRDefault="00CA0DD8" w:rsidP="00475F8A">
            <w:pPr>
              <w:pStyle w:val="Tabletext"/>
            </w:pPr>
            <w:r w:rsidRPr="001B7623">
              <w:t>Identify and analyse different historical interpretations (including their ow</w:t>
            </w:r>
            <w:r w:rsidR="002A0EAE">
              <w:t>n)</w:t>
            </w:r>
            <w:r w:rsidR="002A0EAE" w:rsidRPr="001B7623">
              <w:t xml:space="preserve"> </w:t>
            </w:r>
          </w:p>
        </w:tc>
        <w:tc>
          <w:tcPr>
            <w:tcW w:w="877" w:type="dxa"/>
            <w:shd w:val="clear" w:color="auto" w:fill="FFFFFF"/>
            <w:vAlign w:val="center"/>
          </w:tcPr>
          <w:p w14:paraId="729AA6CE"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31FE2A1E"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7EA28F58"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3D6229FD"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1623DF7F" w14:textId="77777777" w:rsidTr="00CE57AD">
        <w:trPr>
          <w:trHeight w:val="219"/>
        </w:trPr>
        <w:tc>
          <w:tcPr>
            <w:tcW w:w="6964" w:type="dxa"/>
            <w:shd w:val="clear" w:color="auto" w:fill="FFFFFF"/>
          </w:tcPr>
          <w:p w14:paraId="48BB0A36" w14:textId="77777777" w:rsidR="00CA0DD8" w:rsidRPr="001B7623" w:rsidRDefault="00CA0DD8" w:rsidP="00475F8A">
            <w:pPr>
              <w:pStyle w:val="Tabletext"/>
              <w:rPr>
                <w:szCs w:val="19"/>
              </w:rPr>
            </w:pPr>
            <w:r w:rsidRPr="001B7623">
              <w:rPr>
                <w:szCs w:val="19"/>
              </w:rPr>
              <w:t>The continuing nature of efforts to secure civil rights and freedoms in Australia and throughout the world, such as the Declaration on the Rights of Indigenous Peoples (2007) </w:t>
            </w:r>
          </w:p>
        </w:tc>
        <w:tc>
          <w:tcPr>
            <w:tcW w:w="877" w:type="dxa"/>
            <w:shd w:val="clear" w:color="auto" w:fill="FFFFFF"/>
            <w:vAlign w:val="center"/>
          </w:tcPr>
          <w:p w14:paraId="4A83A1D8" w14:textId="77777777" w:rsidR="00CA0DD8" w:rsidRPr="001B7623" w:rsidRDefault="00CA0DD8" w:rsidP="00F5268E">
            <w:pPr>
              <w:pStyle w:val="Tabletext"/>
              <w:jc w:val="center"/>
            </w:pPr>
          </w:p>
        </w:tc>
        <w:tc>
          <w:tcPr>
            <w:tcW w:w="877" w:type="dxa"/>
            <w:shd w:val="clear" w:color="auto" w:fill="FFFFFF"/>
            <w:vAlign w:val="center"/>
          </w:tcPr>
          <w:p w14:paraId="36E4A859"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7D1B1FBE" w14:textId="77777777" w:rsidR="00CA0DD8" w:rsidRPr="001B7623" w:rsidRDefault="00CA0DD8" w:rsidP="00F5268E">
            <w:pPr>
              <w:pStyle w:val="Tabletext"/>
              <w:jc w:val="center"/>
            </w:pPr>
            <w:r w:rsidRPr="001B7623">
              <w:rPr>
                <w:rFonts w:cs="Arial"/>
                <w:sz w:val="20"/>
                <w:szCs w:val="20"/>
                <w:lang w:val="en-GB"/>
              </w:rPr>
              <w:sym w:font="Wingdings" w:char="F0FC"/>
            </w:r>
          </w:p>
        </w:tc>
        <w:tc>
          <w:tcPr>
            <w:tcW w:w="877" w:type="dxa"/>
            <w:shd w:val="clear" w:color="auto" w:fill="FFFFFF"/>
            <w:vAlign w:val="center"/>
          </w:tcPr>
          <w:p w14:paraId="149DABD2" w14:textId="77777777" w:rsidR="00CA0DD8" w:rsidRPr="001B7623" w:rsidRDefault="00CA0DD8" w:rsidP="00F5268E">
            <w:pPr>
              <w:pStyle w:val="Tabletext"/>
              <w:jc w:val="center"/>
            </w:pPr>
          </w:p>
        </w:tc>
        <w:tc>
          <w:tcPr>
            <w:tcW w:w="6955" w:type="dxa"/>
            <w:shd w:val="clear" w:color="auto" w:fill="FFFFFF"/>
          </w:tcPr>
          <w:p w14:paraId="7E46061A" w14:textId="77777777" w:rsidR="00D65EB2" w:rsidRDefault="00D65EB2" w:rsidP="00D65EB2">
            <w:pPr>
              <w:pStyle w:val="Tablesubhead"/>
            </w:pPr>
            <w:r>
              <w:t>Explanation and communication</w:t>
            </w:r>
          </w:p>
          <w:p w14:paraId="7FD54B10" w14:textId="44835AFA" w:rsidR="00CA0DD8" w:rsidRPr="001B7623" w:rsidRDefault="00CA0DD8" w:rsidP="00475F8A">
            <w:pPr>
              <w:pStyle w:val="Tabletext"/>
            </w:pPr>
            <w:r w:rsidRPr="001B7623">
              <w:t>Develop texts, particularly descriptions and discussions that use evidence from a range of sources that are referenced</w:t>
            </w:r>
          </w:p>
        </w:tc>
        <w:tc>
          <w:tcPr>
            <w:tcW w:w="877" w:type="dxa"/>
            <w:shd w:val="clear" w:color="auto" w:fill="FFFFFF"/>
            <w:vAlign w:val="center"/>
          </w:tcPr>
          <w:p w14:paraId="34AD925C"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01D49C7B"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5483D1FB"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601B65F9"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49E8190D" w14:textId="77777777" w:rsidTr="00CE57AD">
        <w:trPr>
          <w:trHeight w:val="219"/>
        </w:trPr>
        <w:tc>
          <w:tcPr>
            <w:tcW w:w="6964" w:type="dxa"/>
            <w:shd w:val="clear" w:color="auto" w:fill="FFFFFF"/>
          </w:tcPr>
          <w:p w14:paraId="39D9A096" w14:textId="77777777" w:rsidR="00D65EB2" w:rsidRDefault="00D65EB2" w:rsidP="00D65EB2">
            <w:pPr>
              <w:pStyle w:val="Tablesubhead"/>
            </w:pPr>
            <w:r>
              <w:t>Popular culture (1945–present)</w:t>
            </w:r>
          </w:p>
          <w:p w14:paraId="7941BD09" w14:textId="1ADB4E63" w:rsidR="00CA0DD8" w:rsidRPr="001B7623" w:rsidRDefault="00CA0DD8" w:rsidP="00475F8A">
            <w:pPr>
              <w:pStyle w:val="Tabletext"/>
              <w:rPr>
                <w:szCs w:val="19"/>
              </w:rPr>
            </w:pPr>
            <w:r w:rsidRPr="001B7623">
              <w:rPr>
                <w:szCs w:val="19"/>
              </w:rPr>
              <w:t>The nature of popular culture in Australia at the end of World War II, including music, film and sport</w:t>
            </w:r>
          </w:p>
        </w:tc>
        <w:tc>
          <w:tcPr>
            <w:tcW w:w="877" w:type="dxa"/>
            <w:shd w:val="clear" w:color="auto" w:fill="FFFFFF"/>
            <w:vAlign w:val="center"/>
          </w:tcPr>
          <w:p w14:paraId="69FE016C" w14:textId="77777777" w:rsidR="00CA0DD8" w:rsidRPr="001B7623" w:rsidRDefault="00CA0DD8" w:rsidP="00F5268E">
            <w:pPr>
              <w:pStyle w:val="Tabletext"/>
              <w:jc w:val="center"/>
            </w:pPr>
          </w:p>
        </w:tc>
        <w:tc>
          <w:tcPr>
            <w:tcW w:w="877" w:type="dxa"/>
            <w:shd w:val="clear" w:color="auto" w:fill="FFFFFF"/>
            <w:vAlign w:val="center"/>
          </w:tcPr>
          <w:p w14:paraId="50896F84" w14:textId="77777777" w:rsidR="00CA0DD8" w:rsidRPr="001B7623" w:rsidRDefault="00CA0DD8" w:rsidP="00F5268E">
            <w:pPr>
              <w:pStyle w:val="Tabletext"/>
              <w:jc w:val="center"/>
            </w:pPr>
          </w:p>
        </w:tc>
        <w:tc>
          <w:tcPr>
            <w:tcW w:w="877" w:type="dxa"/>
            <w:shd w:val="clear" w:color="auto" w:fill="FFFFFF"/>
            <w:vAlign w:val="center"/>
          </w:tcPr>
          <w:p w14:paraId="4387E847" w14:textId="77777777" w:rsidR="00CA0DD8" w:rsidRPr="001B7623" w:rsidRDefault="00CA0DD8" w:rsidP="00F5268E">
            <w:pPr>
              <w:pStyle w:val="Tabletext"/>
              <w:jc w:val="center"/>
            </w:pPr>
          </w:p>
        </w:tc>
        <w:tc>
          <w:tcPr>
            <w:tcW w:w="877" w:type="dxa"/>
            <w:shd w:val="clear" w:color="auto" w:fill="FFFFFF"/>
            <w:vAlign w:val="center"/>
          </w:tcPr>
          <w:p w14:paraId="4FE6D704" w14:textId="77777777" w:rsidR="00CA0DD8" w:rsidRPr="001B7623" w:rsidRDefault="00CA0DD8" w:rsidP="00F5268E">
            <w:pPr>
              <w:pStyle w:val="Tabletext"/>
              <w:jc w:val="center"/>
            </w:pPr>
            <w:r w:rsidRPr="001B7623">
              <w:rPr>
                <w:rFonts w:cs="Arial"/>
                <w:sz w:val="20"/>
                <w:szCs w:val="20"/>
                <w:lang w:val="en-GB"/>
              </w:rPr>
              <w:sym w:font="Wingdings" w:char="F0FC"/>
            </w:r>
          </w:p>
        </w:tc>
        <w:tc>
          <w:tcPr>
            <w:tcW w:w="6955" w:type="dxa"/>
            <w:shd w:val="clear" w:color="auto" w:fill="FFFFFF"/>
          </w:tcPr>
          <w:p w14:paraId="65D38B85" w14:textId="77777777" w:rsidR="00CA0DD8" w:rsidRPr="001B7623" w:rsidRDefault="00CA0DD8" w:rsidP="00475F8A">
            <w:pPr>
              <w:pStyle w:val="Tabletext"/>
            </w:pPr>
            <w:r w:rsidRPr="001B7623">
              <w:t>Select and use a range of communication forms (oral, graphic, written) and digital technologies </w:t>
            </w:r>
          </w:p>
        </w:tc>
        <w:tc>
          <w:tcPr>
            <w:tcW w:w="877" w:type="dxa"/>
            <w:shd w:val="clear" w:color="auto" w:fill="FFFFFF"/>
            <w:vAlign w:val="center"/>
          </w:tcPr>
          <w:p w14:paraId="7F9C49B3"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29C456CF" w14:textId="77777777" w:rsidR="00CA0DD8" w:rsidRPr="00D715D5" w:rsidRDefault="00CA0DD8" w:rsidP="00F5268E">
            <w:pPr>
              <w:pStyle w:val="Tabletext"/>
              <w:jc w:val="center"/>
            </w:pPr>
            <w:r w:rsidRPr="003878A6">
              <w:rPr>
                <w:rFonts w:cs="Arial"/>
                <w:sz w:val="20"/>
                <w:szCs w:val="20"/>
                <w:lang w:val="en-GB"/>
              </w:rPr>
              <w:sym w:font="Wingdings" w:char="F0FC"/>
            </w:r>
          </w:p>
        </w:tc>
        <w:tc>
          <w:tcPr>
            <w:tcW w:w="877" w:type="dxa"/>
            <w:shd w:val="clear" w:color="auto" w:fill="FFFFFF"/>
            <w:vAlign w:val="center"/>
          </w:tcPr>
          <w:p w14:paraId="6C43038F" w14:textId="77777777" w:rsidR="00CA0DD8" w:rsidRPr="00D715D5" w:rsidRDefault="00CA0DD8" w:rsidP="00F5268E">
            <w:pPr>
              <w:pStyle w:val="Tabletext"/>
              <w:jc w:val="center"/>
            </w:pPr>
            <w:r w:rsidRPr="003878A6">
              <w:rPr>
                <w:rFonts w:cs="Arial"/>
                <w:sz w:val="20"/>
                <w:szCs w:val="20"/>
                <w:lang w:val="en-GB"/>
              </w:rPr>
              <w:sym w:font="Wingdings" w:char="F0FC"/>
            </w:r>
          </w:p>
        </w:tc>
        <w:tc>
          <w:tcPr>
            <w:tcW w:w="887" w:type="dxa"/>
            <w:shd w:val="clear" w:color="auto" w:fill="FFFFFF"/>
            <w:vAlign w:val="center"/>
          </w:tcPr>
          <w:p w14:paraId="61EC8646" w14:textId="77777777" w:rsidR="00CA0DD8" w:rsidRPr="00D715D5" w:rsidRDefault="00CA0DD8" w:rsidP="00F5268E">
            <w:pPr>
              <w:pStyle w:val="Tabletext"/>
              <w:jc w:val="center"/>
            </w:pPr>
            <w:r w:rsidRPr="003878A6">
              <w:rPr>
                <w:rFonts w:cs="Arial"/>
                <w:sz w:val="20"/>
                <w:szCs w:val="20"/>
                <w:lang w:val="en-GB"/>
              </w:rPr>
              <w:sym w:font="Wingdings" w:char="F0FC"/>
            </w:r>
          </w:p>
        </w:tc>
      </w:tr>
      <w:tr w:rsidR="00CA0DD8" w:rsidRPr="00D715D5" w14:paraId="592EF865" w14:textId="77777777" w:rsidTr="00CE57AD">
        <w:trPr>
          <w:trHeight w:val="219"/>
        </w:trPr>
        <w:tc>
          <w:tcPr>
            <w:tcW w:w="6964" w:type="dxa"/>
            <w:shd w:val="clear" w:color="auto" w:fill="FFFFFF"/>
          </w:tcPr>
          <w:p w14:paraId="6815D798" w14:textId="63D3FE3D" w:rsidR="00CA0DD8" w:rsidRPr="001B7623" w:rsidRDefault="00CA0DD8" w:rsidP="00CA0DD8">
            <w:pPr>
              <w:pStyle w:val="BodyText"/>
              <w:rPr>
                <w:sz w:val="19"/>
                <w:szCs w:val="19"/>
              </w:rPr>
            </w:pPr>
            <w:r w:rsidRPr="001B7623">
              <w:rPr>
                <w:sz w:val="19"/>
                <w:szCs w:val="19"/>
              </w:rPr>
              <w:t>Developments in popular culture in post-war Australia and their impact on society, including the introduction of television and rock ’n’ roll</w:t>
            </w:r>
          </w:p>
        </w:tc>
        <w:tc>
          <w:tcPr>
            <w:tcW w:w="877" w:type="dxa"/>
            <w:shd w:val="clear" w:color="auto" w:fill="FFFFFF"/>
            <w:vAlign w:val="center"/>
          </w:tcPr>
          <w:p w14:paraId="28FCD430" w14:textId="77777777" w:rsidR="00CA0DD8" w:rsidRPr="001B7623" w:rsidRDefault="00CA0DD8" w:rsidP="00F5268E">
            <w:pPr>
              <w:pStyle w:val="Tabletext"/>
              <w:jc w:val="center"/>
            </w:pPr>
          </w:p>
        </w:tc>
        <w:tc>
          <w:tcPr>
            <w:tcW w:w="877" w:type="dxa"/>
            <w:shd w:val="clear" w:color="auto" w:fill="FFFFFF"/>
            <w:vAlign w:val="center"/>
          </w:tcPr>
          <w:p w14:paraId="0664F37B" w14:textId="77777777" w:rsidR="00CA0DD8" w:rsidRPr="001B7623" w:rsidRDefault="00CA0DD8" w:rsidP="00F5268E">
            <w:pPr>
              <w:pStyle w:val="Tabletext"/>
              <w:jc w:val="center"/>
            </w:pPr>
          </w:p>
        </w:tc>
        <w:tc>
          <w:tcPr>
            <w:tcW w:w="877" w:type="dxa"/>
            <w:shd w:val="clear" w:color="auto" w:fill="FFFFFF"/>
            <w:vAlign w:val="center"/>
          </w:tcPr>
          <w:p w14:paraId="69DD7871" w14:textId="77777777" w:rsidR="00CA0DD8" w:rsidRPr="001B7623" w:rsidRDefault="00CA0DD8" w:rsidP="00F5268E">
            <w:pPr>
              <w:pStyle w:val="Tabletext"/>
              <w:jc w:val="center"/>
            </w:pPr>
          </w:p>
        </w:tc>
        <w:tc>
          <w:tcPr>
            <w:tcW w:w="877" w:type="dxa"/>
            <w:shd w:val="clear" w:color="auto" w:fill="FFFFFF"/>
            <w:vAlign w:val="center"/>
          </w:tcPr>
          <w:p w14:paraId="7062812E" w14:textId="77777777" w:rsidR="00CA0DD8" w:rsidRPr="001B7623" w:rsidRDefault="00CA0DD8" w:rsidP="00F5268E">
            <w:pPr>
              <w:pStyle w:val="Tabletext"/>
              <w:jc w:val="center"/>
              <w:rPr>
                <w:b/>
              </w:rPr>
            </w:pPr>
            <w:r w:rsidRPr="001B7623">
              <w:rPr>
                <w:rFonts w:cs="Arial"/>
                <w:sz w:val="20"/>
                <w:szCs w:val="20"/>
                <w:lang w:val="en-GB"/>
              </w:rPr>
              <w:sym w:font="Wingdings" w:char="F0FC"/>
            </w:r>
          </w:p>
        </w:tc>
        <w:tc>
          <w:tcPr>
            <w:tcW w:w="6955" w:type="dxa"/>
            <w:shd w:val="clear" w:color="auto" w:fill="FFFFFF"/>
          </w:tcPr>
          <w:p w14:paraId="0E02C4C4" w14:textId="77777777" w:rsidR="00CA0DD8" w:rsidRPr="001B7623" w:rsidRDefault="00CA0DD8" w:rsidP="00475F8A">
            <w:pPr>
              <w:pStyle w:val="Tabletext"/>
            </w:pPr>
          </w:p>
        </w:tc>
        <w:tc>
          <w:tcPr>
            <w:tcW w:w="877" w:type="dxa"/>
            <w:shd w:val="clear" w:color="auto" w:fill="FFFFFF"/>
          </w:tcPr>
          <w:p w14:paraId="1B433AD8" w14:textId="77777777" w:rsidR="00CA0DD8" w:rsidRPr="00D715D5" w:rsidRDefault="00CA0DD8" w:rsidP="00CA0DD8">
            <w:pPr>
              <w:pStyle w:val="Tabletext"/>
            </w:pPr>
          </w:p>
        </w:tc>
        <w:tc>
          <w:tcPr>
            <w:tcW w:w="877" w:type="dxa"/>
            <w:shd w:val="clear" w:color="auto" w:fill="FFFFFF"/>
          </w:tcPr>
          <w:p w14:paraId="7D352750" w14:textId="77777777" w:rsidR="00CA0DD8" w:rsidRPr="00D715D5" w:rsidRDefault="00CA0DD8" w:rsidP="00CA0DD8">
            <w:pPr>
              <w:pStyle w:val="Tabletext"/>
            </w:pPr>
          </w:p>
        </w:tc>
        <w:tc>
          <w:tcPr>
            <w:tcW w:w="877" w:type="dxa"/>
            <w:shd w:val="clear" w:color="auto" w:fill="FFFFFF"/>
          </w:tcPr>
          <w:p w14:paraId="7B3226C3" w14:textId="77777777" w:rsidR="00CA0DD8" w:rsidRPr="00D715D5" w:rsidRDefault="00CA0DD8" w:rsidP="00CA0DD8">
            <w:pPr>
              <w:pStyle w:val="Tabletext"/>
            </w:pPr>
          </w:p>
        </w:tc>
        <w:tc>
          <w:tcPr>
            <w:tcW w:w="887" w:type="dxa"/>
            <w:shd w:val="clear" w:color="auto" w:fill="FFFFFF"/>
          </w:tcPr>
          <w:p w14:paraId="4E060D09" w14:textId="77777777" w:rsidR="00CA0DD8" w:rsidRPr="00D715D5" w:rsidRDefault="00CA0DD8" w:rsidP="00CA0DD8">
            <w:pPr>
              <w:pStyle w:val="Tabletext"/>
            </w:pPr>
          </w:p>
        </w:tc>
      </w:tr>
      <w:tr w:rsidR="00CA0DD8" w:rsidRPr="00D715D5" w14:paraId="59D02519" w14:textId="77777777" w:rsidTr="00CE57AD">
        <w:trPr>
          <w:trHeight w:val="219"/>
        </w:trPr>
        <w:tc>
          <w:tcPr>
            <w:tcW w:w="6964" w:type="dxa"/>
            <w:shd w:val="clear" w:color="auto" w:fill="FFFFFF"/>
          </w:tcPr>
          <w:p w14:paraId="79FC2AA2" w14:textId="77777777" w:rsidR="00CA0DD8" w:rsidRPr="001B7623" w:rsidRDefault="00CA0DD8" w:rsidP="00CA0DD8">
            <w:pPr>
              <w:pStyle w:val="BodyText"/>
              <w:rPr>
                <w:sz w:val="19"/>
                <w:szCs w:val="19"/>
              </w:rPr>
            </w:pPr>
            <w:r w:rsidRPr="001B7623">
              <w:rPr>
                <w:sz w:val="19"/>
                <w:szCs w:val="19"/>
              </w:rPr>
              <w:t>Changing nature of the music, film and television industry in Australia during the post-war period, including the influence of overseas developments (such as Hollywood, Bollywood and the animation film industry in China and Japan)</w:t>
            </w:r>
          </w:p>
        </w:tc>
        <w:tc>
          <w:tcPr>
            <w:tcW w:w="877" w:type="dxa"/>
            <w:shd w:val="clear" w:color="auto" w:fill="FFFFFF"/>
            <w:vAlign w:val="center"/>
          </w:tcPr>
          <w:p w14:paraId="59FC70ED" w14:textId="77777777" w:rsidR="00CA0DD8" w:rsidRPr="001B7623" w:rsidRDefault="00CA0DD8" w:rsidP="00F5268E">
            <w:pPr>
              <w:pStyle w:val="Tabletext"/>
              <w:jc w:val="center"/>
            </w:pPr>
          </w:p>
        </w:tc>
        <w:tc>
          <w:tcPr>
            <w:tcW w:w="877" w:type="dxa"/>
            <w:shd w:val="clear" w:color="auto" w:fill="FFFFFF"/>
            <w:vAlign w:val="center"/>
          </w:tcPr>
          <w:p w14:paraId="4485197A" w14:textId="77777777" w:rsidR="00CA0DD8" w:rsidRPr="001B7623" w:rsidRDefault="00CA0DD8" w:rsidP="00F5268E">
            <w:pPr>
              <w:pStyle w:val="Tabletext"/>
              <w:jc w:val="center"/>
            </w:pPr>
          </w:p>
        </w:tc>
        <w:tc>
          <w:tcPr>
            <w:tcW w:w="877" w:type="dxa"/>
            <w:shd w:val="clear" w:color="auto" w:fill="FFFFFF"/>
            <w:vAlign w:val="center"/>
          </w:tcPr>
          <w:p w14:paraId="412F2DF2" w14:textId="77777777" w:rsidR="00CA0DD8" w:rsidRPr="001B7623" w:rsidRDefault="00CA0DD8" w:rsidP="00F5268E">
            <w:pPr>
              <w:pStyle w:val="Tabletext"/>
              <w:jc w:val="center"/>
            </w:pPr>
          </w:p>
        </w:tc>
        <w:tc>
          <w:tcPr>
            <w:tcW w:w="877" w:type="dxa"/>
            <w:shd w:val="clear" w:color="auto" w:fill="FFFFFF"/>
            <w:vAlign w:val="center"/>
          </w:tcPr>
          <w:p w14:paraId="4A026179" w14:textId="77777777" w:rsidR="00CA0DD8" w:rsidRPr="001B7623" w:rsidRDefault="00CA0DD8" w:rsidP="00F5268E">
            <w:pPr>
              <w:pStyle w:val="Tabletext"/>
              <w:jc w:val="center"/>
            </w:pPr>
            <w:r w:rsidRPr="001B7623">
              <w:rPr>
                <w:rFonts w:cs="Arial"/>
                <w:sz w:val="20"/>
                <w:szCs w:val="20"/>
                <w:lang w:val="en-GB"/>
              </w:rPr>
              <w:sym w:font="Wingdings" w:char="F0FC"/>
            </w:r>
          </w:p>
        </w:tc>
        <w:tc>
          <w:tcPr>
            <w:tcW w:w="6955" w:type="dxa"/>
            <w:shd w:val="clear" w:color="auto" w:fill="FFFFFF"/>
          </w:tcPr>
          <w:p w14:paraId="58624083" w14:textId="77777777" w:rsidR="00CA0DD8" w:rsidRPr="001B7623" w:rsidRDefault="00CA0DD8" w:rsidP="00CA0DD8">
            <w:pPr>
              <w:pStyle w:val="Tabletext"/>
            </w:pPr>
          </w:p>
        </w:tc>
        <w:tc>
          <w:tcPr>
            <w:tcW w:w="877" w:type="dxa"/>
            <w:shd w:val="clear" w:color="auto" w:fill="FFFFFF"/>
          </w:tcPr>
          <w:p w14:paraId="4C51CE76" w14:textId="77777777" w:rsidR="00CA0DD8" w:rsidRPr="00D715D5" w:rsidRDefault="00CA0DD8" w:rsidP="00CA0DD8">
            <w:pPr>
              <w:pStyle w:val="Tabletext"/>
            </w:pPr>
          </w:p>
        </w:tc>
        <w:tc>
          <w:tcPr>
            <w:tcW w:w="877" w:type="dxa"/>
            <w:shd w:val="clear" w:color="auto" w:fill="FFFFFF"/>
          </w:tcPr>
          <w:p w14:paraId="796A5BC8" w14:textId="77777777" w:rsidR="00CA0DD8" w:rsidRPr="00D715D5" w:rsidRDefault="00CA0DD8" w:rsidP="00CA0DD8">
            <w:pPr>
              <w:pStyle w:val="Tabletext"/>
            </w:pPr>
          </w:p>
        </w:tc>
        <w:tc>
          <w:tcPr>
            <w:tcW w:w="877" w:type="dxa"/>
            <w:shd w:val="clear" w:color="auto" w:fill="FFFFFF"/>
          </w:tcPr>
          <w:p w14:paraId="004FFC79" w14:textId="77777777" w:rsidR="00CA0DD8" w:rsidRPr="00D715D5" w:rsidRDefault="00CA0DD8" w:rsidP="00CA0DD8">
            <w:pPr>
              <w:pStyle w:val="Tabletext"/>
            </w:pPr>
          </w:p>
        </w:tc>
        <w:tc>
          <w:tcPr>
            <w:tcW w:w="887" w:type="dxa"/>
            <w:shd w:val="clear" w:color="auto" w:fill="FFFFFF"/>
          </w:tcPr>
          <w:p w14:paraId="17956854" w14:textId="77777777" w:rsidR="00CA0DD8" w:rsidRPr="00D715D5" w:rsidRDefault="00CA0DD8" w:rsidP="00CA0DD8">
            <w:pPr>
              <w:pStyle w:val="Tabletext"/>
            </w:pPr>
          </w:p>
        </w:tc>
      </w:tr>
      <w:tr w:rsidR="00CA0DD8" w:rsidRPr="00D715D5" w14:paraId="2E60DC88" w14:textId="77777777" w:rsidTr="00CE57AD">
        <w:trPr>
          <w:trHeight w:val="219"/>
        </w:trPr>
        <w:tc>
          <w:tcPr>
            <w:tcW w:w="6964" w:type="dxa"/>
            <w:shd w:val="clear" w:color="auto" w:fill="FFFFFF"/>
          </w:tcPr>
          <w:p w14:paraId="212C1C56" w14:textId="77777777" w:rsidR="00CA0DD8" w:rsidRPr="001B7623" w:rsidRDefault="00CA0DD8" w:rsidP="00CA0DD8">
            <w:pPr>
              <w:pStyle w:val="BodyText"/>
            </w:pPr>
            <w:r w:rsidRPr="004C3793">
              <w:rPr>
                <w:sz w:val="19"/>
                <w:szCs w:val="19"/>
              </w:rPr>
              <w:lastRenderedPageBreak/>
              <w:t>Australia’s contribution to international popular culture (music, film, television, sport)</w:t>
            </w:r>
          </w:p>
        </w:tc>
        <w:tc>
          <w:tcPr>
            <w:tcW w:w="877" w:type="dxa"/>
            <w:shd w:val="clear" w:color="auto" w:fill="FFFFFF"/>
            <w:vAlign w:val="center"/>
          </w:tcPr>
          <w:p w14:paraId="3447DCA5" w14:textId="77777777" w:rsidR="00CA0DD8" w:rsidRPr="001B7623" w:rsidRDefault="00CA0DD8" w:rsidP="00F5268E">
            <w:pPr>
              <w:pStyle w:val="Tabletext"/>
              <w:jc w:val="center"/>
            </w:pPr>
          </w:p>
        </w:tc>
        <w:tc>
          <w:tcPr>
            <w:tcW w:w="877" w:type="dxa"/>
            <w:shd w:val="clear" w:color="auto" w:fill="FFFFFF"/>
            <w:vAlign w:val="center"/>
          </w:tcPr>
          <w:p w14:paraId="43E871C5" w14:textId="77777777" w:rsidR="00CA0DD8" w:rsidRPr="001B7623" w:rsidRDefault="00CA0DD8" w:rsidP="00F5268E">
            <w:pPr>
              <w:pStyle w:val="Tabletext"/>
              <w:jc w:val="center"/>
            </w:pPr>
          </w:p>
        </w:tc>
        <w:tc>
          <w:tcPr>
            <w:tcW w:w="877" w:type="dxa"/>
            <w:shd w:val="clear" w:color="auto" w:fill="FFFFFF"/>
            <w:vAlign w:val="center"/>
          </w:tcPr>
          <w:p w14:paraId="47616583" w14:textId="77777777" w:rsidR="00CA0DD8" w:rsidRPr="001B7623" w:rsidRDefault="00CA0DD8" w:rsidP="00F5268E">
            <w:pPr>
              <w:pStyle w:val="Tabletext"/>
              <w:jc w:val="center"/>
            </w:pPr>
          </w:p>
        </w:tc>
        <w:tc>
          <w:tcPr>
            <w:tcW w:w="877" w:type="dxa"/>
            <w:shd w:val="clear" w:color="auto" w:fill="FFFFFF"/>
            <w:vAlign w:val="center"/>
          </w:tcPr>
          <w:p w14:paraId="7E802F59" w14:textId="77777777" w:rsidR="00CA0DD8" w:rsidRPr="001B7623" w:rsidRDefault="00CA0DD8" w:rsidP="00F5268E">
            <w:pPr>
              <w:pStyle w:val="Tabletext"/>
              <w:jc w:val="center"/>
              <w:rPr>
                <w:rFonts w:cs="Arial"/>
                <w:sz w:val="20"/>
                <w:szCs w:val="20"/>
                <w:lang w:val="en-GB"/>
              </w:rPr>
            </w:pPr>
            <w:r w:rsidRPr="001B7623">
              <w:rPr>
                <w:rFonts w:cs="Arial"/>
                <w:sz w:val="20"/>
                <w:szCs w:val="20"/>
                <w:lang w:val="en-GB"/>
              </w:rPr>
              <w:sym w:font="Wingdings" w:char="F0FC"/>
            </w:r>
          </w:p>
        </w:tc>
        <w:tc>
          <w:tcPr>
            <w:tcW w:w="6955" w:type="dxa"/>
            <w:shd w:val="clear" w:color="auto" w:fill="FFFFFF"/>
          </w:tcPr>
          <w:p w14:paraId="16A56498" w14:textId="77777777" w:rsidR="00CA0DD8" w:rsidRPr="001B7623" w:rsidRDefault="00CA0DD8" w:rsidP="00CA0DD8">
            <w:pPr>
              <w:pStyle w:val="Tabletext"/>
            </w:pPr>
          </w:p>
        </w:tc>
        <w:tc>
          <w:tcPr>
            <w:tcW w:w="877" w:type="dxa"/>
            <w:shd w:val="clear" w:color="auto" w:fill="FFFFFF"/>
          </w:tcPr>
          <w:p w14:paraId="6210C70D" w14:textId="77777777" w:rsidR="00CA0DD8" w:rsidRPr="00D715D5" w:rsidRDefault="00CA0DD8" w:rsidP="00CA0DD8">
            <w:pPr>
              <w:pStyle w:val="Tabletext"/>
            </w:pPr>
          </w:p>
        </w:tc>
        <w:tc>
          <w:tcPr>
            <w:tcW w:w="877" w:type="dxa"/>
            <w:shd w:val="clear" w:color="auto" w:fill="FFFFFF"/>
          </w:tcPr>
          <w:p w14:paraId="38B12187" w14:textId="77777777" w:rsidR="00CA0DD8" w:rsidRPr="00D715D5" w:rsidRDefault="00CA0DD8" w:rsidP="00CA0DD8">
            <w:pPr>
              <w:pStyle w:val="Tabletext"/>
            </w:pPr>
          </w:p>
        </w:tc>
        <w:tc>
          <w:tcPr>
            <w:tcW w:w="877" w:type="dxa"/>
            <w:shd w:val="clear" w:color="auto" w:fill="FFFFFF"/>
          </w:tcPr>
          <w:p w14:paraId="7E600FC8" w14:textId="77777777" w:rsidR="00CA0DD8" w:rsidRPr="00D715D5" w:rsidRDefault="00CA0DD8" w:rsidP="00CA0DD8">
            <w:pPr>
              <w:pStyle w:val="Tabletext"/>
            </w:pPr>
          </w:p>
        </w:tc>
        <w:tc>
          <w:tcPr>
            <w:tcW w:w="887" w:type="dxa"/>
            <w:shd w:val="clear" w:color="auto" w:fill="FFFFFF"/>
          </w:tcPr>
          <w:p w14:paraId="464A6065" w14:textId="77777777" w:rsidR="00CA0DD8" w:rsidRPr="00D715D5" w:rsidRDefault="00CA0DD8" w:rsidP="00CA0DD8">
            <w:pPr>
              <w:pStyle w:val="Tabletext"/>
            </w:pPr>
          </w:p>
        </w:tc>
      </w:tr>
      <w:tr w:rsidR="00CA0DD8" w:rsidRPr="00D715D5" w14:paraId="5CA60AD2" w14:textId="77777777" w:rsidTr="00CE57AD">
        <w:trPr>
          <w:trHeight w:val="219"/>
        </w:trPr>
        <w:tc>
          <w:tcPr>
            <w:tcW w:w="6964" w:type="dxa"/>
            <w:shd w:val="clear" w:color="auto" w:fill="FFFFFF"/>
          </w:tcPr>
          <w:p w14:paraId="54F91F14" w14:textId="77777777" w:rsidR="00CA0DD8" w:rsidRPr="001B7623" w:rsidRDefault="00CA0DD8" w:rsidP="00475F8A">
            <w:pPr>
              <w:pStyle w:val="Tabletext"/>
            </w:pPr>
            <w:r w:rsidRPr="001B7623">
              <w:t>Continuity and change in beliefs and values that have influenced the Australian way of life</w:t>
            </w:r>
          </w:p>
        </w:tc>
        <w:tc>
          <w:tcPr>
            <w:tcW w:w="877" w:type="dxa"/>
            <w:shd w:val="clear" w:color="auto" w:fill="FFFFFF"/>
            <w:vAlign w:val="center"/>
          </w:tcPr>
          <w:p w14:paraId="742A1BA7" w14:textId="77777777" w:rsidR="00CA0DD8" w:rsidRPr="001B7623" w:rsidRDefault="00CA0DD8" w:rsidP="00475F8A">
            <w:pPr>
              <w:pStyle w:val="Tabletext"/>
            </w:pPr>
          </w:p>
        </w:tc>
        <w:tc>
          <w:tcPr>
            <w:tcW w:w="877" w:type="dxa"/>
            <w:shd w:val="clear" w:color="auto" w:fill="FFFFFF"/>
            <w:vAlign w:val="center"/>
          </w:tcPr>
          <w:p w14:paraId="0E73CA42" w14:textId="77777777" w:rsidR="00CA0DD8" w:rsidRPr="001B7623" w:rsidRDefault="00CA0DD8" w:rsidP="00475F8A">
            <w:pPr>
              <w:pStyle w:val="Tabletext"/>
            </w:pPr>
          </w:p>
        </w:tc>
        <w:tc>
          <w:tcPr>
            <w:tcW w:w="877" w:type="dxa"/>
            <w:shd w:val="clear" w:color="auto" w:fill="FFFFFF"/>
            <w:vAlign w:val="center"/>
          </w:tcPr>
          <w:p w14:paraId="0B2311BC" w14:textId="77777777" w:rsidR="00CA0DD8" w:rsidRPr="001B7623" w:rsidRDefault="00CA0DD8" w:rsidP="00475F8A">
            <w:pPr>
              <w:pStyle w:val="Tabletext"/>
            </w:pPr>
          </w:p>
        </w:tc>
        <w:tc>
          <w:tcPr>
            <w:tcW w:w="877" w:type="dxa"/>
            <w:shd w:val="clear" w:color="auto" w:fill="FFFFFF"/>
            <w:vAlign w:val="center"/>
          </w:tcPr>
          <w:p w14:paraId="5B6BFEE9" w14:textId="77777777" w:rsidR="00CA0DD8" w:rsidRPr="001B7623" w:rsidRDefault="00CA0DD8" w:rsidP="00475F8A">
            <w:pPr>
              <w:pStyle w:val="Tabletext"/>
              <w:rPr>
                <w:rFonts w:cs="Arial"/>
                <w:sz w:val="20"/>
                <w:szCs w:val="20"/>
                <w:lang w:val="en-GB"/>
              </w:rPr>
            </w:pPr>
            <w:r w:rsidRPr="001B7623">
              <w:rPr>
                <w:rFonts w:cs="Arial"/>
                <w:sz w:val="20"/>
                <w:szCs w:val="20"/>
                <w:lang w:val="en-GB"/>
              </w:rPr>
              <w:sym w:font="Wingdings" w:char="F0FC"/>
            </w:r>
          </w:p>
        </w:tc>
        <w:tc>
          <w:tcPr>
            <w:tcW w:w="6955" w:type="dxa"/>
            <w:shd w:val="clear" w:color="auto" w:fill="FFFFFF"/>
          </w:tcPr>
          <w:p w14:paraId="591F1187" w14:textId="77777777" w:rsidR="00CA0DD8" w:rsidRPr="001B7623" w:rsidRDefault="00CA0DD8" w:rsidP="00475F8A">
            <w:pPr>
              <w:pStyle w:val="Tabletext"/>
            </w:pPr>
          </w:p>
        </w:tc>
        <w:tc>
          <w:tcPr>
            <w:tcW w:w="877" w:type="dxa"/>
            <w:shd w:val="clear" w:color="auto" w:fill="FFFFFF"/>
          </w:tcPr>
          <w:p w14:paraId="17F03C91" w14:textId="77777777" w:rsidR="00CA0DD8" w:rsidRPr="00D715D5" w:rsidRDefault="00CA0DD8" w:rsidP="00475F8A">
            <w:pPr>
              <w:pStyle w:val="Tabletext"/>
            </w:pPr>
          </w:p>
        </w:tc>
        <w:tc>
          <w:tcPr>
            <w:tcW w:w="877" w:type="dxa"/>
            <w:shd w:val="clear" w:color="auto" w:fill="FFFFFF"/>
          </w:tcPr>
          <w:p w14:paraId="765035F4" w14:textId="77777777" w:rsidR="00CA0DD8" w:rsidRPr="00D715D5" w:rsidRDefault="00CA0DD8" w:rsidP="00475F8A">
            <w:pPr>
              <w:pStyle w:val="Tabletext"/>
            </w:pPr>
          </w:p>
        </w:tc>
        <w:tc>
          <w:tcPr>
            <w:tcW w:w="877" w:type="dxa"/>
            <w:shd w:val="clear" w:color="auto" w:fill="FFFFFF"/>
          </w:tcPr>
          <w:p w14:paraId="7E32C314" w14:textId="77777777" w:rsidR="00CA0DD8" w:rsidRPr="00D715D5" w:rsidRDefault="00CA0DD8" w:rsidP="00475F8A">
            <w:pPr>
              <w:pStyle w:val="Tabletext"/>
            </w:pPr>
          </w:p>
        </w:tc>
        <w:tc>
          <w:tcPr>
            <w:tcW w:w="887" w:type="dxa"/>
            <w:shd w:val="clear" w:color="auto" w:fill="FFFFFF"/>
          </w:tcPr>
          <w:p w14:paraId="7C72D6C4" w14:textId="77777777" w:rsidR="00CA0DD8" w:rsidRPr="00D715D5" w:rsidRDefault="00CA0DD8" w:rsidP="00475F8A">
            <w:pPr>
              <w:pStyle w:val="Tabletext"/>
            </w:pPr>
          </w:p>
        </w:tc>
      </w:tr>
    </w:tbl>
    <w:p w14:paraId="68FA1099" w14:textId="77777777" w:rsidR="006904F7" w:rsidRPr="00D715D5" w:rsidRDefault="006904F7" w:rsidP="006904F7"/>
    <w:p w14:paraId="5C5BB684" w14:textId="77777777" w:rsidR="006904F7" w:rsidRPr="005D1835" w:rsidRDefault="006904F7" w:rsidP="006904F7"/>
    <w:tbl>
      <w:tblPr>
        <w:tblStyle w:val="QCAAtablestyle1"/>
        <w:tblW w:w="5000" w:type="pct"/>
        <w:tblLook w:val="0620" w:firstRow="1" w:lastRow="0" w:firstColumn="0" w:lastColumn="0" w:noHBand="1" w:noVBand="1"/>
      </w:tblPr>
      <w:tblGrid>
        <w:gridCol w:w="5836"/>
        <w:gridCol w:w="1149"/>
        <w:gridCol w:w="1149"/>
        <w:gridCol w:w="1149"/>
        <w:gridCol w:w="1153"/>
        <w:gridCol w:w="738"/>
        <w:gridCol w:w="5836"/>
        <w:gridCol w:w="989"/>
        <w:gridCol w:w="989"/>
        <w:gridCol w:w="989"/>
        <w:gridCol w:w="985"/>
      </w:tblGrid>
      <w:tr w:rsidR="00450F91" w:rsidRPr="00F02F63" w14:paraId="5D8C11E4" w14:textId="77777777" w:rsidTr="00450F91">
        <w:trPr>
          <w:cnfStyle w:val="100000000000" w:firstRow="1" w:lastRow="0" w:firstColumn="0" w:lastColumn="0" w:oddVBand="0" w:evenVBand="0" w:oddHBand="0" w:evenHBand="0" w:firstRowFirstColumn="0" w:firstRowLastColumn="0" w:lastRowFirstColumn="0" w:lastRowLastColumn="0"/>
          <w:trHeight w:val="235"/>
        </w:trPr>
        <w:tc>
          <w:tcPr>
            <w:tcW w:w="1392" w:type="pct"/>
          </w:tcPr>
          <w:p w14:paraId="4575C63C" w14:textId="77777777" w:rsidR="00450F91" w:rsidRPr="00F02F63" w:rsidRDefault="00450F91" w:rsidP="004725E5">
            <w:pPr>
              <w:pStyle w:val="Tableheading"/>
            </w:pPr>
            <w:r w:rsidRPr="00F02F63">
              <w:t xml:space="preserve">General </w:t>
            </w:r>
            <w:r>
              <w:t>c</w:t>
            </w:r>
            <w:r w:rsidRPr="00F02F63">
              <w:t>apabilities</w:t>
            </w:r>
          </w:p>
        </w:tc>
        <w:tc>
          <w:tcPr>
            <w:tcW w:w="1097" w:type="pct"/>
            <w:gridSpan w:val="4"/>
          </w:tcPr>
          <w:p w14:paraId="5242D54C" w14:textId="77777777" w:rsidR="00450F91" w:rsidRPr="00450F91" w:rsidRDefault="00450F91" w:rsidP="00450F91">
            <w:pPr>
              <w:pStyle w:val="Tableheading"/>
              <w:jc w:val="center"/>
            </w:pPr>
            <w:r>
              <w:t>Year</w:t>
            </w:r>
            <w:r w:rsidR="002A0EAE">
              <w:t xml:space="preserve"> 10</w:t>
            </w:r>
          </w:p>
        </w:tc>
        <w:tc>
          <w:tcPr>
            <w:tcW w:w="176" w:type="pct"/>
            <w:tcBorders>
              <w:top w:val="nil"/>
              <w:bottom w:val="nil"/>
            </w:tcBorders>
            <w:shd w:val="clear" w:color="auto" w:fill="auto"/>
          </w:tcPr>
          <w:p w14:paraId="68FD94DB" w14:textId="77777777" w:rsidR="00450F91" w:rsidRDefault="00450F91" w:rsidP="004725E5">
            <w:pPr>
              <w:pStyle w:val="Tableheading"/>
            </w:pPr>
          </w:p>
        </w:tc>
        <w:tc>
          <w:tcPr>
            <w:tcW w:w="1392" w:type="pct"/>
          </w:tcPr>
          <w:p w14:paraId="63448400" w14:textId="77777777" w:rsidR="00450F91" w:rsidRDefault="00450F91" w:rsidP="004725E5">
            <w:pPr>
              <w:pStyle w:val="Tableheading"/>
            </w:pPr>
            <w:r>
              <w:rPr>
                <w:rFonts w:eastAsia="SimSun"/>
              </w:rPr>
              <w:t>C</w:t>
            </w:r>
            <w:r w:rsidRPr="00BA09BC">
              <w:rPr>
                <w:rFonts w:eastAsia="SimSun"/>
              </w:rPr>
              <w:t>ross-curriculum priorities</w:t>
            </w:r>
          </w:p>
        </w:tc>
        <w:tc>
          <w:tcPr>
            <w:tcW w:w="943" w:type="pct"/>
            <w:gridSpan w:val="4"/>
          </w:tcPr>
          <w:p w14:paraId="5688EA29" w14:textId="77777777" w:rsidR="00450F91" w:rsidRDefault="00450F91" w:rsidP="00450F91">
            <w:pPr>
              <w:pStyle w:val="Tableheading"/>
              <w:jc w:val="center"/>
            </w:pPr>
            <w:r>
              <w:t>Year</w:t>
            </w:r>
            <w:r w:rsidR="002A0EAE">
              <w:t xml:space="preserve"> 10</w:t>
            </w:r>
          </w:p>
        </w:tc>
      </w:tr>
      <w:tr w:rsidR="00450F91" w:rsidRPr="00984007" w14:paraId="28428384" w14:textId="77777777" w:rsidTr="00035A8C">
        <w:trPr>
          <w:trHeight w:val="349"/>
        </w:trPr>
        <w:tc>
          <w:tcPr>
            <w:tcW w:w="1392" w:type="pct"/>
            <w:tcBorders>
              <w:top w:val="single" w:sz="12" w:space="0" w:color="D52B1E" w:themeColor="text2"/>
            </w:tcBorders>
            <w:shd w:val="clear" w:color="auto" w:fill="E6E7E8"/>
          </w:tcPr>
          <w:p w14:paraId="6197405A" w14:textId="77777777" w:rsidR="00450F91" w:rsidRPr="00984007" w:rsidRDefault="00450F91" w:rsidP="004725E5">
            <w:pPr>
              <w:pStyle w:val="Tablesubhead"/>
            </w:pPr>
            <w:r w:rsidRPr="00984007">
              <w:t>Unit</w:t>
            </w:r>
          </w:p>
        </w:tc>
        <w:tc>
          <w:tcPr>
            <w:tcW w:w="274" w:type="pct"/>
            <w:tcBorders>
              <w:top w:val="single" w:sz="12" w:space="0" w:color="D52B1E" w:themeColor="text2"/>
            </w:tcBorders>
            <w:shd w:val="clear" w:color="auto" w:fill="E6E7E8"/>
          </w:tcPr>
          <w:p w14:paraId="028CA573" w14:textId="77777777" w:rsidR="00450F91" w:rsidRPr="00984007" w:rsidRDefault="00450F91" w:rsidP="004725E5">
            <w:pPr>
              <w:pStyle w:val="Tablesubhead"/>
              <w:jc w:val="center"/>
            </w:pPr>
            <w:r>
              <w:t>1</w:t>
            </w:r>
          </w:p>
        </w:tc>
        <w:tc>
          <w:tcPr>
            <w:tcW w:w="274" w:type="pct"/>
            <w:tcBorders>
              <w:top w:val="single" w:sz="12" w:space="0" w:color="D52B1E" w:themeColor="text2"/>
            </w:tcBorders>
            <w:shd w:val="clear" w:color="auto" w:fill="E6E7E8"/>
          </w:tcPr>
          <w:p w14:paraId="68B3DDB4" w14:textId="77777777" w:rsidR="00450F91" w:rsidRPr="00984007" w:rsidRDefault="00450F91" w:rsidP="004725E5">
            <w:pPr>
              <w:pStyle w:val="Tablesubhead"/>
              <w:jc w:val="center"/>
            </w:pPr>
            <w:r>
              <w:t>2</w:t>
            </w:r>
          </w:p>
        </w:tc>
        <w:tc>
          <w:tcPr>
            <w:tcW w:w="274" w:type="pct"/>
            <w:tcBorders>
              <w:top w:val="single" w:sz="12" w:space="0" w:color="D52B1E" w:themeColor="text2"/>
            </w:tcBorders>
            <w:shd w:val="clear" w:color="auto" w:fill="E6E7E8"/>
          </w:tcPr>
          <w:p w14:paraId="574D33AF" w14:textId="77777777" w:rsidR="00450F91" w:rsidRPr="00984007" w:rsidRDefault="00450F91" w:rsidP="004725E5">
            <w:pPr>
              <w:pStyle w:val="Tablesubhead"/>
              <w:jc w:val="center"/>
            </w:pPr>
            <w:r>
              <w:t>3</w:t>
            </w:r>
          </w:p>
        </w:tc>
        <w:tc>
          <w:tcPr>
            <w:tcW w:w="275" w:type="pct"/>
            <w:tcBorders>
              <w:top w:val="single" w:sz="12" w:space="0" w:color="D52B1E" w:themeColor="text2"/>
            </w:tcBorders>
            <w:shd w:val="clear" w:color="auto" w:fill="E6E7E8"/>
          </w:tcPr>
          <w:p w14:paraId="47C4A3A1" w14:textId="77777777" w:rsidR="00450F91" w:rsidRPr="00984007" w:rsidRDefault="00450F91" w:rsidP="004725E5">
            <w:pPr>
              <w:pStyle w:val="Tablesubhead"/>
              <w:jc w:val="center"/>
            </w:pPr>
            <w:r>
              <w:t>4</w:t>
            </w:r>
          </w:p>
        </w:tc>
        <w:tc>
          <w:tcPr>
            <w:tcW w:w="176" w:type="pct"/>
            <w:tcBorders>
              <w:top w:val="nil"/>
              <w:bottom w:val="nil"/>
            </w:tcBorders>
          </w:tcPr>
          <w:p w14:paraId="5DC63645" w14:textId="77777777" w:rsidR="00450F91" w:rsidRPr="000C008E" w:rsidRDefault="00450F91" w:rsidP="000C008E"/>
        </w:tc>
        <w:tc>
          <w:tcPr>
            <w:tcW w:w="1392" w:type="pct"/>
            <w:shd w:val="clear" w:color="auto" w:fill="E6E7E8"/>
          </w:tcPr>
          <w:p w14:paraId="181CECA8" w14:textId="77777777" w:rsidR="00450F91" w:rsidRPr="00984007" w:rsidRDefault="00450F91" w:rsidP="004725E5">
            <w:pPr>
              <w:pStyle w:val="Tablesubhead"/>
            </w:pPr>
            <w:r>
              <w:t>Unit</w:t>
            </w:r>
          </w:p>
        </w:tc>
        <w:tc>
          <w:tcPr>
            <w:tcW w:w="236" w:type="pct"/>
            <w:shd w:val="clear" w:color="auto" w:fill="E6E7E8"/>
          </w:tcPr>
          <w:p w14:paraId="28AF989D" w14:textId="77777777" w:rsidR="00450F91" w:rsidRPr="00984007" w:rsidRDefault="00450F91" w:rsidP="004725E5">
            <w:pPr>
              <w:pStyle w:val="Tablesubhead"/>
              <w:jc w:val="center"/>
            </w:pPr>
            <w:r>
              <w:t>1</w:t>
            </w:r>
          </w:p>
        </w:tc>
        <w:tc>
          <w:tcPr>
            <w:tcW w:w="236" w:type="pct"/>
            <w:shd w:val="clear" w:color="auto" w:fill="E6E7E8"/>
          </w:tcPr>
          <w:p w14:paraId="737E7F9F" w14:textId="77777777" w:rsidR="00450F91" w:rsidRPr="00984007" w:rsidRDefault="00450F91" w:rsidP="004725E5">
            <w:pPr>
              <w:pStyle w:val="Tablesubhead"/>
              <w:jc w:val="center"/>
            </w:pPr>
            <w:r>
              <w:t>2</w:t>
            </w:r>
          </w:p>
        </w:tc>
        <w:tc>
          <w:tcPr>
            <w:tcW w:w="236" w:type="pct"/>
            <w:shd w:val="clear" w:color="auto" w:fill="E6E7E8"/>
          </w:tcPr>
          <w:p w14:paraId="56F2E6A1" w14:textId="77777777" w:rsidR="00450F91" w:rsidRDefault="00450F91" w:rsidP="004725E5">
            <w:pPr>
              <w:pStyle w:val="Tablesubhead"/>
              <w:jc w:val="center"/>
            </w:pPr>
            <w:r>
              <w:t>3</w:t>
            </w:r>
          </w:p>
        </w:tc>
        <w:tc>
          <w:tcPr>
            <w:tcW w:w="235" w:type="pct"/>
            <w:shd w:val="clear" w:color="auto" w:fill="E6E7E8"/>
          </w:tcPr>
          <w:p w14:paraId="3F868FAC" w14:textId="77777777" w:rsidR="00450F91" w:rsidRDefault="00450F91" w:rsidP="004725E5">
            <w:pPr>
              <w:pStyle w:val="Tablesubhead"/>
              <w:jc w:val="center"/>
            </w:pPr>
            <w:r>
              <w:t>4</w:t>
            </w:r>
          </w:p>
        </w:tc>
      </w:tr>
      <w:tr w:rsidR="00450F91" w:rsidRPr="00B063C6" w14:paraId="583F95A4" w14:textId="77777777" w:rsidTr="00035A8C">
        <w:trPr>
          <w:trHeight w:val="349"/>
        </w:trPr>
        <w:tc>
          <w:tcPr>
            <w:tcW w:w="1392" w:type="pct"/>
          </w:tcPr>
          <w:p w14:paraId="1ABC241D" w14:textId="77777777" w:rsidR="00450F91" w:rsidRDefault="00450F91" w:rsidP="00475F8A">
            <w:pPr>
              <w:pStyle w:val="Tabletext"/>
            </w:pPr>
            <w:r>
              <w:t>Literacy</w:t>
            </w:r>
          </w:p>
        </w:tc>
        <w:tc>
          <w:tcPr>
            <w:tcW w:w="274" w:type="pct"/>
            <w:vAlign w:val="center"/>
          </w:tcPr>
          <w:p w14:paraId="3EC2391D"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4" w:type="pct"/>
            <w:vAlign w:val="center"/>
          </w:tcPr>
          <w:p w14:paraId="3C15D970"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4" w:type="pct"/>
            <w:vAlign w:val="center"/>
          </w:tcPr>
          <w:p w14:paraId="2D43779A"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5" w:type="pct"/>
            <w:vAlign w:val="center"/>
          </w:tcPr>
          <w:p w14:paraId="10502797"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176" w:type="pct"/>
            <w:tcBorders>
              <w:top w:val="nil"/>
              <w:bottom w:val="nil"/>
            </w:tcBorders>
          </w:tcPr>
          <w:p w14:paraId="6E0B7AC2" w14:textId="77777777" w:rsidR="00450F91" w:rsidRPr="000C008E" w:rsidRDefault="00450F91" w:rsidP="000C008E"/>
        </w:tc>
        <w:tc>
          <w:tcPr>
            <w:tcW w:w="1392" w:type="pct"/>
          </w:tcPr>
          <w:p w14:paraId="49715970" w14:textId="77777777" w:rsidR="00450F91" w:rsidRDefault="00450F91" w:rsidP="004725E5">
            <w:pPr>
              <w:pStyle w:val="Tabletext"/>
              <w:rPr>
                <w:rFonts w:eastAsia="SimSun"/>
              </w:rPr>
            </w:pPr>
            <w:r>
              <w:t>Aboriginal and Torres Strait Islander histories and culture</w:t>
            </w:r>
            <w:r w:rsidR="0089217D">
              <w:t>s</w:t>
            </w:r>
          </w:p>
        </w:tc>
        <w:tc>
          <w:tcPr>
            <w:tcW w:w="236" w:type="pct"/>
            <w:vAlign w:val="center"/>
          </w:tcPr>
          <w:p w14:paraId="1C810C5C" w14:textId="77777777" w:rsidR="00450F91" w:rsidRDefault="00450F91" w:rsidP="004725E5">
            <w:pPr>
              <w:jc w:val="center"/>
              <w:rPr>
                <w:rFonts w:eastAsia="SimSun"/>
              </w:rPr>
            </w:pPr>
          </w:p>
        </w:tc>
        <w:tc>
          <w:tcPr>
            <w:tcW w:w="236" w:type="pct"/>
            <w:vAlign w:val="center"/>
          </w:tcPr>
          <w:p w14:paraId="1DC3E3C4" w14:textId="77777777" w:rsidR="00450F91" w:rsidRDefault="00F5268E" w:rsidP="004725E5">
            <w:pPr>
              <w:jc w:val="center"/>
              <w:rPr>
                <w:rFonts w:eastAsia="SimSun"/>
              </w:rPr>
            </w:pPr>
            <w:r w:rsidRPr="001B7623">
              <w:rPr>
                <w:rFonts w:cs="Arial"/>
                <w:sz w:val="20"/>
                <w:szCs w:val="20"/>
                <w:lang w:val="en-GB"/>
              </w:rPr>
              <w:sym w:font="Wingdings" w:char="F0FC"/>
            </w:r>
          </w:p>
        </w:tc>
        <w:tc>
          <w:tcPr>
            <w:tcW w:w="236" w:type="pct"/>
            <w:vAlign w:val="center"/>
          </w:tcPr>
          <w:p w14:paraId="7F058E79" w14:textId="77777777" w:rsidR="00450F91" w:rsidRDefault="00F5268E" w:rsidP="004725E5">
            <w:pPr>
              <w:jc w:val="center"/>
              <w:rPr>
                <w:rFonts w:eastAsia="SimSun"/>
              </w:rPr>
            </w:pPr>
            <w:r w:rsidRPr="001B7623">
              <w:rPr>
                <w:rFonts w:cs="Arial"/>
                <w:sz w:val="20"/>
                <w:szCs w:val="20"/>
                <w:lang w:val="en-GB"/>
              </w:rPr>
              <w:sym w:font="Wingdings" w:char="F0FC"/>
            </w:r>
          </w:p>
        </w:tc>
        <w:tc>
          <w:tcPr>
            <w:tcW w:w="235" w:type="pct"/>
            <w:vAlign w:val="center"/>
          </w:tcPr>
          <w:p w14:paraId="1337A19C" w14:textId="77777777" w:rsidR="00450F91" w:rsidRDefault="00450F91" w:rsidP="004725E5">
            <w:pPr>
              <w:jc w:val="center"/>
              <w:rPr>
                <w:rFonts w:eastAsia="SimSun"/>
              </w:rPr>
            </w:pPr>
          </w:p>
        </w:tc>
      </w:tr>
      <w:tr w:rsidR="00450F91" w:rsidRPr="00B063C6" w14:paraId="6408F832" w14:textId="77777777" w:rsidTr="00035A8C">
        <w:trPr>
          <w:trHeight w:val="349"/>
        </w:trPr>
        <w:tc>
          <w:tcPr>
            <w:tcW w:w="1392" w:type="pct"/>
          </w:tcPr>
          <w:p w14:paraId="1A5CA8B8" w14:textId="77777777" w:rsidR="00450F91" w:rsidRPr="00422937" w:rsidRDefault="00450F91" w:rsidP="00475F8A">
            <w:pPr>
              <w:pStyle w:val="Tabletext"/>
            </w:pPr>
            <w:r>
              <w:t>Numeracy</w:t>
            </w:r>
          </w:p>
        </w:tc>
        <w:tc>
          <w:tcPr>
            <w:tcW w:w="274" w:type="pct"/>
            <w:vAlign w:val="center"/>
          </w:tcPr>
          <w:p w14:paraId="6FC16326" w14:textId="77777777" w:rsidR="00450F91" w:rsidRPr="00B063C6" w:rsidRDefault="00450F91" w:rsidP="00475F8A">
            <w:pPr>
              <w:pStyle w:val="Tabletext"/>
              <w:jc w:val="center"/>
              <w:rPr>
                <w:b/>
              </w:rPr>
            </w:pPr>
          </w:p>
        </w:tc>
        <w:tc>
          <w:tcPr>
            <w:tcW w:w="274" w:type="pct"/>
            <w:vAlign w:val="center"/>
          </w:tcPr>
          <w:p w14:paraId="69058D82" w14:textId="77777777" w:rsidR="00450F91" w:rsidRPr="00B063C6" w:rsidRDefault="00450F91" w:rsidP="00475F8A">
            <w:pPr>
              <w:pStyle w:val="Tabletext"/>
              <w:jc w:val="center"/>
              <w:rPr>
                <w:b/>
              </w:rPr>
            </w:pPr>
          </w:p>
        </w:tc>
        <w:tc>
          <w:tcPr>
            <w:tcW w:w="274" w:type="pct"/>
            <w:vAlign w:val="center"/>
          </w:tcPr>
          <w:p w14:paraId="151292DD" w14:textId="77777777" w:rsidR="00450F91" w:rsidRPr="00B063C6" w:rsidRDefault="00450F91" w:rsidP="00475F8A">
            <w:pPr>
              <w:pStyle w:val="Tabletext"/>
              <w:jc w:val="center"/>
              <w:rPr>
                <w:b/>
              </w:rPr>
            </w:pPr>
          </w:p>
        </w:tc>
        <w:tc>
          <w:tcPr>
            <w:tcW w:w="275" w:type="pct"/>
            <w:vAlign w:val="center"/>
          </w:tcPr>
          <w:p w14:paraId="0498EB93"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176" w:type="pct"/>
            <w:tcBorders>
              <w:top w:val="nil"/>
              <w:bottom w:val="nil"/>
            </w:tcBorders>
          </w:tcPr>
          <w:p w14:paraId="79921E39" w14:textId="77777777" w:rsidR="00450F91" w:rsidRPr="000C008E" w:rsidRDefault="00450F91" w:rsidP="000C008E"/>
        </w:tc>
        <w:tc>
          <w:tcPr>
            <w:tcW w:w="1392" w:type="pct"/>
          </w:tcPr>
          <w:p w14:paraId="759E56E8" w14:textId="77777777" w:rsidR="00450F91" w:rsidRPr="00B063C6" w:rsidRDefault="00450F91" w:rsidP="004725E5">
            <w:pPr>
              <w:pStyle w:val="Tabletext"/>
              <w:rPr>
                <w:b/>
              </w:rPr>
            </w:pPr>
            <w:r>
              <w:t>Asia and Australia’s engagement with Asia</w:t>
            </w:r>
          </w:p>
        </w:tc>
        <w:tc>
          <w:tcPr>
            <w:tcW w:w="236" w:type="pct"/>
            <w:vAlign w:val="center"/>
          </w:tcPr>
          <w:p w14:paraId="5678F931" w14:textId="77777777" w:rsidR="00450F91" w:rsidRPr="00B063C6" w:rsidRDefault="00F5268E" w:rsidP="004725E5">
            <w:pPr>
              <w:jc w:val="center"/>
              <w:rPr>
                <w:b/>
              </w:rPr>
            </w:pPr>
            <w:r w:rsidRPr="001B7623">
              <w:rPr>
                <w:rFonts w:cs="Arial"/>
                <w:sz w:val="20"/>
                <w:szCs w:val="20"/>
                <w:lang w:val="en-GB"/>
              </w:rPr>
              <w:sym w:font="Wingdings" w:char="F0FC"/>
            </w:r>
          </w:p>
        </w:tc>
        <w:tc>
          <w:tcPr>
            <w:tcW w:w="236" w:type="pct"/>
            <w:vAlign w:val="center"/>
          </w:tcPr>
          <w:p w14:paraId="79FCB0D4" w14:textId="77777777" w:rsidR="00450F91" w:rsidRPr="00B063C6" w:rsidRDefault="00450F91" w:rsidP="004725E5">
            <w:pPr>
              <w:jc w:val="center"/>
              <w:rPr>
                <w:b/>
              </w:rPr>
            </w:pPr>
          </w:p>
        </w:tc>
        <w:tc>
          <w:tcPr>
            <w:tcW w:w="236" w:type="pct"/>
            <w:vAlign w:val="center"/>
          </w:tcPr>
          <w:p w14:paraId="6E18A1A9" w14:textId="77777777" w:rsidR="00450F91" w:rsidRDefault="00F5268E" w:rsidP="004725E5">
            <w:pPr>
              <w:jc w:val="center"/>
              <w:rPr>
                <w:rFonts w:eastAsia="SimSun"/>
              </w:rPr>
            </w:pPr>
            <w:r w:rsidRPr="001B7623">
              <w:rPr>
                <w:rFonts w:cs="Arial"/>
                <w:sz w:val="20"/>
                <w:szCs w:val="20"/>
                <w:lang w:val="en-GB"/>
              </w:rPr>
              <w:sym w:font="Wingdings" w:char="F0FC"/>
            </w:r>
          </w:p>
        </w:tc>
        <w:tc>
          <w:tcPr>
            <w:tcW w:w="235" w:type="pct"/>
            <w:vAlign w:val="center"/>
          </w:tcPr>
          <w:p w14:paraId="41FEB8EB" w14:textId="77777777" w:rsidR="00450F91" w:rsidRDefault="00450F91" w:rsidP="004725E5">
            <w:pPr>
              <w:jc w:val="center"/>
              <w:rPr>
                <w:rFonts w:eastAsia="SimSun"/>
              </w:rPr>
            </w:pPr>
          </w:p>
        </w:tc>
      </w:tr>
      <w:tr w:rsidR="00450F91" w:rsidRPr="00B063C6" w14:paraId="6C8DFC82" w14:textId="77777777" w:rsidTr="00035A8C">
        <w:trPr>
          <w:trHeight w:val="349"/>
        </w:trPr>
        <w:tc>
          <w:tcPr>
            <w:tcW w:w="1392" w:type="pct"/>
          </w:tcPr>
          <w:p w14:paraId="4726746C" w14:textId="77777777" w:rsidR="00450F91" w:rsidRPr="00422937" w:rsidRDefault="00450F91" w:rsidP="00475F8A">
            <w:pPr>
              <w:pStyle w:val="Tabletext"/>
            </w:pPr>
            <w:r w:rsidRPr="00422937">
              <w:t>I</w:t>
            </w:r>
            <w:r>
              <w:t>nformation and communication technology</w:t>
            </w:r>
          </w:p>
        </w:tc>
        <w:tc>
          <w:tcPr>
            <w:tcW w:w="274" w:type="pct"/>
            <w:vAlign w:val="center"/>
          </w:tcPr>
          <w:p w14:paraId="294D4068" w14:textId="77777777" w:rsidR="00450F91" w:rsidRPr="00B063C6" w:rsidRDefault="00450F91" w:rsidP="00475F8A">
            <w:pPr>
              <w:pStyle w:val="Tabletext"/>
              <w:jc w:val="center"/>
              <w:rPr>
                <w:b/>
              </w:rPr>
            </w:pPr>
          </w:p>
        </w:tc>
        <w:tc>
          <w:tcPr>
            <w:tcW w:w="274" w:type="pct"/>
            <w:vAlign w:val="center"/>
          </w:tcPr>
          <w:p w14:paraId="13ACA236"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4" w:type="pct"/>
            <w:vAlign w:val="center"/>
          </w:tcPr>
          <w:p w14:paraId="60D7AF95"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5" w:type="pct"/>
            <w:vAlign w:val="center"/>
          </w:tcPr>
          <w:p w14:paraId="4D77C949" w14:textId="77777777" w:rsidR="00450F91" w:rsidRPr="00B063C6" w:rsidRDefault="00450F91" w:rsidP="00475F8A">
            <w:pPr>
              <w:pStyle w:val="Tabletext"/>
              <w:jc w:val="center"/>
              <w:rPr>
                <w:b/>
              </w:rPr>
            </w:pPr>
          </w:p>
        </w:tc>
        <w:tc>
          <w:tcPr>
            <w:tcW w:w="176" w:type="pct"/>
            <w:tcBorders>
              <w:top w:val="nil"/>
              <w:bottom w:val="nil"/>
            </w:tcBorders>
          </w:tcPr>
          <w:p w14:paraId="0771CD6A" w14:textId="77777777" w:rsidR="00450F91" w:rsidRPr="000C008E" w:rsidRDefault="00450F91" w:rsidP="000C008E"/>
        </w:tc>
        <w:tc>
          <w:tcPr>
            <w:tcW w:w="1392" w:type="pct"/>
            <w:tcBorders>
              <w:bottom w:val="single" w:sz="4" w:space="0" w:color="A6A6A6"/>
            </w:tcBorders>
          </w:tcPr>
          <w:p w14:paraId="33E21175" w14:textId="77777777" w:rsidR="00450F91" w:rsidRPr="008D438C" w:rsidRDefault="00450F91" w:rsidP="004725E5">
            <w:pPr>
              <w:pStyle w:val="Tabletext"/>
            </w:pPr>
            <w:r>
              <w:t>Sustainability</w:t>
            </w:r>
          </w:p>
        </w:tc>
        <w:tc>
          <w:tcPr>
            <w:tcW w:w="236" w:type="pct"/>
            <w:tcBorders>
              <w:bottom w:val="single" w:sz="4" w:space="0" w:color="A6A6A6"/>
            </w:tcBorders>
            <w:vAlign w:val="center"/>
          </w:tcPr>
          <w:p w14:paraId="02C486F4" w14:textId="77777777" w:rsidR="00450F91" w:rsidRPr="00B063C6" w:rsidRDefault="00450F91" w:rsidP="004725E5">
            <w:pPr>
              <w:jc w:val="center"/>
              <w:rPr>
                <w:b/>
              </w:rPr>
            </w:pPr>
          </w:p>
        </w:tc>
        <w:tc>
          <w:tcPr>
            <w:tcW w:w="236" w:type="pct"/>
            <w:tcBorders>
              <w:bottom w:val="single" w:sz="4" w:space="0" w:color="A6A6A6"/>
            </w:tcBorders>
            <w:vAlign w:val="center"/>
          </w:tcPr>
          <w:p w14:paraId="487A0320" w14:textId="77777777" w:rsidR="00450F91" w:rsidRPr="00B063C6" w:rsidRDefault="00450F91" w:rsidP="004725E5">
            <w:pPr>
              <w:jc w:val="center"/>
              <w:rPr>
                <w:b/>
              </w:rPr>
            </w:pPr>
          </w:p>
        </w:tc>
        <w:tc>
          <w:tcPr>
            <w:tcW w:w="236" w:type="pct"/>
            <w:tcBorders>
              <w:bottom w:val="single" w:sz="4" w:space="0" w:color="A6A6A6"/>
            </w:tcBorders>
            <w:vAlign w:val="center"/>
          </w:tcPr>
          <w:p w14:paraId="0BD6BD38" w14:textId="77777777" w:rsidR="00450F91" w:rsidRDefault="00450F91" w:rsidP="004725E5">
            <w:pPr>
              <w:jc w:val="center"/>
              <w:rPr>
                <w:rFonts w:eastAsia="SimSun"/>
              </w:rPr>
            </w:pPr>
          </w:p>
        </w:tc>
        <w:tc>
          <w:tcPr>
            <w:tcW w:w="235" w:type="pct"/>
            <w:tcBorders>
              <w:bottom w:val="single" w:sz="4" w:space="0" w:color="A6A6A6"/>
            </w:tcBorders>
            <w:vAlign w:val="center"/>
          </w:tcPr>
          <w:p w14:paraId="4825C89D" w14:textId="77777777" w:rsidR="00450F91" w:rsidRDefault="00F5268E" w:rsidP="004725E5">
            <w:pPr>
              <w:jc w:val="center"/>
              <w:rPr>
                <w:rFonts w:eastAsia="SimSun"/>
              </w:rPr>
            </w:pPr>
            <w:r w:rsidRPr="001B7623">
              <w:rPr>
                <w:rFonts w:cs="Arial"/>
                <w:sz w:val="20"/>
                <w:szCs w:val="20"/>
                <w:lang w:val="en-GB"/>
              </w:rPr>
              <w:sym w:font="Wingdings" w:char="F0FC"/>
            </w:r>
          </w:p>
        </w:tc>
      </w:tr>
      <w:tr w:rsidR="00450F91" w:rsidRPr="00B063C6" w14:paraId="07F2DCC3" w14:textId="77777777" w:rsidTr="00450F91">
        <w:trPr>
          <w:trHeight w:val="349"/>
        </w:trPr>
        <w:tc>
          <w:tcPr>
            <w:tcW w:w="1392" w:type="pct"/>
          </w:tcPr>
          <w:p w14:paraId="1E1D0063" w14:textId="77777777" w:rsidR="00450F91" w:rsidRPr="00422937" w:rsidRDefault="00450F91" w:rsidP="00475F8A">
            <w:pPr>
              <w:pStyle w:val="Tabletext"/>
            </w:pPr>
            <w:r w:rsidRPr="00422937">
              <w:t>Critical and creative thinking</w:t>
            </w:r>
          </w:p>
        </w:tc>
        <w:tc>
          <w:tcPr>
            <w:tcW w:w="274" w:type="pct"/>
            <w:vAlign w:val="center"/>
          </w:tcPr>
          <w:p w14:paraId="59A4A4DD"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4" w:type="pct"/>
            <w:vAlign w:val="center"/>
          </w:tcPr>
          <w:p w14:paraId="1C559664"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4" w:type="pct"/>
            <w:vAlign w:val="center"/>
          </w:tcPr>
          <w:p w14:paraId="1A774795"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5" w:type="pct"/>
            <w:vAlign w:val="center"/>
          </w:tcPr>
          <w:p w14:paraId="6D01DD04"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176" w:type="pct"/>
            <w:tcBorders>
              <w:top w:val="nil"/>
              <w:bottom w:val="nil"/>
              <w:right w:val="nil"/>
            </w:tcBorders>
          </w:tcPr>
          <w:p w14:paraId="7B88E400" w14:textId="77777777" w:rsidR="00450F91" w:rsidRPr="000C008E" w:rsidRDefault="00450F91" w:rsidP="000C008E"/>
        </w:tc>
        <w:tc>
          <w:tcPr>
            <w:tcW w:w="2335" w:type="pct"/>
            <w:gridSpan w:val="5"/>
            <w:vMerge w:val="restart"/>
            <w:tcBorders>
              <w:left w:val="nil"/>
              <w:bottom w:val="nil"/>
              <w:right w:val="nil"/>
            </w:tcBorders>
          </w:tcPr>
          <w:p w14:paraId="4D9FD673" w14:textId="77777777" w:rsidR="00450F91" w:rsidRDefault="00450F91" w:rsidP="000C008E">
            <w:pPr>
              <w:rPr>
                <w:rFonts w:eastAsia="SimSun"/>
              </w:rPr>
            </w:pPr>
          </w:p>
        </w:tc>
      </w:tr>
      <w:tr w:rsidR="00450F91" w:rsidRPr="00B063C6" w14:paraId="2082B998" w14:textId="77777777" w:rsidTr="00450F91">
        <w:trPr>
          <w:trHeight w:val="349"/>
        </w:trPr>
        <w:tc>
          <w:tcPr>
            <w:tcW w:w="1392" w:type="pct"/>
          </w:tcPr>
          <w:p w14:paraId="0B0BD64C" w14:textId="77777777" w:rsidR="00450F91" w:rsidRPr="00422937" w:rsidRDefault="00450F91" w:rsidP="00475F8A">
            <w:pPr>
              <w:pStyle w:val="Tabletext"/>
            </w:pPr>
            <w:r w:rsidRPr="00422937">
              <w:t>Personal and social capability</w:t>
            </w:r>
          </w:p>
        </w:tc>
        <w:tc>
          <w:tcPr>
            <w:tcW w:w="274" w:type="pct"/>
            <w:vAlign w:val="center"/>
          </w:tcPr>
          <w:p w14:paraId="6028D096" w14:textId="77777777" w:rsidR="00450F91" w:rsidRPr="00B063C6" w:rsidRDefault="00450F91" w:rsidP="00475F8A">
            <w:pPr>
              <w:pStyle w:val="Tabletext"/>
              <w:jc w:val="center"/>
              <w:rPr>
                <w:b/>
              </w:rPr>
            </w:pPr>
          </w:p>
        </w:tc>
        <w:tc>
          <w:tcPr>
            <w:tcW w:w="274" w:type="pct"/>
            <w:vAlign w:val="center"/>
          </w:tcPr>
          <w:p w14:paraId="18D7066D"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4" w:type="pct"/>
            <w:vAlign w:val="center"/>
          </w:tcPr>
          <w:p w14:paraId="0C1E47B6" w14:textId="77777777" w:rsidR="00450F91" w:rsidRPr="00B063C6" w:rsidRDefault="00F5268E" w:rsidP="00475F8A">
            <w:pPr>
              <w:pStyle w:val="Tabletext"/>
              <w:jc w:val="center"/>
              <w:rPr>
                <w:b/>
              </w:rPr>
            </w:pPr>
            <w:r w:rsidRPr="001B7623">
              <w:rPr>
                <w:rFonts w:cs="Arial"/>
                <w:sz w:val="20"/>
                <w:szCs w:val="20"/>
                <w:lang w:val="en-GB"/>
              </w:rPr>
              <w:sym w:font="Wingdings" w:char="F0FC"/>
            </w:r>
          </w:p>
        </w:tc>
        <w:tc>
          <w:tcPr>
            <w:tcW w:w="275" w:type="pct"/>
            <w:vAlign w:val="center"/>
          </w:tcPr>
          <w:p w14:paraId="00B1C8DE" w14:textId="77777777" w:rsidR="00450F91" w:rsidRPr="00B063C6" w:rsidRDefault="00450F91" w:rsidP="00475F8A">
            <w:pPr>
              <w:pStyle w:val="Tabletext"/>
              <w:jc w:val="center"/>
              <w:rPr>
                <w:b/>
              </w:rPr>
            </w:pPr>
          </w:p>
        </w:tc>
        <w:tc>
          <w:tcPr>
            <w:tcW w:w="176" w:type="pct"/>
            <w:tcBorders>
              <w:top w:val="nil"/>
              <w:bottom w:val="nil"/>
              <w:right w:val="nil"/>
            </w:tcBorders>
          </w:tcPr>
          <w:p w14:paraId="3F73A585" w14:textId="77777777" w:rsidR="00450F91" w:rsidRPr="000C008E" w:rsidRDefault="00450F91" w:rsidP="000C008E"/>
        </w:tc>
        <w:tc>
          <w:tcPr>
            <w:tcW w:w="2335" w:type="pct"/>
            <w:gridSpan w:val="5"/>
            <w:vMerge/>
            <w:tcBorders>
              <w:left w:val="nil"/>
              <w:bottom w:val="nil"/>
              <w:right w:val="nil"/>
            </w:tcBorders>
          </w:tcPr>
          <w:p w14:paraId="52A1B3FC" w14:textId="77777777" w:rsidR="00450F91" w:rsidRDefault="00450F91" w:rsidP="004725E5">
            <w:pPr>
              <w:jc w:val="center"/>
              <w:rPr>
                <w:rFonts w:eastAsia="SimSun"/>
              </w:rPr>
            </w:pPr>
          </w:p>
        </w:tc>
      </w:tr>
      <w:tr w:rsidR="00450F91" w:rsidRPr="00B063C6" w14:paraId="2D04B779" w14:textId="77777777" w:rsidTr="00450F91">
        <w:trPr>
          <w:trHeight w:val="349"/>
        </w:trPr>
        <w:tc>
          <w:tcPr>
            <w:tcW w:w="1392" w:type="pct"/>
          </w:tcPr>
          <w:p w14:paraId="5216B709" w14:textId="77777777" w:rsidR="00450F91" w:rsidRPr="00422937" w:rsidRDefault="00450F91" w:rsidP="00475F8A">
            <w:pPr>
              <w:pStyle w:val="Tabletext"/>
            </w:pPr>
            <w:r w:rsidRPr="00422937">
              <w:t>Intercultural understanding</w:t>
            </w:r>
          </w:p>
        </w:tc>
        <w:tc>
          <w:tcPr>
            <w:tcW w:w="274" w:type="pct"/>
            <w:vAlign w:val="center"/>
          </w:tcPr>
          <w:p w14:paraId="4C78C4A9" w14:textId="77777777" w:rsidR="00450F91" w:rsidRPr="00B063C6" w:rsidRDefault="00450F91" w:rsidP="00475F8A">
            <w:pPr>
              <w:pStyle w:val="Tabletext"/>
              <w:jc w:val="center"/>
              <w:rPr>
                <w:b/>
              </w:rPr>
            </w:pPr>
          </w:p>
        </w:tc>
        <w:tc>
          <w:tcPr>
            <w:tcW w:w="274" w:type="pct"/>
            <w:vAlign w:val="center"/>
          </w:tcPr>
          <w:p w14:paraId="501D72EA"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4" w:type="pct"/>
            <w:vAlign w:val="center"/>
          </w:tcPr>
          <w:p w14:paraId="14CE6DF3"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5" w:type="pct"/>
            <w:vAlign w:val="center"/>
          </w:tcPr>
          <w:p w14:paraId="4E5CCF2E" w14:textId="77777777" w:rsidR="00450F91" w:rsidRPr="00B063C6" w:rsidRDefault="00450F91" w:rsidP="00475F8A">
            <w:pPr>
              <w:pStyle w:val="Tabletext"/>
              <w:jc w:val="center"/>
              <w:rPr>
                <w:b/>
              </w:rPr>
            </w:pPr>
          </w:p>
        </w:tc>
        <w:tc>
          <w:tcPr>
            <w:tcW w:w="176" w:type="pct"/>
            <w:tcBorders>
              <w:top w:val="nil"/>
              <w:bottom w:val="nil"/>
              <w:right w:val="nil"/>
            </w:tcBorders>
          </w:tcPr>
          <w:p w14:paraId="5984F1A0" w14:textId="77777777" w:rsidR="00450F91" w:rsidRPr="000C008E" w:rsidRDefault="00450F91" w:rsidP="000C008E"/>
        </w:tc>
        <w:tc>
          <w:tcPr>
            <w:tcW w:w="2335" w:type="pct"/>
            <w:gridSpan w:val="5"/>
            <w:vMerge/>
            <w:tcBorders>
              <w:left w:val="nil"/>
              <w:bottom w:val="nil"/>
              <w:right w:val="nil"/>
            </w:tcBorders>
          </w:tcPr>
          <w:p w14:paraId="5C365FC4" w14:textId="77777777" w:rsidR="00450F91" w:rsidRPr="00B063C6" w:rsidRDefault="00450F91" w:rsidP="004725E5">
            <w:pPr>
              <w:jc w:val="center"/>
              <w:rPr>
                <w:b/>
              </w:rPr>
            </w:pPr>
          </w:p>
        </w:tc>
      </w:tr>
      <w:tr w:rsidR="00450F91" w:rsidRPr="00B063C6" w14:paraId="235E8DAD" w14:textId="77777777" w:rsidTr="00450F91">
        <w:trPr>
          <w:trHeight w:val="349"/>
        </w:trPr>
        <w:tc>
          <w:tcPr>
            <w:tcW w:w="1392" w:type="pct"/>
          </w:tcPr>
          <w:p w14:paraId="28FF6B8F" w14:textId="77777777" w:rsidR="00450F91" w:rsidRPr="00422937" w:rsidRDefault="00450F91" w:rsidP="00475F8A">
            <w:pPr>
              <w:pStyle w:val="Tabletext"/>
            </w:pPr>
            <w:r w:rsidRPr="00422937">
              <w:t>Ethical understanding</w:t>
            </w:r>
          </w:p>
        </w:tc>
        <w:tc>
          <w:tcPr>
            <w:tcW w:w="274" w:type="pct"/>
            <w:vAlign w:val="center"/>
          </w:tcPr>
          <w:p w14:paraId="69CE152E" w14:textId="77777777" w:rsidR="00450F91" w:rsidRPr="00B063C6" w:rsidRDefault="00450F91" w:rsidP="00475F8A">
            <w:pPr>
              <w:pStyle w:val="Tabletext"/>
              <w:jc w:val="center"/>
              <w:rPr>
                <w:b/>
              </w:rPr>
            </w:pPr>
          </w:p>
        </w:tc>
        <w:tc>
          <w:tcPr>
            <w:tcW w:w="274" w:type="pct"/>
            <w:vAlign w:val="center"/>
          </w:tcPr>
          <w:p w14:paraId="220F6373" w14:textId="77777777" w:rsidR="00450F91" w:rsidRPr="00B063C6" w:rsidRDefault="00F5268E" w:rsidP="00475F8A">
            <w:pPr>
              <w:pStyle w:val="Tabletext"/>
              <w:jc w:val="center"/>
              <w:rPr>
                <w:b/>
              </w:rPr>
            </w:pPr>
            <w:r w:rsidRPr="001B7623">
              <w:rPr>
                <w:rFonts w:cs="Arial"/>
                <w:sz w:val="20"/>
                <w:szCs w:val="20"/>
                <w:lang w:val="en-GB"/>
              </w:rPr>
              <w:sym w:font="Wingdings" w:char="F0FC"/>
            </w:r>
          </w:p>
        </w:tc>
        <w:tc>
          <w:tcPr>
            <w:tcW w:w="274" w:type="pct"/>
            <w:vAlign w:val="center"/>
          </w:tcPr>
          <w:p w14:paraId="4366EF2B" w14:textId="77777777" w:rsidR="00450F91" w:rsidRPr="00B063C6" w:rsidRDefault="00450F91" w:rsidP="00475F8A">
            <w:pPr>
              <w:pStyle w:val="Tabletext"/>
              <w:jc w:val="center"/>
              <w:rPr>
                <w:b/>
              </w:rPr>
            </w:pPr>
            <w:r w:rsidRPr="001B7623">
              <w:rPr>
                <w:rFonts w:cs="Arial"/>
                <w:sz w:val="20"/>
                <w:szCs w:val="20"/>
                <w:lang w:val="en-GB"/>
              </w:rPr>
              <w:sym w:font="Wingdings" w:char="F0FC"/>
            </w:r>
          </w:p>
        </w:tc>
        <w:tc>
          <w:tcPr>
            <w:tcW w:w="275" w:type="pct"/>
            <w:vAlign w:val="center"/>
          </w:tcPr>
          <w:p w14:paraId="5EF22DE5" w14:textId="77777777" w:rsidR="00450F91" w:rsidRPr="00B063C6" w:rsidRDefault="00450F91" w:rsidP="00475F8A">
            <w:pPr>
              <w:pStyle w:val="Tabletext"/>
              <w:jc w:val="center"/>
              <w:rPr>
                <w:b/>
              </w:rPr>
            </w:pPr>
          </w:p>
        </w:tc>
        <w:tc>
          <w:tcPr>
            <w:tcW w:w="176" w:type="pct"/>
            <w:tcBorders>
              <w:top w:val="nil"/>
              <w:bottom w:val="nil"/>
              <w:right w:val="nil"/>
            </w:tcBorders>
          </w:tcPr>
          <w:p w14:paraId="0BD78BE7" w14:textId="77777777" w:rsidR="00450F91" w:rsidRPr="000C008E" w:rsidRDefault="00450F91" w:rsidP="000C008E"/>
        </w:tc>
        <w:tc>
          <w:tcPr>
            <w:tcW w:w="2335" w:type="pct"/>
            <w:gridSpan w:val="5"/>
            <w:vMerge/>
            <w:tcBorders>
              <w:left w:val="nil"/>
              <w:bottom w:val="nil"/>
              <w:right w:val="nil"/>
            </w:tcBorders>
          </w:tcPr>
          <w:p w14:paraId="671ECAFF" w14:textId="77777777" w:rsidR="00450F91" w:rsidRDefault="00450F91" w:rsidP="004725E5">
            <w:pPr>
              <w:jc w:val="center"/>
              <w:rPr>
                <w:rFonts w:eastAsia="SimSun"/>
              </w:rPr>
            </w:pPr>
          </w:p>
        </w:tc>
      </w:tr>
    </w:tbl>
    <w:p w14:paraId="7D6DF50B" w14:textId="77777777" w:rsidR="002D3109" w:rsidRDefault="002D3109" w:rsidP="002D3109">
      <w:pPr>
        <w:pStyle w:val="Heading1"/>
      </w:pPr>
      <w:r>
        <w:t>Planning considerations</w:t>
      </w:r>
      <w:r w:rsidRPr="00396DD9">
        <w:t xml:space="preserve"> </w:t>
      </w:r>
    </w:p>
    <w:tbl>
      <w:tblPr>
        <w:tblStyle w:val="QCAAtablestyle5"/>
        <w:tblW w:w="5000" w:type="pct"/>
        <w:tblLook w:val="0620" w:firstRow="1" w:lastRow="0" w:firstColumn="0" w:lastColumn="0" w:noHBand="1" w:noVBand="1"/>
      </w:tblPr>
      <w:tblGrid>
        <w:gridCol w:w="20962"/>
      </w:tblGrid>
      <w:tr w:rsidR="002D3109" w14:paraId="602CC914"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7E5EA6F8" w14:textId="77777777" w:rsidR="00ED04FE" w:rsidRPr="00942781" w:rsidRDefault="00ED04FE" w:rsidP="00ED04FE">
            <w:pPr>
              <w:pStyle w:val="TableBullet"/>
              <w:numPr>
                <w:ilvl w:val="0"/>
                <w:numId w:val="0"/>
              </w:numPr>
              <w:ind w:left="170" w:hanging="170"/>
            </w:pPr>
            <w:r>
              <w:t>Prior to implementation the teaching team will consider questions such as:</w:t>
            </w:r>
          </w:p>
          <w:p w14:paraId="10388197" w14:textId="77777777" w:rsidR="00ED04FE" w:rsidRPr="00942781" w:rsidRDefault="00ED04FE" w:rsidP="00ED04FE">
            <w:pPr>
              <w:pStyle w:val="TableBullet"/>
              <w:numPr>
                <w:ilvl w:val="0"/>
                <w:numId w:val="4"/>
              </w:numPr>
              <w:tabs>
                <w:tab w:val="clear" w:pos="284"/>
              </w:tabs>
              <w:ind w:left="170" w:hanging="170"/>
            </w:pPr>
            <w:r w:rsidRPr="00942781">
              <w:t xml:space="preserve">Where has prior and future learning across the year level/band been reflected in the plan? </w:t>
            </w:r>
          </w:p>
          <w:p w14:paraId="62D03D51" w14:textId="77777777" w:rsidR="00ED04FE" w:rsidRPr="00942781" w:rsidRDefault="00ED04FE" w:rsidP="00ED04FE">
            <w:pPr>
              <w:pStyle w:val="TableBullet"/>
              <w:numPr>
                <w:ilvl w:val="0"/>
                <w:numId w:val="4"/>
              </w:numPr>
              <w:tabs>
                <w:tab w:val="clear" w:pos="284"/>
              </w:tabs>
              <w:ind w:left="170" w:hanging="170"/>
            </w:pPr>
            <w:r w:rsidRPr="00942781">
              <w:t>Are there adequate opportunities for students to develop depth of conceptual understanding and sophistication of skills across the year level/band?</w:t>
            </w:r>
          </w:p>
          <w:p w14:paraId="69CD46DB" w14:textId="77777777" w:rsidR="00ED04FE" w:rsidRPr="00942781" w:rsidRDefault="00ED04FE" w:rsidP="00ED04FE">
            <w:pPr>
              <w:pStyle w:val="TableBullet"/>
              <w:numPr>
                <w:ilvl w:val="0"/>
                <w:numId w:val="4"/>
              </w:numPr>
              <w:tabs>
                <w:tab w:val="clear" w:pos="284"/>
              </w:tabs>
              <w:ind w:left="170" w:hanging="170"/>
            </w:pPr>
            <w:r w:rsidRPr="00942781">
              <w:t>Does the plan ensure adequate opportunities for students to demonstrate the achievement standard/s by the end of the year level/band?</w:t>
            </w:r>
          </w:p>
          <w:p w14:paraId="0324381F" w14:textId="2A828419" w:rsidR="00ED04FE" w:rsidRDefault="00ED04FE" w:rsidP="00ED04FE">
            <w:pPr>
              <w:pStyle w:val="TableBullet"/>
              <w:numPr>
                <w:ilvl w:val="0"/>
                <w:numId w:val="4"/>
              </w:numPr>
              <w:tabs>
                <w:tab w:val="clear" w:pos="284"/>
              </w:tabs>
              <w:ind w:left="170" w:hanging="170"/>
            </w:pPr>
            <w:r w:rsidRPr="00942781">
              <w:t>Are the timing and demands of the planned assessment appropriate in relation to assessment of other learning areas and subjects taught in this year?</w:t>
            </w:r>
          </w:p>
          <w:p w14:paraId="6C126DE6" w14:textId="44889717" w:rsidR="00801B73" w:rsidRPr="00942781" w:rsidRDefault="00801B73" w:rsidP="00801B73">
            <w:pPr>
              <w:pStyle w:val="TableBullet"/>
              <w:numPr>
                <w:ilvl w:val="0"/>
                <w:numId w:val="4"/>
              </w:numPr>
              <w:tabs>
                <w:tab w:val="clear" w:pos="284"/>
              </w:tabs>
              <w:ind w:left="170" w:hanging="170"/>
            </w:pPr>
            <w:r>
              <w:t xml:space="preserve">Are there any Indigenous cultural and intellectual property (ICIP) rights to consider? For guidance, see </w:t>
            </w:r>
            <w:hyperlink r:id="rId15" w:history="1">
              <w:r>
                <w:rPr>
                  <w:rStyle w:val="Hyperlink"/>
                </w:rPr>
                <w:t>https://smartcopying.edu.au/guidelines/copyright-basics/indigenous-cultural-and-intellectual-property-rights</w:t>
              </w:r>
            </w:hyperlink>
            <w:r>
              <w:t xml:space="preserve">. </w:t>
            </w:r>
          </w:p>
          <w:p w14:paraId="1F89BAB5" w14:textId="77777777" w:rsidR="00ED04FE" w:rsidRPr="00942781" w:rsidRDefault="00ED04FE" w:rsidP="00ED04FE">
            <w:pPr>
              <w:pStyle w:val="TableBullet"/>
              <w:numPr>
                <w:ilvl w:val="0"/>
                <w:numId w:val="4"/>
              </w:numPr>
              <w:tabs>
                <w:tab w:val="clear" w:pos="284"/>
              </w:tabs>
              <w:ind w:left="170" w:hanging="170"/>
            </w:pPr>
            <w:r w:rsidRPr="00942781">
              <w:t>Do the assessment techniques and conditions offer a range and balance across the year/band? What strategies for authentication are included?</w:t>
            </w:r>
          </w:p>
          <w:p w14:paraId="01CC6323" w14:textId="77777777" w:rsidR="00ED04FE" w:rsidRPr="00942781" w:rsidRDefault="00ED04FE" w:rsidP="00ED04FE">
            <w:pPr>
              <w:pStyle w:val="TableBullet"/>
              <w:numPr>
                <w:ilvl w:val="0"/>
                <w:numId w:val="4"/>
              </w:numPr>
              <w:tabs>
                <w:tab w:val="clear" w:pos="284"/>
              </w:tabs>
              <w:ind w:left="170" w:hanging="170"/>
            </w:pPr>
            <w:r w:rsidRPr="00942781">
              <w:t>What moderation processes will be used? When will assessment and moderation occur?</w:t>
            </w:r>
          </w:p>
          <w:p w14:paraId="1903F4BB" w14:textId="2F05FED3" w:rsidR="00ED04FE" w:rsidRPr="00942781" w:rsidRDefault="00ED04FE" w:rsidP="00ED04FE">
            <w:pPr>
              <w:pStyle w:val="TableBullet"/>
              <w:numPr>
                <w:ilvl w:val="0"/>
                <w:numId w:val="4"/>
              </w:numPr>
              <w:tabs>
                <w:tab w:val="clear" w:pos="284"/>
              </w:tabs>
              <w:ind w:left="170" w:hanging="170"/>
            </w:pPr>
            <w:r w:rsidRPr="00942781">
              <w:t>Is the planned teaching, learning and assessment sequence appropriate for reporting purposes?</w:t>
            </w:r>
          </w:p>
          <w:p w14:paraId="47D07A8F" w14:textId="77777777" w:rsidR="00ED04FE" w:rsidRPr="00942781" w:rsidRDefault="00ED04FE" w:rsidP="00ED04FE">
            <w:pPr>
              <w:pStyle w:val="TableBullet"/>
              <w:numPr>
                <w:ilvl w:val="0"/>
                <w:numId w:val="4"/>
              </w:numPr>
              <w:tabs>
                <w:tab w:val="clear" w:pos="284"/>
              </w:tabs>
              <w:ind w:left="170" w:hanging="170"/>
            </w:pPr>
            <w:r w:rsidRPr="00942781">
              <w:t xml:space="preserve">Do strategies for differentiation and reasonable adjustments complement the teaching, learning and assessment sequence? </w:t>
            </w:r>
          </w:p>
          <w:p w14:paraId="23FA9B83" w14:textId="77777777" w:rsidR="002D3109" w:rsidRPr="00ED04FE" w:rsidRDefault="00ED04FE" w:rsidP="00ED04FE">
            <w:pPr>
              <w:pStyle w:val="TableBullet"/>
              <w:numPr>
                <w:ilvl w:val="0"/>
                <w:numId w:val="4"/>
              </w:numPr>
              <w:tabs>
                <w:tab w:val="clear" w:pos="284"/>
              </w:tabs>
              <w:ind w:left="170" w:hanging="170"/>
            </w:pPr>
            <w:r w:rsidRPr="00942781">
              <w:t>How will planned strategies for differentiation and reasonable adjustments impact other year level/band plans?</w:t>
            </w:r>
          </w:p>
        </w:tc>
      </w:tr>
      <w:tr w:rsidR="002D3109" w14:paraId="205F8A15" w14:textId="77777777" w:rsidTr="004725E5">
        <w:tc>
          <w:tcPr>
            <w:tcW w:w="5000" w:type="pct"/>
          </w:tcPr>
          <w:p w14:paraId="312AF1F6" w14:textId="77777777" w:rsidR="00ED04FE" w:rsidRDefault="00ED04FE" w:rsidP="00ED04FE">
            <w:pPr>
              <w:pStyle w:val="TableBullet"/>
              <w:numPr>
                <w:ilvl w:val="0"/>
                <w:numId w:val="0"/>
              </w:numPr>
              <w:ind w:left="170" w:hanging="170"/>
            </w:pPr>
            <w:r>
              <w:t>Following implementation, the teaching team will consider questions such as:</w:t>
            </w:r>
          </w:p>
          <w:p w14:paraId="57914135" w14:textId="77777777" w:rsidR="00ED04FE" w:rsidRPr="00942781" w:rsidRDefault="00ED04FE" w:rsidP="00ED04FE">
            <w:pPr>
              <w:pStyle w:val="TableBullet"/>
              <w:numPr>
                <w:ilvl w:val="0"/>
                <w:numId w:val="4"/>
              </w:numPr>
              <w:tabs>
                <w:tab w:val="clear" w:pos="284"/>
              </w:tabs>
              <w:ind w:left="170" w:hanging="170"/>
            </w:pPr>
            <w:r w:rsidRPr="00942781">
              <w:t>Was the teaching, learning and assessment effective?</w:t>
            </w:r>
          </w:p>
          <w:p w14:paraId="7A7F7C18" w14:textId="77777777" w:rsidR="00ED04FE" w:rsidRPr="00942781" w:rsidRDefault="00ED04FE" w:rsidP="00ED04FE">
            <w:pPr>
              <w:pStyle w:val="TableBullet"/>
              <w:numPr>
                <w:ilvl w:val="0"/>
                <w:numId w:val="4"/>
              </w:numPr>
              <w:tabs>
                <w:tab w:val="clear" w:pos="284"/>
              </w:tabs>
              <w:ind w:left="170" w:hanging="170"/>
            </w:pPr>
            <w:r w:rsidRPr="00942781">
              <w:t>Are there opportunities to improve the effectiveness of the teaching, learning and assessment? If so, what?</w:t>
            </w:r>
          </w:p>
          <w:p w14:paraId="07C8AFDD" w14:textId="77777777" w:rsidR="00ED04FE" w:rsidRPr="00942781" w:rsidRDefault="00ED04FE" w:rsidP="00ED04FE">
            <w:pPr>
              <w:pStyle w:val="TableBullet"/>
              <w:numPr>
                <w:ilvl w:val="0"/>
                <w:numId w:val="4"/>
              </w:numPr>
              <w:tabs>
                <w:tab w:val="clear" w:pos="284"/>
              </w:tabs>
              <w:ind w:left="170" w:hanging="170"/>
            </w:pPr>
            <w:r w:rsidRPr="00942781">
              <w:t>Were there any common student misconceptions that need, or needed, to be clarified?</w:t>
            </w:r>
          </w:p>
          <w:p w14:paraId="390F709A" w14:textId="77777777" w:rsidR="002D3109" w:rsidRPr="00CD2F6D" w:rsidRDefault="00ED04FE" w:rsidP="004725E5">
            <w:pPr>
              <w:pStyle w:val="TableBullet"/>
              <w:numPr>
                <w:ilvl w:val="0"/>
                <w:numId w:val="4"/>
              </w:numPr>
              <w:tabs>
                <w:tab w:val="clear" w:pos="284"/>
              </w:tabs>
              <w:ind w:left="170" w:hanging="170"/>
            </w:pPr>
            <w:r w:rsidRPr="00942781">
              <w:t>How do student outcomes in this year of learning impact on the planning of subsequent year level/band plans?</w:t>
            </w:r>
          </w:p>
        </w:tc>
      </w:tr>
    </w:tbl>
    <w:p w14:paraId="34050B72" w14:textId="77777777" w:rsidR="00D94E4F" w:rsidRPr="00D94E4F" w:rsidRDefault="00D94E4F" w:rsidP="00333DEC">
      <w:pPr>
        <w:pStyle w:val="BodyText"/>
        <w:spacing w:before="480"/>
      </w:pPr>
      <w:r w:rsidRPr="00D94E4F">
        <w:rPr>
          <w:noProof/>
        </w:rPr>
        <w:drawing>
          <wp:inline distT="0" distB="0" distL="0" distR="0" wp14:anchorId="744FE7B1" wp14:editId="38785841">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93C640B3E1E4CD19960F97891375C6E"/>
          </w:placeholder>
        </w:sdtPr>
        <w:sdtEndPr/>
        <w:sdtContent>
          <w:r w:rsidR="00ED04FE">
            <w:t>2021</w:t>
          </w:r>
        </w:sdtContent>
      </w:sdt>
    </w:p>
    <w:bookmarkEnd w:id="2"/>
    <w:p w14:paraId="2D42BCC0" w14:textId="235AAB11" w:rsidR="00D94E4F" w:rsidRPr="0025352C"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10A2B3457D54430B8B30309F79203235"/>
          </w:placeholder>
          <w:dataBinding w:prefixMappings="xmlns:ns0='http://QCAA.qld.edu.au' " w:xpath="/ns0:QCAA[1]/ns0:DocumentTitle[1]" w:storeItemID="{029BFAC3-A859-40E3-910E-708531540F3D}"/>
          <w:text/>
        </w:sdtPr>
        <w:sdtEndPr/>
        <w:sdtContent>
          <w:r w:rsidR="00E86F6F">
            <w:rPr>
              <w:b/>
              <w:bCs/>
            </w:rPr>
            <w:t>Year 10 History curriculum and assessment plan</w:t>
          </w:r>
        </w:sdtContent>
      </w:sdt>
      <w:r>
        <w:rPr>
          <w:b/>
        </w:rPr>
        <w:t xml:space="preserve"> template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9" w:history="1">
        <w:r>
          <w:rPr>
            <w:color w:val="0000FF"/>
          </w:rPr>
          <w:t>https://creativecommons.org/licenses/by/4.0</w:t>
        </w:r>
      </w:hyperlink>
      <w:r w:rsidR="0025352C">
        <w:t>. E</w:t>
      </w:r>
      <w:r w:rsidR="0089217D">
        <w:t>xtracts</w:t>
      </w:r>
      <w:r>
        <w:t xml:space="preserve"> from the Australian Curriculum are licensed as follows: </w:t>
      </w:r>
      <w:r w:rsidRPr="00A30FD9">
        <w:rPr>
          <w:shd w:val="clear" w:color="auto" w:fill="F7F7F7"/>
        </w:rPr>
        <w:t>© ACARA 2010–2019, licensed under</w:t>
      </w:r>
      <w:r w:rsidRPr="00A30FD9">
        <w:rPr>
          <w:rStyle w:val="Strong"/>
          <w:rFonts w:cstheme="minorHAnsi"/>
          <w:szCs w:val="18"/>
        </w:rPr>
        <w:t> </w:t>
      </w:r>
      <w:hyperlink r:id="rId20"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1"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2"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sectPr w:rsidR="00D94E4F" w:rsidRPr="0025352C" w:rsidSect="000C1CBA">
      <w:footerReference w:type="default" r:id="rId2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B125C" w14:textId="77777777" w:rsidR="00D85D64" w:rsidRDefault="00D85D64" w:rsidP="00185154">
      <w:r>
        <w:separator/>
      </w:r>
    </w:p>
    <w:p w14:paraId="68BBFD3B" w14:textId="77777777" w:rsidR="00D85D64" w:rsidRDefault="00D85D64"/>
    <w:p w14:paraId="0EEEA7EA" w14:textId="77777777" w:rsidR="00D85D64" w:rsidRDefault="00D85D64"/>
  </w:endnote>
  <w:endnote w:type="continuationSeparator" w:id="0">
    <w:p w14:paraId="155AA3F0" w14:textId="77777777" w:rsidR="00D85D64" w:rsidRDefault="00D85D64" w:rsidP="00185154">
      <w:r>
        <w:continuationSeparator/>
      </w:r>
    </w:p>
    <w:p w14:paraId="514FF3F2" w14:textId="77777777" w:rsidR="00D85D64" w:rsidRDefault="00D85D64"/>
    <w:p w14:paraId="034E68E1" w14:textId="77777777" w:rsidR="00D85D64" w:rsidRDefault="00D85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0051C9" w:rsidRPr="00454DE4" w14:paraId="24789A14" w14:textId="77777777" w:rsidTr="00FA5661">
      <w:trPr>
        <w:cantSplit/>
        <w:trHeight w:val="964"/>
      </w:trPr>
      <w:tc>
        <w:tcPr>
          <w:tcW w:w="22988" w:type="dxa"/>
          <w:vAlign w:val="bottom"/>
          <w:hideMark/>
        </w:tcPr>
        <w:p w14:paraId="09E2B83E" w14:textId="77777777" w:rsidR="000051C9" w:rsidRPr="00454DE4" w:rsidRDefault="000051C9" w:rsidP="00E15D6B">
          <w:pPr>
            <w:spacing w:after="220" w:line="264" w:lineRule="auto"/>
            <w:jc w:val="right"/>
            <w:rPr>
              <w:rFonts w:eastAsia="Times New Roman"/>
              <w:color w:val="808080"/>
              <w:sz w:val="10"/>
              <w:szCs w:val="10"/>
            </w:rPr>
          </w:pPr>
          <w:r>
            <w:rPr>
              <w:noProof/>
            </w:rPr>
            <w:drawing>
              <wp:inline distT="0" distB="0" distL="0" distR="0" wp14:anchorId="5D19523C" wp14:editId="2F749E6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59C2E283" w14:textId="77777777" w:rsidR="000051C9" w:rsidRPr="00454DE4" w:rsidRDefault="005E4A31"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051C9">
                <w:rPr>
                  <w:rFonts w:eastAsia="Times New Roman"/>
                  <w:color w:val="808080"/>
                  <w:sz w:val="10"/>
                  <w:szCs w:val="10"/>
                </w:rPr>
                <w:t>210140</w:t>
              </w:r>
            </w:sdtContent>
          </w:sdt>
        </w:p>
      </w:tc>
    </w:tr>
    <w:tr w:rsidR="000051C9" w:rsidRPr="00454DE4" w14:paraId="56F3BB76" w14:textId="77777777" w:rsidTr="00FA5661">
      <w:trPr>
        <w:trHeight w:val="227"/>
      </w:trPr>
      <w:tc>
        <w:tcPr>
          <w:tcW w:w="23244" w:type="dxa"/>
          <w:gridSpan w:val="2"/>
          <w:vAlign w:val="center"/>
        </w:tcPr>
        <w:p w14:paraId="41BBA69D" w14:textId="77777777" w:rsidR="000051C9" w:rsidRPr="00454DE4" w:rsidRDefault="000051C9" w:rsidP="00454DE4">
          <w:pPr>
            <w:tabs>
              <w:tab w:val="right" w:pos="9639"/>
            </w:tabs>
            <w:spacing w:line="264" w:lineRule="auto"/>
            <w:jc w:val="center"/>
            <w:rPr>
              <w:b/>
              <w:color w:val="1E1E1E"/>
              <w:sz w:val="16"/>
            </w:rPr>
          </w:pPr>
        </w:p>
      </w:tc>
    </w:tr>
  </w:tbl>
  <w:p w14:paraId="5F6B8352" w14:textId="77777777" w:rsidR="000051C9" w:rsidRPr="00454DE4" w:rsidRDefault="000051C9" w:rsidP="00454DE4">
    <w:pPr>
      <w:rPr>
        <w:rFonts w:ascii="Arial" w:eastAsia="Arial" w:hAnsi="Arial" w:cs="Times New Roman"/>
      </w:rPr>
    </w:pPr>
    <w:r>
      <w:rPr>
        <w:rFonts w:ascii="Arial" w:eastAsia="Arial" w:hAnsi="Arial" w:cs="Times New Roman"/>
        <w:noProof/>
      </w:rPr>
      <w:drawing>
        <wp:anchor distT="0" distB="0" distL="114300" distR="114300" simplePos="0" relativeHeight="251657728" behindDoc="1" locked="0" layoutInCell="1" allowOverlap="1" wp14:anchorId="27EE2173" wp14:editId="7586038E">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0051C9" w:rsidRPr="00C9759C" w14:paraId="10BD42AA" w14:textId="77777777" w:rsidTr="00C9759C">
      <w:trPr>
        <w:cantSplit/>
        <w:trHeight w:val="856"/>
      </w:trPr>
      <w:tc>
        <w:tcPr>
          <w:tcW w:w="4530" w:type="dxa"/>
        </w:tcPr>
        <w:p w14:paraId="3643480A" w14:textId="77777777" w:rsidR="000051C9" w:rsidRDefault="000051C9" w:rsidP="00346472">
          <w:pPr>
            <w:pStyle w:val="Footer"/>
            <w:rPr>
              <w:b w:val="0"/>
              <w:color w:val="6F7378"/>
              <w:sz w:val="10"/>
              <w:szCs w:val="10"/>
            </w:rPr>
          </w:pPr>
        </w:p>
      </w:tc>
      <w:tc>
        <w:tcPr>
          <w:tcW w:w="5676" w:type="dxa"/>
          <w:shd w:val="clear" w:color="auto" w:fill="auto"/>
          <w:textDirection w:val="btLr"/>
          <w:vAlign w:val="bottom"/>
        </w:tcPr>
        <w:p w14:paraId="4E2F8990" w14:textId="77777777" w:rsidR="000051C9" w:rsidRPr="00C9759C" w:rsidRDefault="000051C9" w:rsidP="00C9759C">
          <w:pPr>
            <w:pStyle w:val="Jobnumber"/>
          </w:pPr>
          <w:r w:rsidRPr="00C9759C">
            <w:sym w:font="Wingdings" w:char="F06E"/>
          </w:r>
          <w:r w:rsidRPr="00C9759C">
            <w:t xml:space="preserve"> </w:t>
          </w:r>
          <w:sdt>
            <w:sdtPr>
              <w:alias w:val="Job No."/>
              <w:tag w:val="Category"/>
              <w:id w:val="-1470814945"/>
              <w:placeholder>
                <w:docPart w:val="10249618680E426A92428A13E4E5DA88"/>
              </w:placeholder>
              <w:dataBinding w:prefixMappings="xmlns:ns0='http://purl.org/dc/elements/1.1/' xmlns:ns1='http://schemas.openxmlformats.org/package/2006/metadata/core-properties' " w:xpath="/ns1:coreProperties[1]/ns1:category[1]" w:storeItemID="{6C3C8BC8-F283-45AE-878A-BAB7291924A1}"/>
              <w:text/>
            </w:sdtPr>
            <w:sdtEndPr/>
            <w:sdtContent>
              <w:r>
                <w:t>210140</w:t>
              </w:r>
            </w:sdtContent>
          </w:sdt>
        </w:p>
      </w:tc>
    </w:tr>
    <w:tr w:rsidR="000051C9" w14:paraId="21AF8D56" w14:textId="77777777" w:rsidTr="00346472">
      <w:trPr>
        <w:trHeight w:val="532"/>
      </w:trPr>
      <w:tc>
        <w:tcPr>
          <w:tcW w:w="4530" w:type="dxa"/>
        </w:tcPr>
        <w:p w14:paraId="47B33612" w14:textId="77777777" w:rsidR="000051C9" w:rsidRDefault="000051C9" w:rsidP="00346472">
          <w:pPr>
            <w:pStyle w:val="Footer"/>
            <w:rPr>
              <w:b w:val="0"/>
              <w:color w:val="6F7378"/>
              <w:sz w:val="10"/>
              <w:szCs w:val="10"/>
            </w:rPr>
          </w:pPr>
        </w:p>
      </w:tc>
      <w:tc>
        <w:tcPr>
          <w:tcW w:w="5676" w:type="dxa"/>
        </w:tcPr>
        <w:p w14:paraId="412E20DD" w14:textId="77777777" w:rsidR="000051C9" w:rsidRDefault="000051C9" w:rsidP="00346472">
          <w:pPr>
            <w:pStyle w:val="Footer"/>
            <w:rPr>
              <w:b w:val="0"/>
              <w:color w:val="6F7378"/>
              <w:sz w:val="10"/>
              <w:szCs w:val="10"/>
            </w:rPr>
          </w:pPr>
        </w:p>
      </w:tc>
    </w:tr>
  </w:tbl>
  <w:p w14:paraId="66CDE7EB" w14:textId="77777777" w:rsidR="000051C9" w:rsidRPr="00346472" w:rsidRDefault="000051C9"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6704" behindDoc="1" locked="0" layoutInCell="1" allowOverlap="1" wp14:anchorId="31434311" wp14:editId="7C70ACFA">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0051C9" w14:paraId="4478431B" w14:textId="77777777" w:rsidTr="00AB33F6">
      <w:tc>
        <w:tcPr>
          <w:tcW w:w="2500" w:type="pct"/>
          <w:noWrap/>
          <w:hideMark/>
        </w:tcPr>
        <w:p w14:paraId="34E71707" w14:textId="77777777" w:rsidR="000051C9" w:rsidRPr="002E6121" w:rsidRDefault="005E4A31" w:rsidP="00B64090">
          <w:pPr>
            <w:pStyle w:val="Footer"/>
          </w:pPr>
          <w:sdt>
            <w:sdtPr>
              <w:alias w:val="Document Title"/>
              <w:tag w:val="DocumentTitle"/>
              <w:id w:val="-1800144886"/>
              <w:placeholder>
                <w:docPart w:val="02403032A37F4B2EAE52857D22C551B4"/>
              </w:placeholder>
              <w:dataBinding w:prefixMappings="xmlns:ns0='http://QCAA.qld.edu.au' " w:xpath="/ns0:QCAA[1]/ns0:DocumentTitle[1]" w:storeItemID="{029BFAC3-A859-40E3-910E-708531540F3D}"/>
              <w:text/>
            </w:sdtPr>
            <w:sdtEndPr/>
            <w:sdtContent>
              <w:r w:rsidR="000051C9">
                <w:t>Year 10 History curriculum and assessment plan</w:t>
              </w:r>
            </w:sdtContent>
          </w:sdt>
        </w:p>
        <w:sdt>
          <w:sdtPr>
            <w:alias w:val="Document Subtitle"/>
            <w:tag w:val="DocumentSubtitle"/>
            <w:id w:val="415823483"/>
            <w:placeholder>
              <w:docPart w:val="B1888D6008D04E9BAB347CA17970531E"/>
            </w:placeholder>
            <w:dataBinding w:prefixMappings="xmlns:ns0='http://QCAA.qld.edu.au' " w:xpath="/ns0:QCAA[1]/ns0:DocumentSubtitle[1]" w:storeItemID="{ECF99190-FDC9-4DC7-BF4D-418697363580}"/>
            <w:text/>
          </w:sdtPr>
          <w:sdtEndPr/>
          <w:sdtContent>
            <w:p w14:paraId="206B3BB1" w14:textId="77777777" w:rsidR="000051C9" w:rsidRPr="001C5273" w:rsidRDefault="000051C9" w:rsidP="001C5273">
              <w:pPr>
                <w:pStyle w:val="Footersubtitle"/>
                <w:rPr>
                  <w:iCs/>
                  <w:color w:val="auto"/>
                  <w:sz w:val="21"/>
                </w:rPr>
              </w:pPr>
              <w:r>
                <w:t>Example</w:t>
              </w:r>
            </w:p>
          </w:sdtContent>
        </w:sdt>
      </w:tc>
      <w:tc>
        <w:tcPr>
          <w:tcW w:w="2500" w:type="pct"/>
          <w:hideMark/>
        </w:tcPr>
        <w:p w14:paraId="4CDDA81A" w14:textId="77777777" w:rsidR="000051C9" w:rsidRDefault="000051C9" w:rsidP="00B64090">
          <w:pPr>
            <w:pStyle w:val="Footer"/>
            <w:jc w:val="right"/>
          </w:pPr>
          <w:r>
            <w:t>Queensland Curriculum &amp; Assessment Authority</w:t>
          </w:r>
        </w:p>
        <w:sdt>
          <w:sdtPr>
            <w:alias w:val="Publication Date"/>
            <w:tag w:val="DocumentDate"/>
            <w:id w:val="-1402664508"/>
            <w:placeholder>
              <w:docPart w:val="D7D09FFF81B14F80BA164BEA6212D9CD"/>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6E86CD20" w14:textId="5B58417C" w:rsidR="000051C9" w:rsidRDefault="005E4A31" w:rsidP="00B64090">
              <w:pPr>
                <w:pStyle w:val="Footersubtitle"/>
                <w:jc w:val="right"/>
              </w:pPr>
              <w:r>
                <w:t>October 2021</w:t>
              </w:r>
            </w:p>
          </w:sdtContent>
        </w:sdt>
      </w:tc>
    </w:tr>
    <w:tr w:rsidR="000051C9" w14:paraId="78EB97D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4B32DA9" w14:textId="77777777" w:rsidR="000051C9" w:rsidRDefault="000051C9"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5</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5</w:t>
              </w:r>
              <w:r>
                <w:rPr>
                  <w:b w:val="0"/>
                  <w:sz w:val="18"/>
                </w:rPr>
                <w:fldChar w:fldCharType="end"/>
              </w:r>
            </w:p>
          </w:sdtContent>
        </w:sdt>
      </w:tc>
    </w:tr>
  </w:tbl>
  <w:p w14:paraId="012CFF15" w14:textId="77777777" w:rsidR="000051C9" w:rsidRDefault="000051C9"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D4EB1" w14:textId="77777777" w:rsidR="00D85D64" w:rsidRPr="001B4733" w:rsidRDefault="00D85D64" w:rsidP="001B4733">
      <w:pPr>
        <w:rPr>
          <w:color w:val="D52B1E" w:themeColor="text2"/>
        </w:rPr>
      </w:pPr>
      <w:r w:rsidRPr="001B4733">
        <w:rPr>
          <w:color w:val="D52B1E" w:themeColor="text2"/>
        </w:rPr>
        <w:continuationSeparator/>
      </w:r>
    </w:p>
    <w:p w14:paraId="2B60A97A" w14:textId="77777777" w:rsidR="00D85D64" w:rsidRPr="001B4733" w:rsidRDefault="00D85D64">
      <w:pPr>
        <w:rPr>
          <w:sz w:val="4"/>
          <w:szCs w:val="4"/>
        </w:rPr>
      </w:pPr>
    </w:p>
  </w:footnote>
  <w:footnote w:type="continuationSeparator" w:id="0">
    <w:p w14:paraId="179C3B9F" w14:textId="77777777" w:rsidR="00D85D64" w:rsidRPr="001B4733" w:rsidRDefault="00D85D64" w:rsidP="00185154">
      <w:pPr>
        <w:rPr>
          <w:color w:val="D52B1E" w:themeColor="text2"/>
        </w:rPr>
      </w:pPr>
      <w:r w:rsidRPr="001B4733">
        <w:rPr>
          <w:color w:val="D52B1E" w:themeColor="text2"/>
        </w:rPr>
        <w:continuationSeparator/>
      </w:r>
    </w:p>
    <w:p w14:paraId="5FA7F809" w14:textId="77777777" w:rsidR="00D85D64" w:rsidRPr="001B4733" w:rsidRDefault="00D85D64">
      <w:pPr>
        <w:rPr>
          <w:sz w:val="4"/>
          <w:szCs w:val="4"/>
        </w:rPr>
      </w:pPr>
    </w:p>
  </w:footnote>
  <w:footnote w:type="continuationNotice" w:id="1">
    <w:p w14:paraId="309CD925" w14:textId="77777777" w:rsidR="00D85D64" w:rsidRPr="001B4733" w:rsidRDefault="00D85D64">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2A0A72"/>
    <w:multiLevelType w:val="hybridMultilevel"/>
    <w:tmpl w:val="EBE0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7EF135B"/>
    <w:multiLevelType w:val="hybridMultilevel"/>
    <w:tmpl w:val="9C16A4B8"/>
    <w:lvl w:ilvl="0" w:tplc="6D5CF4D2">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F0A34"/>
    <w:multiLevelType w:val="hybridMultilevel"/>
    <w:tmpl w:val="D7569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7D93918"/>
    <w:multiLevelType w:val="hybridMultilevel"/>
    <w:tmpl w:val="1E2CD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20"/>
  </w:num>
  <w:num w:numId="2">
    <w:abstractNumId w:val="3"/>
  </w:num>
  <w:num w:numId="3">
    <w:abstractNumId w:val="0"/>
  </w:num>
  <w:num w:numId="4">
    <w:abstractNumId w:val="8"/>
  </w:num>
  <w:num w:numId="5">
    <w:abstractNumId w:val="6"/>
  </w:num>
  <w:num w:numId="6">
    <w:abstractNumId w:val="9"/>
  </w:num>
  <w:num w:numId="7">
    <w:abstractNumId w:val="1"/>
  </w:num>
  <w:num w:numId="8">
    <w:abstractNumId w:val="10"/>
  </w:num>
  <w:num w:numId="9">
    <w:abstractNumId w:val="18"/>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5"/>
  </w:num>
  <w:num w:numId="15">
    <w:abstractNumId w:val="15"/>
  </w:num>
  <w:num w:numId="16">
    <w:abstractNumId w:val="4"/>
  </w:num>
  <w:num w:numId="17">
    <w:abstractNumId w:val="0"/>
  </w:num>
  <w:num w:numId="18">
    <w:abstractNumId w:val="14"/>
  </w:num>
  <w:num w:numId="19">
    <w:abstractNumId w:val="8"/>
  </w:num>
  <w:num w:numId="20">
    <w:abstractNumId w:val="16"/>
  </w:num>
  <w:num w:numId="21">
    <w:abstractNumId w:val="6"/>
  </w:num>
  <w:num w:numId="22">
    <w:abstractNumId w:val="8"/>
  </w:num>
  <w:num w:numId="23">
    <w:abstractNumId w:val="11"/>
  </w:num>
  <w:num w:numId="24">
    <w:abstractNumId w:val="19"/>
  </w:num>
  <w:num w:numId="25">
    <w:abstractNumId w:val="12"/>
  </w:num>
  <w:num w:numId="26">
    <w:abstractNumId w:val="13"/>
  </w:num>
  <w:num w:numId="27">
    <w:abstractNumId w:val="7"/>
  </w:num>
  <w:num w:numId="2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attachedTemplate r:id="rId1"/>
  <w:defaultTabStop w:val="720"/>
  <w:doNotShadeFormData/>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6F"/>
    <w:rsid w:val="000048C9"/>
    <w:rsid w:val="00004CC6"/>
    <w:rsid w:val="000051C9"/>
    <w:rsid w:val="00006100"/>
    <w:rsid w:val="00006181"/>
    <w:rsid w:val="00010A6B"/>
    <w:rsid w:val="000120D7"/>
    <w:rsid w:val="00025175"/>
    <w:rsid w:val="00032946"/>
    <w:rsid w:val="00035427"/>
    <w:rsid w:val="00035A8C"/>
    <w:rsid w:val="00040A24"/>
    <w:rsid w:val="00041298"/>
    <w:rsid w:val="00043B2C"/>
    <w:rsid w:val="0004459E"/>
    <w:rsid w:val="00044C10"/>
    <w:rsid w:val="000463BF"/>
    <w:rsid w:val="0005003E"/>
    <w:rsid w:val="00050F57"/>
    <w:rsid w:val="00062C3E"/>
    <w:rsid w:val="00066432"/>
    <w:rsid w:val="000679B2"/>
    <w:rsid w:val="00071C7D"/>
    <w:rsid w:val="00076F97"/>
    <w:rsid w:val="00077F2D"/>
    <w:rsid w:val="0008460B"/>
    <w:rsid w:val="000870BB"/>
    <w:rsid w:val="000871A4"/>
    <w:rsid w:val="00087D93"/>
    <w:rsid w:val="00090A56"/>
    <w:rsid w:val="000A5461"/>
    <w:rsid w:val="000A658E"/>
    <w:rsid w:val="000B155D"/>
    <w:rsid w:val="000B3EBE"/>
    <w:rsid w:val="000B6FA1"/>
    <w:rsid w:val="000C008E"/>
    <w:rsid w:val="000C0C22"/>
    <w:rsid w:val="000C1CBA"/>
    <w:rsid w:val="000C1D1E"/>
    <w:rsid w:val="000C7DA6"/>
    <w:rsid w:val="000D0A76"/>
    <w:rsid w:val="000E1250"/>
    <w:rsid w:val="000E1BA8"/>
    <w:rsid w:val="000E6CFC"/>
    <w:rsid w:val="000F425C"/>
    <w:rsid w:val="000F4A35"/>
    <w:rsid w:val="0010405A"/>
    <w:rsid w:val="001063C6"/>
    <w:rsid w:val="00111674"/>
    <w:rsid w:val="0011346F"/>
    <w:rsid w:val="00115EC2"/>
    <w:rsid w:val="00117845"/>
    <w:rsid w:val="00117B97"/>
    <w:rsid w:val="00130F9E"/>
    <w:rsid w:val="0013218E"/>
    <w:rsid w:val="00136F3F"/>
    <w:rsid w:val="001437A5"/>
    <w:rsid w:val="00145CCD"/>
    <w:rsid w:val="0014766D"/>
    <w:rsid w:val="001505D8"/>
    <w:rsid w:val="00153713"/>
    <w:rsid w:val="00154790"/>
    <w:rsid w:val="00156423"/>
    <w:rsid w:val="001600E5"/>
    <w:rsid w:val="001605B8"/>
    <w:rsid w:val="0016106E"/>
    <w:rsid w:val="00161E6A"/>
    <w:rsid w:val="0016205A"/>
    <w:rsid w:val="00162196"/>
    <w:rsid w:val="00170F3B"/>
    <w:rsid w:val="001829A7"/>
    <w:rsid w:val="00185154"/>
    <w:rsid w:val="0019114D"/>
    <w:rsid w:val="001912AF"/>
    <w:rsid w:val="00194EA7"/>
    <w:rsid w:val="001A5839"/>
    <w:rsid w:val="001A5EEA"/>
    <w:rsid w:val="001A6BE8"/>
    <w:rsid w:val="001B1324"/>
    <w:rsid w:val="001B1D01"/>
    <w:rsid w:val="001B2C40"/>
    <w:rsid w:val="001B3BAE"/>
    <w:rsid w:val="001B4733"/>
    <w:rsid w:val="001B7623"/>
    <w:rsid w:val="001C5273"/>
    <w:rsid w:val="001E33A3"/>
    <w:rsid w:val="001F16CA"/>
    <w:rsid w:val="001F2AD3"/>
    <w:rsid w:val="001F6533"/>
    <w:rsid w:val="001F6AB0"/>
    <w:rsid w:val="0020646A"/>
    <w:rsid w:val="002078C1"/>
    <w:rsid w:val="002106C4"/>
    <w:rsid w:val="00210DEF"/>
    <w:rsid w:val="00211E11"/>
    <w:rsid w:val="00220FF4"/>
    <w:rsid w:val="00222215"/>
    <w:rsid w:val="0022393A"/>
    <w:rsid w:val="00233D81"/>
    <w:rsid w:val="00235DF1"/>
    <w:rsid w:val="002462D6"/>
    <w:rsid w:val="0025119D"/>
    <w:rsid w:val="00252201"/>
    <w:rsid w:val="0025352C"/>
    <w:rsid w:val="00254DD8"/>
    <w:rsid w:val="00256A64"/>
    <w:rsid w:val="00260CF9"/>
    <w:rsid w:val="00261E1A"/>
    <w:rsid w:val="002622E3"/>
    <w:rsid w:val="00266880"/>
    <w:rsid w:val="00266F69"/>
    <w:rsid w:val="002745E2"/>
    <w:rsid w:val="00275ED9"/>
    <w:rsid w:val="00277931"/>
    <w:rsid w:val="00285473"/>
    <w:rsid w:val="002867B5"/>
    <w:rsid w:val="002920B9"/>
    <w:rsid w:val="0029216D"/>
    <w:rsid w:val="00292DD8"/>
    <w:rsid w:val="002A0EAE"/>
    <w:rsid w:val="002A58E7"/>
    <w:rsid w:val="002B0A2E"/>
    <w:rsid w:val="002B0BB3"/>
    <w:rsid w:val="002B1D93"/>
    <w:rsid w:val="002B4003"/>
    <w:rsid w:val="002B5C1D"/>
    <w:rsid w:val="002C1D57"/>
    <w:rsid w:val="002C5098"/>
    <w:rsid w:val="002C5B1C"/>
    <w:rsid w:val="002D3109"/>
    <w:rsid w:val="002D41AC"/>
    <w:rsid w:val="002D41CE"/>
    <w:rsid w:val="002D4254"/>
    <w:rsid w:val="002D4E6E"/>
    <w:rsid w:val="002D6427"/>
    <w:rsid w:val="002D704B"/>
    <w:rsid w:val="002D750D"/>
    <w:rsid w:val="002D7769"/>
    <w:rsid w:val="002E42AB"/>
    <w:rsid w:val="002E47E9"/>
    <w:rsid w:val="002E5482"/>
    <w:rsid w:val="002E6121"/>
    <w:rsid w:val="002F2AA4"/>
    <w:rsid w:val="002F3243"/>
    <w:rsid w:val="002F4862"/>
    <w:rsid w:val="002F6AC7"/>
    <w:rsid w:val="002F6DFC"/>
    <w:rsid w:val="0030133C"/>
    <w:rsid w:val="00301893"/>
    <w:rsid w:val="00306525"/>
    <w:rsid w:val="00320635"/>
    <w:rsid w:val="00321176"/>
    <w:rsid w:val="00333DEC"/>
    <w:rsid w:val="00334A30"/>
    <w:rsid w:val="003374FB"/>
    <w:rsid w:val="003411DD"/>
    <w:rsid w:val="00344A05"/>
    <w:rsid w:val="00346472"/>
    <w:rsid w:val="00352324"/>
    <w:rsid w:val="00354055"/>
    <w:rsid w:val="003553D9"/>
    <w:rsid w:val="003611D6"/>
    <w:rsid w:val="003615B2"/>
    <w:rsid w:val="00361A32"/>
    <w:rsid w:val="003638DB"/>
    <w:rsid w:val="00367400"/>
    <w:rsid w:val="00367C13"/>
    <w:rsid w:val="0037398C"/>
    <w:rsid w:val="0037433D"/>
    <w:rsid w:val="0037618F"/>
    <w:rsid w:val="003839A1"/>
    <w:rsid w:val="003853C1"/>
    <w:rsid w:val="00391673"/>
    <w:rsid w:val="003932C2"/>
    <w:rsid w:val="0039510D"/>
    <w:rsid w:val="003A04C1"/>
    <w:rsid w:val="003A087E"/>
    <w:rsid w:val="003A08A5"/>
    <w:rsid w:val="003A2861"/>
    <w:rsid w:val="003A34CC"/>
    <w:rsid w:val="003B0945"/>
    <w:rsid w:val="003B097F"/>
    <w:rsid w:val="003B1166"/>
    <w:rsid w:val="003B3981"/>
    <w:rsid w:val="003B4DCF"/>
    <w:rsid w:val="003D3B71"/>
    <w:rsid w:val="003D56AF"/>
    <w:rsid w:val="003E1167"/>
    <w:rsid w:val="003E1EF3"/>
    <w:rsid w:val="003E5319"/>
    <w:rsid w:val="003F150D"/>
    <w:rsid w:val="003F2E6E"/>
    <w:rsid w:val="0040339E"/>
    <w:rsid w:val="00404615"/>
    <w:rsid w:val="00407776"/>
    <w:rsid w:val="00410047"/>
    <w:rsid w:val="00412450"/>
    <w:rsid w:val="00413C60"/>
    <w:rsid w:val="004178B4"/>
    <w:rsid w:val="00417A46"/>
    <w:rsid w:val="004201A4"/>
    <w:rsid w:val="0042391F"/>
    <w:rsid w:val="0042690D"/>
    <w:rsid w:val="00427353"/>
    <w:rsid w:val="0043564D"/>
    <w:rsid w:val="0043628A"/>
    <w:rsid w:val="004373A0"/>
    <w:rsid w:val="0044272C"/>
    <w:rsid w:val="00444AE6"/>
    <w:rsid w:val="004478FD"/>
    <w:rsid w:val="00450F91"/>
    <w:rsid w:val="00454DE4"/>
    <w:rsid w:val="0046435A"/>
    <w:rsid w:val="00465768"/>
    <w:rsid w:val="00465D0B"/>
    <w:rsid w:val="004672C6"/>
    <w:rsid w:val="004700B3"/>
    <w:rsid w:val="004701D5"/>
    <w:rsid w:val="004709CC"/>
    <w:rsid w:val="004715A6"/>
    <w:rsid w:val="00471634"/>
    <w:rsid w:val="004725E5"/>
    <w:rsid w:val="00474EFB"/>
    <w:rsid w:val="00475EFD"/>
    <w:rsid w:val="00475F8A"/>
    <w:rsid w:val="00480418"/>
    <w:rsid w:val="00491C59"/>
    <w:rsid w:val="004A3891"/>
    <w:rsid w:val="004A715D"/>
    <w:rsid w:val="004B2EA9"/>
    <w:rsid w:val="004B7DAE"/>
    <w:rsid w:val="004C3793"/>
    <w:rsid w:val="004C553B"/>
    <w:rsid w:val="004C6139"/>
    <w:rsid w:val="004D25B4"/>
    <w:rsid w:val="004D7E14"/>
    <w:rsid w:val="004E06A8"/>
    <w:rsid w:val="004E4A29"/>
    <w:rsid w:val="004E79A4"/>
    <w:rsid w:val="004F0760"/>
    <w:rsid w:val="004F2A3C"/>
    <w:rsid w:val="004F3D6F"/>
    <w:rsid w:val="0050345B"/>
    <w:rsid w:val="00504F96"/>
    <w:rsid w:val="0051056D"/>
    <w:rsid w:val="005124C4"/>
    <w:rsid w:val="0051359C"/>
    <w:rsid w:val="00514B86"/>
    <w:rsid w:val="00514D1D"/>
    <w:rsid w:val="005172CD"/>
    <w:rsid w:val="00526F36"/>
    <w:rsid w:val="005277CA"/>
    <w:rsid w:val="005317FB"/>
    <w:rsid w:val="00532847"/>
    <w:rsid w:val="005331C9"/>
    <w:rsid w:val="0055219D"/>
    <w:rsid w:val="0055353F"/>
    <w:rsid w:val="0055614A"/>
    <w:rsid w:val="00563598"/>
    <w:rsid w:val="0056633F"/>
    <w:rsid w:val="005666AD"/>
    <w:rsid w:val="005713E5"/>
    <w:rsid w:val="00571C6C"/>
    <w:rsid w:val="00573359"/>
    <w:rsid w:val="00581142"/>
    <w:rsid w:val="00585E67"/>
    <w:rsid w:val="00587E1F"/>
    <w:rsid w:val="00591149"/>
    <w:rsid w:val="00593846"/>
    <w:rsid w:val="005968C0"/>
    <w:rsid w:val="005A2D98"/>
    <w:rsid w:val="005A435A"/>
    <w:rsid w:val="005B0C40"/>
    <w:rsid w:val="005C015D"/>
    <w:rsid w:val="005C143C"/>
    <w:rsid w:val="005C380A"/>
    <w:rsid w:val="005C3A2B"/>
    <w:rsid w:val="005D620B"/>
    <w:rsid w:val="005E259B"/>
    <w:rsid w:val="005E4A31"/>
    <w:rsid w:val="005E52DE"/>
    <w:rsid w:val="005E60DA"/>
    <w:rsid w:val="005F3D12"/>
    <w:rsid w:val="005F3E49"/>
    <w:rsid w:val="006025ED"/>
    <w:rsid w:val="0061089F"/>
    <w:rsid w:val="00616EC2"/>
    <w:rsid w:val="00620553"/>
    <w:rsid w:val="0062088B"/>
    <w:rsid w:val="00623151"/>
    <w:rsid w:val="006257AB"/>
    <w:rsid w:val="00632A72"/>
    <w:rsid w:val="00633235"/>
    <w:rsid w:val="00636FB7"/>
    <w:rsid w:val="00637763"/>
    <w:rsid w:val="00640B81"/>
    <w:rsid w:val="006421A2"/>
    <w:rsid w:val="0064613A"/>
    <w:rsid w:val="0065325A"/>
    <w:rsid w:val="00662671"/>
    <w:rsid w:val="006653B6"/>
    <w:rsid w:val="00674316"/>
    <w:rsid w:val="00675FE4"/>
    <w:rsid w:val="00676CE9"/>
    <w:rsid w:val="00677692"/>
    <w:rsid w:val="00677C0E"/>
    <w:rsid w:val="00684E74"/>
    <w:rsid w:val="006904F7"/>
    <w:rsid w:val="00693F61"/>
    <w:rsid w:val="006A1801"/>
    <w:rsid w:val="006A3946"/>
    <w:rsid w:val="006A527C"/>
    <w:rsid w:val="006B10A1"/>
    <w:rsid w:val="006B25CE"/>
    <w:rsid w:val="006B2B0F"/>
    <w:rsid w:val="006B4AAD"/>
    <w:rsid w:val="006B5819"/>
    <w:rsid w:val="006C23F9"/>
    <w:rsid w:val="006C4AA8"/>
    <w:rsid w:val="006C7178"/>
    <w:rsid w:val="006C792A"/>
    <w:rsid w:val="006D0305"/>
    <w:rsid w:val="006D045D"/>
    <w:rsid w:val="006D22C5"/>
    <w:rsid w:val="006D6EB6"/>
    <w:rsid w:val="006E58B1"/>
    <w:rsid w:val="006F281E"/>
    <w:rsid w:val="006F49F9"/>
    <w:rsid w:val="00706618"/>
    <w:rsid w:val="00710AD8"/>
    <w:rsid w:val="00712507"/>
    <w:rsid w:val="007157D5"/>
    <w:rsid w:val="00720BC3"/>
    <w:rsid w:val="007240E8"/>
    <w:rsid w:val="00724495"/>
    <w:rsid w:val="00724EFC"/>
    <w:rsid w:val="007268B0"/>
    <w:rsid w:val="007369E0"/>
    <w:rsid w:val="007375BC"/>
    <w:rsid w:val="00741647"/>
    <w:rsid w:val="00745BED"/>
    <w:rsid w:val="00747958"/>
    <w:rsid w:val="00750F13"/>
    <w:rsid w:val="007514FC"/>
    <w:rsid w:val="00753565"/>
    <w:rsid w:val="00761537"/>
    <w:rsid w:val="00762E95"/>
    <w:rsid w:val="00763CE8"/>
    <w:rsid w:val="007653B0"/>
    <w:rsid w:val="00770BF1"/>
    <w:rsid w:val="00774E81"/>
    <w:rsid w:val="00781CE1"/>
    <w:rsid w:val="00786D52"/>
    <w:rsid w:val="0079789A"/>
    <w:rsid w:val="007A170C"/>
    <w:rsid w:val="007A28B9"/>
    <w:rsid w:val="007A2B94"/>
    <w:rsid w:val="007A3F26"/>
    <w:rsid w:val="007A4C10"/>
    <w:rsid w:val="007A5213"/>
    <w:rsid w:val="007A5346"/>
    <w:rsid w:val="007B2797"/>
    <w:rsid w:val="007B4482"/>
    <w:rsid w:val="007C615D"/>
    <w:rsid w:val="007C7B06"/>
    <w:rsid w:val="007D6D64"/>
    <w:rsid w:val="007D79AE"/>
    <w:rsid w:val="007F218A"/>
    <w:rsid w:val="007F5EDE"/>
    <w:rsid w:val="007F79C4"/>
    <w:rsid w:val="00800B6F"/>
    <w:rsid w:val="00801B73"/>
    <w:rsid w:val="00803DA9"/>
    <w:rsid w:val="00810953"/>
    <w:rsid w:val="00810FD3"/>
    <w:rsid w:val="0081314F"/>
    <w:rsid w:val="00822503"/>
    <w:rsid w:val="00823078"/>
    <w:rsid w:val="00826EA4"/>
    <w:rsid w:val="00832B3D"/>
    <w:rsid w:val="00834EA4"/>
    <w:rsid w:val="00836DEB"/>
    <w:rsid w:val="00845732"/>
    <w:rsid w:val="00845B11"/>
    <w:rsid w:val="008572D9"/>
    <w:rsid w:val="00861E13"/>
    <w:rsid w:val="008623F9"/>
    <w:rsid w:val="008667B9"/>
    <w:rsid w:val="0086694F"/>
    <w:rsid w:val="0089021A"/>
    <w:rsid w:val="0089217D"/>
    <w:rsid w:val="00892496"/>
    <w:rsid w:val="0089505C"/>
    <w:rsid w:val="00895EB1"/>
    <w:rsid w:val="00896B19"/>
    <w:rsid w:val="00897665"/>
    <w:rsid w:val="008977D6"/>
    <w:rsid w:val="008A3AD9"/>
    <w:rsid w:val="008A6F22"/>
    <w:rsid w:val="008B3BBA"/>
    <w:rsid w:val="008B5D8F"/>
    <w:rsid w:val="008B7BB6"/>
    <w:rsid w:val="008C5910"/>
    <w:rsid w:val="008C5B56"/>
    <w:rsid w:val="008F0A18"/>
    <w:rsid w:val="008F377D"/>
    <w:rsid w:val="008F4E0B"/>
    <w:rsid w:val="008F52E7"/>
    <w:rsid w:val="008F53A0"/>
    <w:rsid w:val="00903472"/>
    <w:rsid w:val="00903B44"/>
    <w:rsid w:val="00907866"/>
    <w:rsid w:val="00907CE9"/>
    <w:rsid w:val="00915659"/>
    <w:rsid w:val="00917538"/>
    <w:rsid w:val="00927DFB"/>
    <w:rsid w:val="00936822"/>
    <w:rsid w:val="00940D8C"/>
    <w:rsid w:val="00943151"/>
    <w:rsid w:val="009449D2"/>
    <w:rsid w:val="00944F14"/>
    <w:rsid w:val="00945225"/>
    <w:rsid w:val="009453E1"/>
    <w:rsid w:val="009468D8"/>
    <w:rsid w:val="009571D7"/>
    <w:rsid w:val="00957FAB"/>
    <w:rsid w:val="0096050F"/>
    <w:rsid w:val="009613AC"/>
    <w:rsid w:val="0096253C"/>
    <w:rsid w:val="00965EC9"/>
    <w:rsid w:val="00966659"/>
    <w:rsid w:val="00971C3D"/>
    <w:rsid w:val="00974028"/>
    <w:rsid w:val="00987350"/>
    <w:rsid w:val="00997F35"/>
    <w:rsid w:val="009A199C"/>
    <w:rsid w:val="009A20E1"/>
    <w:rsid w:val="009A63ED"/>
    <w:rsid w:val="009A7C4D"/>
    <w:rsid w:val="009B1EFB"/>
    <w:rsid w:val="009B7B63"/>
    <w:rsid w:val="009B7C52"/>
    <w:rsid w:val="009C7DB2"/>
    <w:rsid w:val="009D23F7"/>
    <w:rsid w:val="009D30E3"/>
    <w:rsid w:val="009D417B"/>
    <w:rsid w:val="009D670A"/>
    <w:rsid w:val="009E48AE"/>
    <w:rsid w:val="009E4AB9"/>
    <w:rsid w:val="009F1794"/>
    <w:rsid w:val="009F47A9"/>
    <w:rsid w:val="009F6529"/>
    <w:rsid w:val="009F6CE7"/>
    <w:rsid w:val="00A000B9"/>
    <w:rsid w:val="00A07960"/>
    <w:rsid w:val="00A10005"/>
    <w:rsid w:val="00A128F7"/>
    <w:rsid w:val="00A27F13"/>
    <w:rsid w:val="00A32E8B"/>
    <w:rsid w:val="00A35615"/>
    <w:rsid w:val="00A35710"/>
    <w:rsid w:val="00A368C5"/>
    <w:rsid w:val="00A36C12"/>
    <w:rsid w:val="00A37108"/>
    <w:rsid w:val="00A41250"/>
    <w:rsid w:val="00A41D4E"/>
    <w:rsid w:val="00A44EAC"/>
    <w:rsid w:val="00A50A17"/>
    <w:rsid w:val="00A510A2"/>
    <w:rsid w:val="00A52A8F"/>
    <w:rsid w:val="00A55155"/>
    <w:rsid w:val="00A62E21"/>
    <w:rsid w:val="00A640FF"/>
    <w:rsid w:val="00A6799E"/>
    <w:rsid w:val="00A824C8"/>
    <w:rsid w:val="00A83349"/>
    <w:rsid w:val="00A83B38"/>
    <w:rsid w:val="00A86E60"/>
    <w:rsid w:val="00A870D5"/>
    <w:rsid w:val="00A96BDE"/>
    <w:rsid w:val="00AA4E2D"/>
    <w:rsid w:val="00AA6010"/>
    <w:rsid w:val="00AB33F6"/>
    <w:rsid w:val="00AB48D1"/>
    <w:rsid w:val="00AB580C"/>
    <w:rsid w:val="00AB5BEA"/>
    <w:rsid w:val="00AB7E56"/>
    <w:rsid w:val="00AD6EC2"/>
    <w:rsid w:val="00AD7576"/>
    <w:rsid w:val="00AE4C26"/>
    <w:rsid w:val="00AF2204"/>
    <w:rsid w:val="00AF6C56"/>
    <w:rsid w:val="00B0055B"/>
    <w:rsid w:val="00B012F3"/>
    <w:rsid w:val="00B0143C"/>
    <w:rsid w:val="00B0727F"/>
    <w:rsid w:val="00B1273F"/>
    <w:rsid w:val="00B17193"/>
    <w:rsid w:val="00B26BD8"/>
    <w:rsid w:val="00B30ECC"/>
    <w:rsid w:val="00B321B0"/>
    <w:rsid w:val="00B37A72"/>
    <w:rsid w:val="00B46268"/>
    <w:rsid w:val="00B53493"/>
    <w:rsid w:val="00B55D18"/>
    <w:rsid w:val="00B56CC8"/>
    <w:rsid w:val="00B6176B"/>
    <w:rsid w:val="00B64090"/>
    <w:rsid w:val="00B65281"/>
    <w:rsid w:val="00B65924"/>
    <w:rsid w:val="00B668FB"/>
    <w:rsid w:val="00B74D7D"/>
    <w:rsid w:val="00B76B8E"/>
    <w:rsid w:val="00B80FB7"/>
    <w:rsid w:val="00B819DD"/>
    <w:rsid w:val="00B844C9"/>
    <w:rsid w:val="00B9355E"/>
    <w:rsid w:val="00B9401D"/>
    <w:rsid w:val="00BA0A0D"/>
    <w:rsid w:val="00BA45AE"/>
    <w:rsid w:val="00BA4F4A"/>
    <w:rsid w:val="00BA66AD"/>
    <w:rsid w:val="00BB3EE1"/>
    <w:rsid w:val="00BC2DD3"/>
    <w:rsid w:val="00BC30EC"/>
    <w:rsid w:val="00BC5DF3"/>
    <w:rsid w:val="00BC67B1"/>
    <w:rsid w:val="00BD3360"/>
    <w:rsid w:val="00BD52CF"/>
    <w:rsid w:val="00BD7CF3"/>
    <w:rsid w:val="00BE0C7E"/>
    <w:rsid w:val="00BE16D4"/>
    <w:rsid w:val="00BE44C2"/>
    <w:rsid w:val="00BF20BD"/>
    <w:rsid w:val="00BF2C53"/>
    <w:rsid w:val="00BF3D10"/>
    <w:rsid w:val="00BF44E8"/>
    <w:rsid w:val="00BF7D0D"/>
    <w:rsid w:val="00C000C3"/>
    <w:rsid w:val="00C00F1C"/>
    <w:rsid w:val="00C019A4"/>
    <w:rsid w:val="00C02E60"/>
    <w:rsid w:val="00C10095"/>
    <w:rsid w:val="00C10953"/>
    <w:rsid w:val="00C1506F"/>
    <w:rsid w:val="00C1680B"/>
    <w:rsid w:val="00C240FD"/>
    <w:rsid w:val="00C24374"/>
    <w:rsid w:val="00C24AF0"/>
    <w:rsid w:val="00C27DD7"/>
    <w:rsid w:val="00C302EF"/>
    <w:rsid w:val="00C3343E"/>
    <w:rsid w:val="00C36A7E"/>
    <w:rsid w:val="00C40676"/>
    <w:rsid w:val="00C428D9"/>
    <w:rsid w:val="00C43E32"/>
    <w:rsid w:val="00C4641B"/>
    <w:rsid w:val="00C53907"/>
    <w:rsid w:val="00C6199A"/>
    <w:rsid w:val="00C62C70"/>
    <w:rsid w:val="00C63DD3"/>
    <w:rsid w:val="00C65BF0"/>
    <w:rsid w:val="00C71670"/>
    <w:rsid w:val="00C74C53"/>
    <w:rsid w:val="00C755AC"/>
    <w:rsid w:val="00C90A1C"/>
    <w:rsid w:val="00C941F0"/>
    <w:rsid w:val="00C97431"/>
    <w:rsid w:val="00C9759C"/>
    <w:rsid w:val="00CA0DD8"/>
    <w:rsid w:val="00CA0E55"/>
    <w:rsid w:val="00CA3CD8"/>
    <w:rsid w:val="00CA78E8"/>
    <w:rsid w:val="00CB09A9"/>
    <w:rsid w:val="00CB5A23"/>
    <w:rsid w:val="00CC03B7"/>
    <w:rsid w:val="00CC48B6"/>
    <w:rsid w:val="00CC764A"/>
    <w:rsid w:val="00CD5119"/>
    <w:rsid w:val="00CD764F"/>
    <w:rsid w:val="00CE0E66"/>
    <w:rsid w:val="00CE3455"/>
    <w:rsid w:val="00CE506D"/>
    <w:rsid w:val="00CE57AD"/>
    <w:rsid w:val="00CF27D5"/>
    <w:rsid w:val="00CF50AE"/>
    <w:rsid w:val="00D00835"/>
    <w:rsid w:val="00D03E01"/>
    <w:rsid w:val="00D04464"/>
    <w:rsid w:val="00D17000"/>
    <w:rsid w:val="00D241D3"/>
    <w:rsid w:val="00D253E1"/>
    <w:rsid w:val="00D27FA8"/>
    <w:rsid w:val="00D31B94"/>
    <w:rsid w:val="00D32946"/>
    <w:rsid w:val="00D365D3"/>
    <w:rsid w:val="00D42F7B"/>
    <w:rsid w:val="00D4440E"/>
    <w:rsid w:val="00D46A5D"/>
    <w:rsid w:val="00D47B5C"/>
    <w:rsid w:val="00D50857"/>
    <w:rsid w:val="00D55089"/>
    <w:rsid w:val="00D63051"/>
    <w:rsid w:val="00D64605"/>
    <w:rsid w:val="00D64BB9"/>
    <w:rsid w:val="00D65286"/>
    <w:rsid w:val="00D65684"/>
    <w:rsid w:val="00D6586F"/>
    <w:rsid w:val="00D65EB2"/>
    <w:rsid w:val="00D672AA"/>
    <w:rsid w:val="00D7202D"/>
    <w:rsid w:val="00D75157"/>
    <w:rsid w:val="00D83394"/>
    <w:rsid w:val="00D85D64"/>
    <w:rsid w:val="00D94430"/>
    <w:rsid w:val="00D94E4F"/>
    <w:rsid w:val="00D96A2F"/>
    <w:rsid w:val="00DA76FA"/>
    <w:rsid w:val="00DB2B49"/>
    <w:rsid w:val="00DB50C7"/>
    <w:rsid w:val="00DB6943"/>
    <w:rsid w:val="00DB7279"/>
    <w:rsid w:val="00DB73F4"/>
    <w:rsid w:val="00DC28FE"/>
    <w:rsid w:val="00DC290C"/>
    <w:rsid w:val="00DC33B4"/>
    <w:rsid w:val="00DC4162"/>
    <w:rsid w:val="00DC5165"/>
    <w:rsid w:val="00DD0620"/>
    <w:rsid w:val="00DD10FD"/>
    <w:rsid w:val="00DD2003"/>
    <w:rsid w:val="00DD4656"/>
    <w:rsid w:val="00DD64E1"/>
    <w:rsid w:val="00DD72AF"/>
    <w:rsid w:val="00DE107C"/>
    <w:rsid w:val="00DE1B02"/>
    <w:rsid w:val="00DE7B34"/>
    <w:rsid w:val="00DF01DF"/>
    <w:rsid w:val="00DF0684"/>
    <w:rsid w:val="00E018FB"/>
    <w:rsid w:val="00E03DC7"/>
    <w:rsid w:val="00E07C5F"/>
    <w:rsid w:val="00E13547"/>
    <w:rsid w:val="00E135C8"/>
    <w:rsid w:val="00E14233"/>
    <w:rsid w:val="00E15D6B"/>
    <w:rsid w:val="00E21DC0"/>
    <w:rsid w:val="00E22108"/>
    <w:rsid w:val="00E3453C"/>
    <w:rsid w:val="00E347CE"/>
    <w:rsid w:val="00E35419"/>
    <w:rsid w:val="00E35834"/>
    <w:rsid w:val="00E36F71"/>
    <w:rsid w:val="00E4035B"/>
    <w:rsid w:val="00E444BB"/>
    <w:rsid w:val="00E44DAB"/>
    <w:rsid w:val="00E456C3"/>
    <w:rsid w:val="00E53767"/>
    <w:rsid w:val="00E634BA"/>
    <w:rsid w:val="00E65ABE"/>
    <w:rsid w:val="00E66951"/>
    <w:rsid w:val="00E6730E"/>
    <w:rsid w:val="00E6763B"/>
    <w:rsid w:val="00E70DFB"/>
    <w:rsid w:val="00E74D81"/>
    <w:rsid w:val="00E86F6F"/>
    <w:rsid w:val="00E93ADA"/>
    <w:rsid w:val="00E93E1D"/>
    <w:rsid w:val="00E9698B"/>
    <w:rsid w:val="00EB1E09"/>
    <w:rsid w:val="00EB58BD"/>
    <w:rsid w:val="00EB752E"/>
    <w:rsid w:val="00EC0FFC"/>
    <w:rsid w:val="00EC2EF5"/>
    <w:rsid w:val="00EC4EB8"/>
    <w:rsid w:val="00EC7184"/>
    <w:rsid w:val="00ED04FE"/>
    <w:rsid w:val="00ED2E33"/>
    <w:rsid w:val="00ED3024"/>
    <w:rsid w:val="00ED5F32"/>
    <w:rsid w:val="00ED6217"/>
    <w:rsid w:val="00ED71B6"/>
    <w:rsid w:val="00EE5474"/>
    <w:rsid w:val="00EE64C9"/>
    <w:rsid w:val="00EF0E10"/>
    <w:rsid w:val="00EF2076"/>
    <w:rsid w:val="00EF2AFB"/>
    <w:rsid w:val="00F02919"/>
    <w:rsid w:val="00F23C51"/>
    <w:rsid w:val="00F27D95"/>
    <w:rsid w:val="00F309BD"/>
    <w:rsid w:val="00F33D5C"/>
    <w:rsid w:val="00F3402F"/>
    <w:rsid w:val="00F35822"/>
    <w:rsid w:val="00F431FB"/>
    <w:rsid w:val="00F461A3"/>
    <w:rsid w:val="00F51DDF"/>
    <w:rsid w:val="00F5268E"/>
    <w:rsid w:val="00F53ACB"/>
    <w:rsid w:val="00F54A61"/>
    <w:rsid w:val="00F554F1"/>
    <w:rsid w:val="00F5599A"/>
    <w:rsid w:val="00F60E46"/>
    <w:rsid w:val="00F617E6"/>
    <w:rsid w:val="00F6184E"/>
    <w:rsid w:val="00F6532E"/>
    <w:rsid w:val="00F728F2"/>
    <w:rsid w:val="00F8007E"/>
    <w:rsid w:val="00F81C8A"/>
    <w:rsid w:val="00F84805"/>
    <w:rsid w:val="00F91A56"/>
    <w:rsid w:val="00F93AD1"/>
    <w:rsid w:val="00F97CAC"/>
    <w:rsid w:val="00FA09B2"/>
    <w:rsid w:val="00FA21B5"/>
    <w:rsid w:val="00FA2B02"/>
    <w:rsid w:val="00FA32C4"/>
    <w:rsid w:val="00FA5661"/>
    <w:rsid w:val="00FA79EF"/>
    <w:rsid w:val="00FB1115"/>
    <w:rsid w:val="00FB18F6"/>
    <w:rsid w:val="00FB2C51"/>
    <w:rsid w:val="00FB401E"/>
    <w:rsid w:val="00FB4AE4"/>
    <w:rsid w:val="00FC29D6"/>
    <w:rsid w:val="00FC4A2F"/>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A8EFCE"/>
  <w15:docId w15:val="{0B2F3CDB-FE68-45E2-9017-2CE9378F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qFormat/>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3"/>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styleId="NormalWeb">
    <w:name w:val="Normal (Web)"/>
    <w:basedOn w:val="Normal"/>
    <w:uiPriority w:val="99"/>
    <w:rsid w:val="00677692"/>
    <w:pPr>
      <w:spacing w:line="264" w:lineRule="auto"/>
    </w:pPr>
    <w:rPr>
      <w:rFonts w:ascii="Arial" w:eastAsia="Times New Roman" w:hAnsi="Arial" w:cs="Times New Roman"/>
      <w:sz w:val="22"/>
      <w:szCs w:val="24"/>
      <w:lang w:eastAsia="en-AU"/>
    </w:rPr>
  </w:style>
  <w:style w:type="paragraph" w:styleId="Revision">
    <w:name w:val="Revision"/>
    <w:hidden/>
    <w:uiPriority w:val="99"/>
    <w:semiHidden/>
    <w:rsid w:val="00235DF1"/>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copying.edu.au/guidelines/copyright-basics/indigenous-cultural-and-intellectual-property-righ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o\Downloads\ac_year_plan_template7_10%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249618680E426A92428A13E4E5DA88"/>
        <w:category>
          <w:name w:val="General"/>
          <w:gallery w:val="placeholder"/>
        </w:category>
        <w:types>
          <w:type w:val="bbPlcHdr"/>
        </w:types>
        <w:behaviors>
          <w:behavior w:val="content"/>
        </w:behaviors>
        <w:guid w:val="{8FD3053C-0A40-4889-9430-AA2E0EB7D9A7}"/>
      </w:docPartPr>
      <w:docPartBody>
        <w:p w:rsidR="00661584" w:rsidRDefault="00CE6A0E">
          <w:pPr>
            <w:pStyle w:val="10249618680E426A92428A13E4E5DA88"/>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2BE9A6E0AD6B44759D83702ED33088A7"/>
        <w:category>
          <w:name w:val="General"/>
          <w:gallery w:val="placeholder"/>
        </w:category>
        <w:types>
          <w:type w:val="bbPlcHdr"/>
        </w:types>
        <w:behaviors>
          <w:behavior w:val="content"/>
        </w:behaviors>
        <w:guid w:val="{6314128F-F066-4418-BEE9-2506645CCB45}"/>
      </w:docPartPr>
      <w:docPartBody>
        <w:p w:rsidR="00661584" w:rsidRDefault="00CE6A0E">
          <w:pPr>
            <w:pStyle w:val="2BE9A6E0AD6B44759D83702ED33088A7"/>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193C640B3E1E4CD19960F97891375C6E"/>
        <w:category>
          <w:name w:val="General"/>
          <w:gallery w:val="placeholder"/>
        </w:category>
        <w:types>
          <w:type w:val="bbPlcHdr"/>
        </w:types>
        <w:behaviors>
          <w:behavior w:val="content"/>
        </w:behaviors>
        <w:guid w:val="{191310B9-CBDA-4E79-BA2F-59010B1A19C1}"/>
      </w:docPartPr>
      <w:docPartBody>
        <w:p w:rsidR="00661584" w:rsidRDefault="00CE6A0E">
          <w:pPr>
            <w:pStyle w:val="193C640B3E1E4CD19960F97891375C6E"/>
          </w:pPr>
          <w:r w:rsidRPr="00D94E4F">
            <w:rPr>
              <w:shd w:val="clear" w:color="auto" w:fill="F7EA9F"/>
            </w:rPr>
            <w:t>[Year]</w:t>
          </w:r>
        </w:p>
      </w:docPartBody>
    </w:docPart>
    <w:docPart>
      <w:docPartPr>
        <w:name w:val="10A2B3457D54430B8B30309F79203235"/>
        <w:category>
          <w:name w:val="General"/>
          <w:gallery w:val="placeholder"/>
        </w:category>
        <w:types>
          <w:type w:val="bbPlcHdr"/>
        </w:types>
        <w:behaviors>
          <w:behavior w:val="content"/>
        </w:behaviors>
        <w:guid w:val="{9C80F415-B157-4E73-BB6D-B498B34789DF}"/>
      </w:docPartPr>
      <w:docPartBody>
        <w:p w:rsidR="00661584" w:rsidRDefault="00CE6A0E">
          <w:pPr>
            <w:pStyle w:val="10A2B3457D54430B8B30309F79203235"/>
          </w:pPr>
          <w:r w:rsidRPr="0014766D">
            <w:rPr>
              <w:b/>
              <w:bCs/>
              <w:shd w:val="clear" w:color="auto" w:fill="70AD47" w:themeFill="accent6"/>
            </w:rPr>
            <w:t>[Year level/band curriculum and assessment plan]</w:t>
          </w:r>
        </w:p>
      </w:docPartBody>
    </w:docPart>
    <w:docPart>
      <w:docPartPr>
        <w:name w:val="02403032A37F4B2EAE52857D22C551B4"/>
        <w:category>
          <w:name w:val="General"/>
          <w:gallery w:val="placeholder"/>
        </w:category>
        <w:types>
          <w:type w:val="bbPlcHdr"/>
        </w:types>
        <w:behaviors>
          <w:behavior w:val="content"/>
        </w:behaviors>
        <w:guid w:val="{52ECE309-65FF-46D7-A4FD-C8C99348CF2D}"/>
      </w:docPartPr>
      <w:docPartBody>
        <w:p w:rsidR="00661584" w:rsidRDefault="00CE6A0E">
          <w:pPr>
            <w:pStyle w:val="02403032A37F4B2EAE52857D22C551B4"/>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B1888D6008D04E9BAB347CA17970531E"/>
        <w:category>
          <w:name w:val="General"/>
          <w:gallery w:val="placeholder"/>
        </w:category>
        <w:types>
          <w:type w:val="bbPlcHdr"/>
        </w:types>
        <w:behaviors>
          <w:behavior w:val="content"/>
        </w:behaviors>
        <w:guid w:val="{7F7DFFEC-00E0-4E4E-BB0E-62622EA684B7}"/>
      </w:docPartPr>
      <w:docPartBody>
        <w:p w:rsidR="00661584" w:rsidRDefault="00CE6A0E">
          <w:pPr>
            <w:pStyle w:val="B1888D6008D04E9BAB347CA17970531E"/>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D7D09FFF81B14F80BA164BEA6212D9CD"/>
        <w:category>
          <w:name w:val="General"/>
          <w:gallery w:val="placeholder"/>
        </w:category>
        <w:types>
          <w:type w:val="bbPlcHdr"/>
        </w:types>
        <w:behaviors>
          <w:behavior w:val="content"/>
        </w:behaviors>
        <w:guid w:val="{0CB05F16-20BA-4FA6-B8B1-00ED3491E83E}"/>
      </w:docPartPr>
      <w:docPartBody>
        <w:p w:rsidR="00661584" w:rsidRDefault="00CE6A0E">
          <w:pPr>
            <w:pStyle w:val="D7D09FFF81B14F80BA164BEA6212D9C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0E"/>
    <w:rsid w:val="000E55C3"/>
    <w:rsid w:val="003A1D94"/>
    <w:rsid w:val="00661584"/>
    <w:rsid w:val="00682820"/>
    <w:rsid w:val="007B5CE5"/>
    <w:rsid w:val="00BF54ED"/>
    <w:rsid w:val="00C42175"/>
    <w:rsid w:val="00CE6A0E"/>
    <w:rsid w:val="00D611CB"/>
    <w:rsid w:val="00E371E3"/>
    <w:rsid w:val="00F97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49618680E426A92428A13E4E5DA88">
    <w:name w:val="10249618680E426A92428A13E4E5DA88"/>
  </w:style>
  <w:style w:type="paragraph" w:customStyle="1" w:styleId="2BE9A6E0AD6B44759D83702ED33088A7">
    <w:name w:val="2BE9A6E0AD6B44759D83702ED33088A7"/>
  </w:style>
  <w:style w:type="paragraph" w:customStyle="1" w:styleId="193C640B3E1E4CD19960F97891375C6E">
    <w:name w:val="193C640B3E1E4CD19960F97891375C6E"/>
  </w:style>
  <w:style w:type="paragraph" w:customStyle="1" w:styleId="10A2B3457D54430B8B30309F79203235">
    <w:name w:val="10A2B3457D54430B8B30309F79203235"/>
  </w:style>
  <w:style w:type="paragraph" w:customStyle="1" w:styleId="02403032A37F4B2EAE52857D22C551B4">
    <w:name w:val="02403032A37F4B2EAE52857D22C551B4"/>
  </w:style>
  <w:style w:type="paragraph" w:customStyle="1" w:styleId="B1888D6008D04E9BAB347CA17970531E">
    <w:name w:val="B1888D6008D04E9BAB347CA17970531E"/>
  </w:style>
  <w:style w:type="paragraph" w:customStyle="1" w:styleId="D7D09FFF81B14F80BA164BEA6212D9CD">
    <w:name w:val="D7D09FFF81B14F80BA164BEA6212D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2021-10-06T00:00:00</DocumentDate>
  <DocumentTitle>Year 10 History curriculum and assessment plan</DocumentTitle>
  <DocumentSubtitle/>
  <DocumentJobNumber/>
  <DocumentField1/>
  <DocumentField2/>
  <DocumentField3/>
  <DocumentField4/>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5AEA2BE0-B025-479A-BE59-B492B768CC0C}">
  <ds:schemaRefs>
    <ds:schemaRef ds:uri="http://schemas.openxmlformats.org/officeDocument/2006/bibliography"/>
  </ds:schemaRefs>
</ds:datastoreItem>
</file>

<file path=customXml/itemProps3.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ac_year_plan_template7_10 (1).dotx</Template>
  <TotalTime>85</TotalTime>
  <Pages>5</Pages>
  <Words>3648</Words>
  <Characters>20798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Year 10 History curriculum and assessment plan</vt:lpstr>
    </vt:vector>
  </TitlesOfParts>
  <Company>Queensland Curriculum and Assessment Authority</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History curriculum and assessment plan</dc:title>
  <dc:subject>History</dc:subject>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83</cp:revision>
  <cp:lastPrinted>2020-12-15T06:22:00Z</cp:lastPrinted>
  <dcterms:created xsi:type="dcterms:W3CDTF">2021-09-27T00:14:00Z</dcterms:created>
  <dcterms:modified xsi:type="dcterms:W3CDTF">2021-10-06T00:01:00Z</dcterms:modified>
  <cp:category>210140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