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1" w:tblpY="285"/>
        <w:tblOverlap w:val="never"/>
        <w:tblW w:w="22113" w:type="dxa"/>
        <w:tblBorders>
          <w:bottom w:val="single" w:sz="12" w:space="0" w:color="D52B1E"/>
        </w:tblBorders>
        <w:tblCellMar>
          <w:left w:w="0" w:type="dxa"/>
        </w:tblCellMar>
        <w:tblLook w:val="0600" w:firstRow="0" w:lastRow="0" w:firstColumn="0" w:lastColumn="0" w:noHBand="1" w:noVBand="1"/>
      </w:tblPr>
      <w:tblGrid>
        <w:gridCol w:w="22113"/>
      </w:tblGrid>
      <w:tr w:rsidR="00DD64E1" w:rsidRPr="002D704B" w14:paraId="3B73F5BA" w14:textId="77777777" w:rsidTr="000C1CBA">
        <w:trPr>
          <w:trHeight w:val="1615"/>
        </w:trPr>
        <w:tc>
          <w:tcPr>
            <w:tcW w:w="22113" w:type="dxa"/>
            <w:tcBorders>
              <w:bottom w:val="single" w:sz="12" w:space="0" w:color="D52B1E"/>
            </w:tcBorders>
            <w:vAlign w:val="bottom"/>
          </w:tcPr>
          <w:bookmarkStart w:id="0" w:name="_Toc234219367"/>
          <w:p w14:paraId="5AED1D24" w14:textId="77777777" w:rsidR="00DD64E1" w:rsidRPr="002D704B" w:rsidRDefault="005433E5" w:rsidP="002D704B">
            <w:pPr>
              <w:pStyle w:val="Title"/>
            </w:pPr>
            <w:sdt>
              <w:sdtPr>
                <w:alias w:val="Document Title"/>
                <w:tag w:val="DocumentTitle"/>
                <w:id w:val="-1468812136"/>
                <w:placeholder>
                  <w:docPart w:val="395BDC364F3242E0ABE358C33AE26FE7"/>
                </w:placeholder>
                <w:dataBinding w:prefixMappings="xmlns:ns0='http://QCAA.qld.edu.au' " w:xpath="/ns0:QCAA[1]/ns0:DocumentTitle[1]" w:storeItemID="{029BFAC3-A859-40E3-910E-708531540F3D}"/>
                <w:text/>
              </w:sdtPr>
              <w:sdtEndPr/>
              <w:sdtContent>
                <w:r w:rsidR="008A09B9">
                  <w:t>Year 10 Geography curriculum and assessment plan</w:t>
                </w:r>
              </w:sdtContent>
            </w:sdt>
          </w:p>
          <w:sdt>
            <w:sdtPr>
              <w:alias w:val="Document Subtitle"/>
              <w:tag w:val="DocumentSubtitle"/>
              <w:id w:val="892237444"/>
              <w:placeholder>
                <w:docPart w:val="5CD863FE92284350A54864C5ADCFF2C5"/>
              </w:placeholder>
              <w:dataBinding w:prefixMappings="xmlns:ns0='http://QCAA.qld.edu.au' " w:xpath="/ns0:QCAA[1]/ns0:DocumentSubtitle[1]" w:storeItemID="{ECF99190-FDC9-4DC7-BF4D-418697363580}"/>
              <w:text/>
            </w:sdtPr>
            <w:sdtEndPr/>
            <w:sdtContent>
              <w:p w14:paraId="5583C6F1" w14:textId="77777777" w:rsidR="00DD64E1" w:rsidRPr="002D704B" w:rsidRDefault="002C2B6C" w:rsidP="002D704B">
                <w:pPr>
                  <w:pStyle w:val="Subtitle"/>
                </w:pPr>
                <w:r>
                  <w:t>Example</w:t>
                </w:r>
              </w:p>
            </w:sdtContent>
          </w:sdt>
        </w:tc>
      </w:tr>
    </w:tbl>
    <w:p w14:paraId="6AA6A2CE" w14:textId="77777777" w:rsidR="009F6529" w:rsidRPr="00B26BD8" w:rsidRDefault="009F6529" w:rsidP="009F6529">
      <w:pPr>
        <w:rPr>
          <w:sz w:val="2"/>
          <w:szCs w:val="2"/>
        </w:rPr>
      </w:pPr>
      <w:bookmarkStart w:id="1" w:name="_Toc488841092"/>
      <w:bookmarkEnd w:id="0"/>
    </w:p>
    <w:p w14:paraId="15C0A88F" w14:textId="77777777" w:rsidR="00B26BD8" w:rsidRPr="00B26BD8" w:rsidRDefault="00B26BD8" w:rsidP="009F6529">
      <w:pPr>
        <w:rPr>
          <w:sz w:val="2"/>
          <w:szCs w:val="2"/>
        </w:rPr>
        <w:sectPr w:rsidR="00B26BD8" w:rsidRPr="00B26BD8" w:rsidSect="000C1CBA">
          <w:footerReference w:type="default" r:id="rId13"/>
          <w:footerReference w:type="first" r:id="rId14"/>
          <w:type w:val="continuous"/>
          <w:pgSz w:w="23808" w:h="16840" w:orient="landscape" w:code="8"/>
          <w:pgMar w:top="1134" w:right="1418" w:bottom="1701" w:left="1418" w:header="567" w:footer="284" w:gutter="0"/>
          <w:cols w:space="708"/>
          <w:docGrid w:linePitch="360"/>
        </w:sectPr>
      </w:pPr>
    </w:p>
    <w:bookmarkEnd w:id="1"/>
    <w:p w14:paraId="1B0F22C2" w14:textId="77777777" w:rsidR="00CE0E66" w:rsidRDefault="000463BF" w:rsidP="000463BF">
      <w:pPr>
        <w:pStyle w:val="Heading1"/>
      </w:pPr>
      <w:r>
        <w:t>Curriculum overview</w:t>
      </w:r>
    </w:p>
    <w:tbl>
      <w:tblPr>
        <w:tblStyle w:val="QCAAtablestyle1"/>
        <w:tblW w:w="5000" w:type="pct"/>
        <w:tblLook w:val="0620" w:firstRow="1" w:lastRow="0" w:firstColumn="0" w:lastColumn="0" w:noHBand="1" w:noVBand="1"/>
      </w:tblPr>
      <w:tblGrid>
        <w:gridCol w:w="10481"/>
        <w:gridCol w:w="10481"/>
      </w:tblGrid>
      <w:tr w:rsidR="00AB580C" w:rsidRPr="009A061A" w14:paraId="512550AF" w14:textId="77777777" w:rsidTr="00AD6F73">
        <w:trPr>
          <w:cnfStyle w:val="100000000000" w:firstRow="1" w:lastRow="0" w:firstColumn="0" w:lastColumn="0" w:oddVBand="0" w:evenVBand="0" w:oddHBand="0" w:evenHBand="0" w:firstRowFirstColumn="0" w:firstRowLastColumn="0" w:lastRowFirstColumn="0" w:lastRowLastColumn="0"/>
          <w:trHeight w:val="346"/>
        </w:trPr>
        <w:tc>
          <w:tcPr>
            <w:tcW w:w="2500" w:type="pct"/>
          </w:tcPr>
          <w:p w14:paraId="2EB537C8" w14:textId="77777777" w:rsidR="00AB580C" w:rsidRPr="009A061A" w:rsidRDefault="00AB580C" w:rsidP="004725E5">
            <w:pPr>
              <w:pStyle w:val="Tableheading"/>
            </w:pPr>
            <w:bookmarkStart w:id="2" w:name="_Hlk33697583"/>
            <w:r w:rsidRPr="009A061A">
              <w:t>Year level description</w:t>
            </w:r>
          </w:p>
        </w:tc>
        <w:tc>
          <w:tcPr>
            <w:tcW w:w="2500" w:type="pct"/>
            <w:shd w:val="clear" w:color="auto" w:fill="808080" w:themeFill="background1" w:themeFillShade="80"/>
          </w:tcPr>
          <w:p w14:paraId="7929BC2F" w14:textId="77777777" w:rsidR="00AB580C" w:rsidRPr="00B54F18" w:rsidRDefault="00AB580C" w:rsidP="004725E5">
            <w:pPr>
              <w:pStyle w:val="Tableheading"/>
            </w:pPr>
            <w:r w:rsidRPr="009A061A">
              <w:t>Cohort description</w:t>
            </w:r>
            <w:r>
              <w:t xml:space="preserve"> </w:t>
            </w:r>
          </w:p>
        </w:tc>
      </w:tr>
      <w:tr w:rsidR="00AB580C" w14:paraId="132BF15E" w14:textId="77777777" w:rsidTr="00AD6F73">
        <w:trPr>
          <w:trHeight w:val="210"/>
        </w:trPr>
        <w:tc>
          <w:tcPr>
            <w:tcW w:w="2500" w:type="pct"/>
            <w:vMerge w:val="restart"/>
          </w:tcPr>
          <w:p w14:paraId="1F951BEC" w14:textId="77777777" w:rsidR="008A09B9" w:rsidRPr="001A3E59" w:rsidRDefault="008A09B9" w:rsidP="00062E96">
            <w:pPr>
              <w:pStyle w:val="Tabletext"/>
            </w:pPr>
            <w:r w:rsidRPr="001A3E59">
              <w:t>There are two units of study in the Year 10 curriculum for Geography: ‘Environmental change and management’ and ‘Geographies of human wellbeing’.</w:t>
            </w:r>
          </w:p>
          <w:p w14:paraId="365CF81D" w14:textId="77777777" w:rsidR="008A09B9" w:rsidRPr="001A3E59" w:rsidRDefault="008A09B9" w:rsidP="00062E96">
            <w:pPr>
              <w:pStyle w:val="Tabletext"/>
            </w:pPr>
            <w:r w:rsidRPr="001A3E59">
              <w:t xml:space="preserve">‘Environmental change and management’ </w:t>
            </w:r>
            <w:proofErr w:type="gramStart"/>
            <w:r w:rsidRPr="001A3E59">
              <w:t>focuses</w:t>
            </w:r>
            <w:proofErr w:type="gramEnd"/>
            <w:r w:rsidRPr="001A3E59">
              <w:t xml:space="preserve"> on investigating environmental geography through an in-depth study of a specific environment. The unit begins with an overview of the environmental functions that support all life, the major challenges to their sustainability, and the environmental world views – including those of Aboriginal and Torres Strait Islander Peoples – that influence how people perceive and respond to these challenges. Students investigate a specific type of environment and environmental change in Australia and one other country. They apply human–environment systems thinking to understand the causes and consequences of the change and geographical concepts and methods to evaluate and select strategies to manage the change. </w:t>
            </w:r>
          </w:p>
          <w:p w14:paraId="27A74009" w14:textId="77777777" w:rsidR="008A09B9" w:rsidRPr="001A3E59" w:rsidRDefault="008A09B9" w:rsidP="00062E96">
            <w:pPr>
              <w:pStyle w:val="Tabletext"/>
            </w:pPr>
            <w:r w:rsidRPr="001A3E59">
              <w:rPr>
                <w:i/>
                <w:iCs/>
              </w:rPr>
              <w:t>‘</w:t>
            </w:r>
            <w:r w:rsidRPr="001A3E59">
              <w:t>Geographies of human wellbeing’ focuses on investigating global, national and local differences in human wellbeing between places. This unit examines the different concepts and measures of human wellbeing, and the causes of global differences in these measures between countries. Students explore spatial differences in wellbeing within and between countries, and evaluate the differences from a variety of perspectives. They explore programs designed to reduce the gap between differences in wellbeing. These distinctive aspects of human wellbeing are investigated using studies drawn from Australia, India and across the world as appropriate.</w:t>
            </w:r>
          </w:p>
          <w:p w14:paraId="56506865" w14:textId="77777777" w:rsidR="008A09B9" w:rsidRDefault="008A09B9" w:rsidP="00062E96">
            <w:pPr>
              <w:pStyle w:val="Tabletext"/>
            </w:pPr>
            <w:r w:rsidRPr="001A3E59">
              <w:t>The content of this year level is organised into two strands: geographical knowledge and understanding, and geographical inquiry and skills. These strands are interrelated and have been developed to be taught in an integrated manner, and in ways that are appropriate to specific local contexts. The order and detail in which they are taught are programming decisions</w:t>
            </w:r>
            <w:r>
              <w:t>.</w:t>
            </w:r>
          </w:p>
          <w:p w14:paraId="65C1BD56" w14:textId="77777777" w:rsidR="008A09B9" w:rsidRPr="001A3E59" w:rsidRDefault="008A09B9" w:rsidP="00062E96">
            <w:pPr>
              <w:pStyle w:val="Tabletext"/>
            </w:pPr>
          </w:p>
          <w:p w14:paraId="5489737E" w14:textId="77777777" w:rsidR="008A09B9" w:rsidRPr="00062E96" w:rsidRDefault="008A09B9" w:rsidP="00062E96">
            <w:pPr>
              <w:pStyle w:val="Tabletext"/>
              <w:rPr>
                <w:b/>
                <w:lang w:val="en"/>
              </w:rPr>
            </w:pPr>
            <w:r w:rsidRPr="00062E96">
              <w:rPr>
                <w:b/>
                <w:lang w:val="en"/>
              </w:rPr>
              <w:t xml:space="preserve">Key inquiry questions </w:t>
            </w:r>
          </w:p>
          <w:p w14:paraId="38208E27" w14:textId="77777777" w:rsidR="008A09B9" w:rsidRPr="001A3E59" w:rsidRDefault="008A09B9" w:rsidP="00062E96">
            <w:pPr>
              <w:pStyle w:val="Tabletext"/>
              <w:rPr>
                <w:lang w:val="en" w:eastAsia="zh-CN"/>
              </w:rPr>
            </w:pPr>
            <w:r w:rsidRPr="001A3E59">
              <w:rPr>
                <w:lang w:val="en" w:eastAsia="zh-CN"/>
              </w:rPr>
              <w:t xml:space="preserve">A framework for developing students’ geographical knowledge, understanding and skills is provided through the inclusion of inquiry questions and specific inquiry skills, including the use and interpretation of maps, </w:t>
            </w:r>
            <w:proofErr w:type="gramStart"/>
            <w:r w:rsidRPr="001A3E59">
              <w:rPr>
                <w:lang w:val="en" w:eastAsia="zh-CN"/>
              </w:rPr>
              <w:t>photographs</w:t>
            </w:r>
            <w:proofErr w:type="gramEnd"/>
            <w:r w:rsidRPr="001A3E59">
              <w:rPr>
                <w:lang w:val="en" w:eastAsia="zh-CN"/>
              </w:rPr>
              <w:t xml:space="preserve"> and other representations of geographical data.</w:t>
            </w:r>
          </w:p>
          <w:p w14:paraId="53FA3ECA" w14:textId="77777777" w:rsidR="008A09B9" w:rsidRPr="001A3E59" w:rsidRDefault="008A09B9" w:rsidP="00062E96">
            <w:pPr>
              <w:pStyle w:val="Tabletext"/>
              <w:rPr>
                <w:lang w:val="en" w:eastAsia="zh-CN"/>
              </w:rPr>
            </w:pPr>
            <w:r w:rsidRPr="001A3E59">
              <w:rPr>
                <w:lang w:val="en" w:eastAsia="zh-CN"/>
              </w:rPr>
              <w:t>The key inquiry questions for Year 10 are:</w:t>
            </w:r>
          </w:p>
          <w:p w14:paraId="4247B64E" w14:textId="77777777" w:rsidR="008A09B9" w:rsidRPr="001A3E59" w:rsidRDefault="008A09B9" w:rsidP="00452B7B">
            <w:pPr>
              <w:pStyle w:val="TableBullet"/>
              <w:rPr>
                <w:lang w:val="en"/>
              </w:rPr>
            </w:pPr>
            <w:r w:rsidRPr="001A3E59">
              <w:rPr>
                <w:lang w:val="en"/>
              </w:rPr>
              <w:t>How can the spatial variation between places and changes in environments be explained?</w:t>
            </w:r>
          </w:p>
          <w:p w14:paraId="5429AFE4" w14:textId="77777777" w:rsidR="00094E45" w:rsidRDefault="008A09B9" w:rsidP="00452B7B">
            <w:pPr>
              <w:pStyle w:val="TableBullet"/>
              <w:rPr>
                <w:lang w:val="en"/>
              </w:rPr>
            </w:pPr>
            <w:r w:rsidRPr="001A3E59">
              <w:rPr>
                <w:lang w:val="en"/>
              </w:rPr>
              <w:t>What management options exist for sustaining human and natural systems into the future?</w:t>
            </w:r>
          </w:p>
          <w:p w14:paraId="5E4DAAB3" w14:textId="77777777" w:rsidR="00AB580C" w:rsidRPr="00094E45" w:rsidRDefault="008A09B9" w:rsidP="00452B7B">
            <w:pPr>
              <w:pStyle w:val="TableBullet"/>
              <w:rPr>
                <w:lang w:val="en"/>
              </w:rPr>
            </w:pPr>
            <w:r w:rsidRPr="00094E45">
              <w:rPr>
                <w:lang w:val="en"/>
              </w:rPr>
              <w:t>How do world views influence decisions on how to manage environmental and social change?</w:t>
            </w:r>
          </w:p>
        </w:tc>
        <w:tc>
          <w:tcPr>
            <w:tcW w:w="2500" w:type="pct"/>
          </w:tcPr>
          <w:p w14:paraId="649A6BF1" w14:textId="77777777" w:rsidR="00AB580C" w:rsidRPr="002A7727" w:rsidRDefault="002C2B6C" w:rsidP="004725E5">
            <w:pPr>
              <w:pStyle w:val="Tabletext"/>
            </w:pPr>
            <w:r w:rsidRPr="002C2B6C">
              <w:t xml:space="preserve">This year level plan has not been developed with a specific cohort in mind. It is provided as an example of the intent of the Australian Curriculum: </w:t>
            </w:r>
            <w:r>
              <w:t>Geography</w:t>
            </w:r>
            <w:r w:rsidRPr="002C2B6C">
              <w:t>, and reflective of QCAA advice and resources.</w:t>
            </w:r>
          </w:p>
        </w:tc>
      </w:tr>
      <w:tr w:rsidR="00AB580C" w14:paraId="7D43548C" w14:textId="77777777" w:rsidTr="00AD6F73">
        <w:trPr>
          <w:trHeight w:val="254"/>
        </w:trPr>
        <w:tc>
          <w:tcPr>
            <w:tcW w:w="2500" w:type="pct"/>
            <w:vMerge/>
          </w:tcPr>
          <w:p w14:paraId="17D75D72" w14:textId="77777777" w:rsidR="00AB580C" w:rsidRPr="002C70AE" w:rsidRDefault="00AB580C" w:rsidP="004725E5">
            <w:pPr>
              <w:pStyle w:val="Instructiontowriters"/>
            </w:pPr>
          </w:p>
        </w:tc>
        <w:tc>
          <w:tcPr>
            <w:tcW w:w="2500" w:type="pct"/>
            <w:tcBorders>
              <w:bottom w:val="single" w:sz="12" w:space="0" w:color="FF0000"/>
            </w:tcBorders>
            <w:shd w:val="clear" w:color="auto" w:fill="808080" w:themeFill="background1" w:themeFillShade="80"/>
          </w:tcPr>
          <w:p w14:paraId="3C289E07" w14:textId="77777777" w:rsidR="00AB580C" w:rsidRPr="00636FB7" w:rsidRDefault="00AB580C" w:rsidP="004725E5">
            <w:pPr>
              <w:pStyle w:val="Tableheading"/>
              <w:tabs>
                <w:tab w:val="left" w:pos="5220"/>
              </w:tabs>
              <w:rPr>
                <w:color w:val="FFFFFF" w:themeColor="background1"/>
              </w:rPr>
            </w:pPr>
            <w:r w:rsidRPr="00636FB7">
              <w:rPr>
                <w:color w:val="FFFFFF" w:themeColor="background1"/>
              </w:rPr>
              <w:t xml:space="preserve">Course organisation </w:t>
            </w:r>
          </w:p>
        </w:tc>
      </w:tr>
      <w:tr w:rsidR="00AB580C" w14:paraId="40B08D45" w14:textId="77777777" w:rsidTr="00AD6F73">
        <w:trPr>
          <w:trHeight w:val="1983"/>
        </w:trPr>
        <w:tc>
          <w:tcPr>
            <w:tcW w:w="2500" w:type="pct"/>
            <w:vMerge/>
          </w:tcPr>
          <w:p w14:paraId="1B0F6F2E" w14:textId="77777777" w:rsidR="00AB580C" w:rsidRPr="002C70AE" w:rsidRDefault="00AB580C" w:rsidP="004725E5">
            <w:pPr>
              <w:pStyle w:val="Instructiontowriters"/>
            </w:pPr>
          </w:p>
        </w:tc>
        <w:tc>
          <w:tcPr>
            <w:tcW w:w="2500" w:type="pct"/>
            <w:tcBorders>
              <w:top w:val="single" w:sz="12" w:space="0" w:color="FF0000"/>
            </w:tcBorders>
          </w:tcPr>
          <w:p w14:paraId="3A28F5FA" w14:textId="77777777" w:rsidR="002C2B6C" w:rsidRPr="002331B7" w:rsidRDefault="002C2B6C" w:rsidP="002C2B6C">
            <w:pPr>
              <w:rPr>
                <w:sz w:val="19"/>
                <w:szCs w:val="19"/>
              </w:rPr>
            </w:pPr>
            <w:r w:rsidRPr="002331B7">
              <w:rPr>
                <w:sz w:val="19"/>
                <w:szCs w:val="19"/>
              </w:rPr>
              <w:t>This year level plan is written with the consideration that all school scenarios for delivery of Geography are unique. It is written to:</w:t>
            </w:r>
          </w:p>
          <w:p w14:paraId="50714F7C" w14:textId="77777777" w:rsidR="002C2B6C" w:rsidRPr="002331B7" w:rsidRDefault="002C2B6C" w:rsidP="00062E96">
            <w:pPr>
              <w:pStyle w:val="TableBullet"/>
            </w:pPr>
            <w:r w:rsidRPr="002331B7">
              <w:t>offer units of work that could be adapted to suit multiple contexts as required by the school, including allocated time and resources</w:t>
            </w:r>
          </w:p>
          <w:p w14:paraId="260335D2" w14:textId="09BACAD0" w:rsidR="002C2B6C" w:rsidRPr="002331B7" w:rsidRDefault="002C2B6C" w:rsidP="00062E96">
            <w:pPr>
              <w:pStyle w:val="TableBullet"/>
            </w:pPr>
            <w:r w:rsidRPr="002331B7">
              <w:t xml:space="preserve">consider different types of assessment that are suitable for </w:t>
            </w:r>
            <w:r w:rsidR="00062E96">
              <w:t>Geography</w:t>
            </w:r>
          </w:p>
          <w:p w14:paraId="643470BC" w14:textId="77777777" w:rsidR="002C2B6C" w:rsidRPr="002331B7" w:rsidRDefault="002C2B6C" w:rsidP="00062E96">
            <w:pPr>
              <w:pStyle w:val="TableBullet"/>
            </w:pPr>
            <w:r w:rsidRPr="002331B7">
              <w:t xml:space="preserve">provide examples for schools to adapt to their own contexts. </w:t>
            </w:r>
          </w:p>
          <w:p w14:paraId="4AD5C605" w14:textId="77777777" w:rsidR="002C2B6C" w:rsidRPr="002331B7" w:rsidRDefault="002C2B6C" w:rsidP="002C2B6C">
            <w:pPr>
              <w:rPr>
                <w:b/>
                <w:sz w:val="19"/>
                <w:szCs w:val="19"/>
              </w:rPr>
            </w:pPr>
            <w:r w:rsidRPr="002331B7">
              <w:rPr>
                <w:b/>
                <w:sz w:val="19"/>
                <w:szCs w:val="19"/>
              </w:rPr>
              <w:t>Senior pathways</w:t>
            </w:r>
          </w:p>
          <w:p w14:paraId="061A92F9" w14:textId="77777777" w:rsidR="00AB580C" w:rsidRDefault="00062E96" w:rsidP="00062E96">
            <w:pPr>
              <w:pStyle w:val="Tabletext"/>
              <w:rPr>
                <w:rFonts w:eastAsiaTheme="minorHAnsi"/>
              </w:rPr>
            </w:pPr>
            <w:r w:rsidRPr="00062E96">
              <w:rPr>
                <w:rFonts w:eastAsiaTheme="minorHAnsi"/>
              </w:rPr>
              <w:t xml:space="preserve">Consideration of </w:t>
            </w:r>
            <w:r>
              <w:t xml:space="preserve">the Geography </w:t>
            </w:r>
            <w:r w:rsidRPr="00062E96">
              <w:rPr>
                <w:rFonts w:eastAsiaTheme="minorHAnsi"/>
              </w:rPr>
              <w:t xml:space="preserve">pathway is necessary when designing a course of work </w:t>
            </w:r>
            <w:r w:rsidR="00AF6C1C">
              <w:rPr>
                <w:rFonts w:eastAsiaTheme="minorHAnsi"/>
              </w:rPr>
              <w:t>—</w:t>
            </w:r>
            <w:r w:rsidRPr="00062E96">
              <w:rPr>
                <w:rFonts w:eastAsiaTheme="minorHAnsi"/>
              </w:rPr>
              <w:t xml:space="preserve"> opportunities to develop the knowledge and skills necessary to succeed in th</w:t>
            </w:r>
            <w:r>
              <w:t>is</w:t>
            </w:r>
            <w:r w:rsidRPr="00062E96">
              <w:rPr>
                <w:rFonts w:eastAsiaTheme="minorHAnsi"/>
              </w:rPr>
              <w:t xml:space="preserve"> pathway should be evident across a course of study.</w:t>
            </w:r>
          </w:p>
          <w:p w14:paraId="4485162D" w14:textId="6FE8B220" w:rsidR="00AF6C1C" w:rsidRPr="00062E96" w:rsidRDefault="00AF6C1C" w:rsidP="00062E96">
            <w:pPr>
              <w:pStyle w:val="Tabletext"/>
            </w:pPr>
            <w:r w:rsidRPr="00A64992">
              <w:rPr>
                <w:rStyle w:val="TabletextChar"/>
                <w:rFonts w:eastAsiaTheme="minorHAnsi"/>
              </w:rPr>
              <w:t>Senior pathways include:</w:t>
            </w:r>
            <w:r>
              <w:rPr>
                <w:rStyle w:val="TabletextChar"/>
                <w:rFonts w:eastAsiaTheme="minorHAnsi"/>
              </w:rPr>
              <w:t xml:space="preserve"> </w:t>
            </w:r>
            <w:r>
              <w:t>Geography</w:t>
            </w:r>
            <w:r w:rsidR="004E6D9C">
              <w:t>.</w:t>
            </w:r>
          </w:p>
        </w:tc>
      </w:tr>
    </w:tbl>
    <w:p w14:paraId="50287080" w14:textId="77777777" w:rsidR="000463BF" w:rsidRPr="002C2B6C" w:rsidRDefault="00C019A4" w:rsidP="001100F7">
      <w:pPr>
        <w:pStyle w:val="Heading1"/>
      </w:pPr>
      <w:r>
        <w:t>Unit overview</w:t>
      </w:r>
    </w:p>
    <w:tbl>
      <w:tblPr>
        <w:tblStyle w:val="QCAAtablestyle1"/>
        <w:tblW w:w="5000" w:type="pct"/>
        <w:tblLook w:val="0620" w:firstRow="1" w:lastRow="0" w:firstColumn="0" w:lastColumn="0" w:noHBand="1" w:noVBand="1"/>
      </w:tblPr>
      <w:tblGrid>
        <w:gridCol w:w="10485"/>
        <w:gridCol w:w="10477"/>
      </w:tblGrid>
      <w:tr w:rsidR="008A09B9" w14:paraId="46281EFA" w14:textId="77777777" w:rsidTr="00586970">
        <w:trPr>
          <w:cnfStyle w:val="100000000000" w:firstRow="1" w:lastRow="0" w:firstColumn="0" w:lastColumn="0" w:oddVBand="0" w:evenVBand="0" w:oddHBand="0" w:evenHBand="0" w:firstRowFirstColumn="0" w:firstRowLastColumn="0" w:lastRowFirstColumn="0" w:lastRowLastColumn="0"/>
          <w:trHeight w:val="222"/>
        </w:trPr>
        <w:tc>
          <w:tcPr>
            <w:tcW w:w="2501" w:type="pct"/>
          </w:tcPr>
          <w:p w14:paraId="3A70AF93" w14:textId="77777777" w:rsidR="008A09B9" w:rsidRDefault="008A09B9" w:rsidP="004725E5">
            <w:pPr>
              <w:pStyle w:val="Tableheading"/>
            </w:pPr>
            <w:r w:rsidRPr="003C692A">
              <w:t>Te</w:t>
            </w:r>
            <w:r>
              <w:t>r</w:t>
            </w:r>
            <w:r w:rsidRPr="003C692A">
              <w:t>m 1</w:t>
            </w:r>
          </w:p>
        </w:tc>
        <w:tc>
          <w:tcPr>
            <w:tcW w:w="2499" w:type="pct"/>
          </w:tcPr>
          <w:p w14:paraId="100C6269" w14:textId="77777777" w:rsidR="008A09B9" w:rsidRDefault="008A09B9" w:rsidP="004725E5">
            <w:pPr>
              <w:pStyle w:val="Tableheading"/>
            </w:pPr>
            <w:r w:rsidRPr="003C692A">
              <w:t>Term 2</w:t>
            </w:r>
          </w:p>
        </w:tc>
      </w:tr>
      <w:tr w:rsidR="008A09B9" w14:paraId="0A7BED7F" w14:textId="77777777" w:rsidTr="00586970">
        <w:trPr>
          <w:trHeight w:val="222"/>
        </w:trPr>
        <w:tc>
          <w:tcPr>
            <w:tcW w:w="2501" w:type="pct"/>
          </w:tcPr>
          <w:p w14:paraId="0C392594" w14:textId="77777777" w:rsidR="008A09B9" w:rsidRPr="00D4440E" w:rsidRDefault="008A09B9" w:rsidP="00D4440E">
            <w:pPr>
              <w:pStyle w:val="Tablesubhead"/>
            </w:pPr>
            <w:r w:rsidRPr="00D4440E">
              <w:t xml:space="preserve">Unit 1 — </w:t>
            </w:r>
            <w:r>
              <w:t>Environment, place and change</w:t>
            </w:r>
          </w:p>
        </w:tc>
        <w:tc>
          <w:tcPr>
            <w:tcW w:w="2499" w:type="pct"/>
          </w:tcPr>
          <w:p w14:paraId="0763608E" w14:textId="77777777" w:rsidR="008A09B9" w:rsidRPr="0062088B" w:rsidRDefault="008A09B9" w:rsidP="0062088B">
            <w:pPr>
              <w:pStyle w:val="Tablesubhead"/>
            </w:pPr>
            <w:r>
              <w:t>Unit 2 — Wellbeing in the world</w:t>
            </w:r>
          </w:p>
        </w:tc>
      </w:tr>
      <w:tr w:rsidR="008A09B9" w14:paraId="6737DBE8" w14:textId="77777777" w:rsidTr="00586970">
        <w:trPr>
          <w:trHeight w:val="1506"/>
        </w:trPr>
        <w:tc>
          <w:tcPr>
            <w:tcW w:w="2501" w:type="pct"/>
          </w:tcPr>
          <w:p w14:paraId="4F52E6AB" w14:textId="77777777" w:rsidR="008A09B9" w:rsidRPr="008A09B9" w:rsidRDefault="008A09B9" w:rsidP="008A09B9">
            <w:pPr>
              <w:pStyle w:val="Tabletext"/>
              <w:rPr>
                <w:szCs w:val="19"/>
              </w:rPr>
            </w:pPr>
            <w:r w:rsidRPr="00062E96">
              <w:rPr>
                <w:szCs w:val="19"/>
              </w:rPr>
              <w:t>Inquiry question:</w:t>
            </w:r>
            <w:r w:rsidRPr="008A09B9">
              <w:rPr>
                <w:szCs w:val="19"/>
              </w:rPr>
              <w:t xml:space="preserve"> How does development</w:t>
            </w:r>
            <w:r w:rsidR="00094E45">
              <w:rPr>
                <w:szCs w:val="19"/>
              </w:rPr>
              <w:t xml:space="preserve"> have an</w:t>
            </w:r>
            <w:r w:rsidRPr="008A09B9">
              <w:rPr>
                <w:szCs w:val="19"/>
              </w:rPr>
              <w:t xml:space="preserve"> impact</w:t>
            </w:r>
            <w:r w:rsidR="00094E45">
              <w:rPr>
                <w:szCs w:val="19"/>
              </w:rPr>
              <w:t xml:space="preserve"> on</w:t>
            </w:r>
            <w:r w:rsidRPr="008A09B9">
              <w:rPr>
                <w:szCs w:val="19"/>
              </w:rPr>
              <w:t xml:space="preserve"> the environment?</w:t>
            </w:r>
          </w:p>
          <w:p w14:paraId="3A681D8A" w14:textId="0382F718" w:rsidR="008A09B9" w:rsidRPr="008A09B9" w:rsidRDefault="008A09B9" w:rsidP="008A09B9">
            <w:pPr>
              <w:pStyle w:val="Tabletext"/>
              <w:rPr>
                <w:szCs w:val="19"/>
              </w:rPr>
            </w:pPr>
            <w:r w:rsidRPr="008A09B9">
              <w:rPr>
                <w:szCs w:val="19"/>
              </w:rPr>
              <w:t xml:space="preserve">In this unit, students will develop an understanding of human-induced environmental changes that challenge sustainability. Through this lens, students will identify those environmental changes that pose significant challenges to the environment </w:t>
            </w:r>
            <w:r w:rsidR="00CF2D27" w:rsidRPr="008A09B9">
              <w:rPr>
                <w:szCs w:val="19"/>
              </w:rPr>
              <w:t>whil</w:t>
            </w:r>
            <w:r w:rsidR="00CF2D27">
              <w:rPr>
                <w:szCs w:val="19"/>
              </w:rPr>
              <w:t>e</w:t>
            </w:r>
            <w:r w:rsidR="00CF2D27" w:rsidRPr="008A09B9">
              <w:rPr>
                <w:szCs w:val="19"/>
              </w:rPr>
              <w:t xml:space="preserve"> </w:t>
            </w:r>
            <w:r w:rsidRPr="008A09B9">
              <w:rPr>
                <w:szCs w:val="19"/>
              </w:rPr>
              <w:t>the needs of present generations are being met. Examples of changes include water pollution</w:t>
            </w:r>
            <w:r w:rsidR="00CF2D27">
              <w:rPr>
                <w:szCs w:val="19"/>
              </w:rPr>
              <w:t>;</w:t>
            </w:r>
            <w:r w:rsidRPr="008A09B9">
              <w:rPr>
                <w:szCs w:val="19"/>
              </w:rPr>
              <w:t xml:space="preserve"> atmospheric pollution</w:t>
            </w:r>
            <w:r w:rsidR="00CF2D27">
              <w:rPr>
                <w:szCs w:val="19"/>
              </w:rPr>
              <w:t>;</w:t>
            </w:r>
            <w:r w:rsidRPr="008A09B9">
              <w:rPr>
                <w:szCs w:val="19"/>
              </w:rPr>
              <w:t xml:space="preserve"> loss of biodiversity</w:t>
            </w:r>
            <w:r w:rsidR="00CF2D27">
              <w:rPr>
                <w:szCs w:val="19"/>
              </w:rPr>
              <w:t>;</w:t>
            </w:r>
            <w:r w:rsidRPr="008A09B9">
              <w:rPr>
                <w:szCs w:val="19"/>
              </w:rPr>
              <w:t xml:space="preserve"> and degradation of land</w:t>
            </w:r>
            <w:r w:rsidR="00CF2D27">
              <w:rPr>
                <w:szCs w:val="19"/>
              </w:rPr>
              <w:t xml:space="preserve"> and</w:t>
            </w:r>
            <w:r w:rsidRPr="008A09B9">
              <w:rPr>
                <w:szCs w:val="19"/>
              </w:rPr>
              <w:t xml:space="preserve"> inland and coastal aquatic environments. Within this broad context, students will discuss the possible impacts on future generations, the ways in which to manage or respond to environmental change and the differences in people’s views about the causes of environmental issues in Australia and across the world. </w:t>
            </w:r>
          </w:p>
          <w:p w14:paraId="474214CB" w14:textId="0451A992" w:rsidR="008A09B9" w:rsidRPr="007F58A1" w:rsidRDefault="008A09B9" w:rsidP="008A09B9">
            <w:bookmarkStart w:id="3" w:name="_Hlk71812095"/>
            <w:r w:rsidRPr="008A09B9">
              <w:rPr>
                <w:sz w:val="19"/>
                <w:szCs w:val="19"/>
              </w:rPr>
              <w:t xml:space="preserve">The context for study will then narrow to investigate the impact of human development on </w:t>
            </w:r>
            <w:proofErr w:type="spellStart"/>
            <w:r w:rsidR="00CF2D27">
              <w:rPr>
                <w:sz w:val="19"/>
                <w:szCs w:val="19"/>
              </w:rPr>
              <w:t>Minjerribah’s</w:t>
            </w:r>
            <w:proofErr w:type="spellEnd"/>
            <w:r w:rsidR="00CF2D27">
              <w:rPr>
                <w:sz w:val="19"/>
                <w:szCs w:val="19"/>
              </w:rPr>
              <w:t xml:space="preserve"> (</w:t>
            </w:r>
            <w:r w:rsidRPr="008A09B9">
              <w:rPr>
                <w:sz w:val="19"/>
                <w:szCs w:val="19"/>
              </w:rPr>
              <w:t>North Stradbroke Island’s</w:t>
            </w:r>
            <w:r w:rsidR="00CF2D27">
              <w:rPr>
                <w:sz w:val="19"/>
                <w:szCs w:val="19"/>
              </w:rPr>
              <w:t>)</w:t>
            </w:r>
            <w:r w:rsidRPr="008A09B9">
              <w:rPr>
                <w:sz w:val="19"/>
                <w:szCs w:val="19"/>
              </w:rPr>
              <w:t xml:space="preserve"> mangrove forests </w:t>
            </w:r>
            <w:r w:rsidR="00CF2D27">
              <w:rPr>
                <w:sz w:val="19"/>
                <w:szCs w:val="19"/>
              </w:rPr>
              <w:t>(</w:t>
            </w:r>
            <w:proofErr w:type="spellStart"/>
            <w:r w:rsidR="00CF2D27">
              <w:rPr>
                <w:sz w:val="19"/>
                <w:szCs w:val="19"/>
              </w:rPr>
              <w:t>Quandamooka</w:t>
            </w:r>
            <w:proofErr w:type="spellEnd"/>
            <w:r w:rsidR="00CF2D27">
              <w:rPr>
                <w:sz w:val="19"/>
                <w:szCs w:val="19"/>
              </w:rPr>
              <w:t xml:space="preserve"> Country — </w:t>
            </w:r>
            <w:r w:rsidRPr="008A09B9">
              <w:rPr>
                <w:sz w:val="19"/>
                <w:szCs w:val="19"/>
              </w:rPr>
              <w:t xml:space="preserve">Moreton Bay, Queensland). </w:t>
            </w:r>
            <w:bookmarkEnd w:id="3"/>
            <w:r w:rsidRPr="008A09B9">
              <w:rPr>
                <w:sz w:val="19"/>
                <w:szCs w:val="19"/>
              </w:rPr>
              <w:t>The investigation will focus on describing the nature of change, examining the consequences of development on the mangrove forests</w:t>
            </w:r>
            <w:r w:rsidR="00CF2D27">
              <w:rPr>
                <w:sz w:val="19"/>
                <w:szCs w:val="19"/>
              </w:rPr>
              <w:t>’</w:t>
            </w:r>
            <w:r w:rsidRPr="008A09B9">
              <w:rPr>
                <w:sz w:val="19"/>
                <w:szCs w:val="19"/>
              </w:rPr>
              <w:t xml:space="preserve"> sustainability and </w:t>
            </w:r>
            <w:r w:rsidRPr="008A09B9">
              <w:rPr>
                <w:sz w:val="19"/>
                <w:szCs w:val="19"/>
              </w:rPr>
              <w:lastRenderedPageBreak/>
              <w:t>evaluating management responses using environmental</w:t>
            </w:r>
            <w:r w:rsidR="00094E45">
              <w:rPr>
                <w:sz w:val="19"/>
                <w:szCs w:val="19"/>
              </w:rPr>
              <w:t>,</w:t>
            </w:r>
            <w:r w:rsidRPr="008A09B9">
              <w:rPr>
                <w:sz w:val="19"/>
                <w:szCs w:val="19"/>
              </w:rPr>
              <w:t xml:space="preserve"> economic and social criteria. Students will research the role of Aboriginal Traditional Owners in environmental management, as well as the views of a range of other people, </w:t>
            </w:r>
            <w:r w:rsidR="00A400FC">
              <w:rPr>
                <w:sz w:val="19"/>
                <w:szCs w:val="19"/>
              </w:rPr>
              <w:t>e.g.</w:t>
            </w:r>
            <w:r w:rsidRPr="008A09B9">
              <w:rPr>
                <w:sz w:val="19"/>
                <w:szCs w:val="19"/>
              </w:rPr>
              <w:t xml:space="preserve"> residents, conservationists, holiday makers, local businesses, developers, local government and </w:t>
            </w:r>
            <w:r w:rsidR="00CF2D27">
              <w:rPr>
                <w:sz w:val="19"/>
                <w:szCs w:val="19"/>
              </w:rPr>
              <w:t>s</w:t>
            </w:r>
            <w:r w:rsidR="00CF2D27" w:rsidRPr="008A09B9">
              <w:rPr>
                <w:sz w:val="19"/>
                <w:szCs w:val="19"/>
              </w:rPr>
              <w:t xml:space="preserve">tate </w:t>
            </w:r>
            <w:r w:rsidRPr="008A09B9">
              <w:rPr>
                <w:sz w:val="19"/>
                <w:szCs w:val="19"/>
              </w:rPr>
              <w:t xml:space="preserve">government. Relevant primary data will also be interpreted, analysed and evaluated in order to support arguments and explanations. This geographical data will be collected and recorded by students on a one-day field trip to </w:t>
            </w:r>
            <w:proofErr w:type="spellStart"/>
            <w:r w:rsidR="00A400FC">
              <w:rPr>
                <w:sz w:val="19"/>
                <w:szCs w:val="19"/>
              </w:rPr>
              <w:t>Minjerribah</w:t>
            </w:r>
            <w:proofErr w:type="spellEnd"/>
            <w:r w:rsidRPr="008A09B9">
              <w:rPr>
                <w:sz w:val="19"/>
                <w:szCs w:val="19"/>
              </w:rPr>
              <w:t xml:space="preserve">. To conclude the unit, students will compare the management of environmental change on </w:t>
            </w:r>
            <w:proofErr w:type="spellStart"/>
            <w:r w:rsidR="00A400FC">
              <w:rPr>
                <w:sz w:val="19"/>
                <w:szCs w:val="19"/>
              </w:rPr>
              <w:t>Minjerribah</w:t>
            </w:r>
            <w:proofErr w:type="spellEnd"/>
            <w:r w:rsidRPr="008A09B9">
              <w:rPr>
                <w:sz w:val="19"/>
                <w:szCs w:val="19"/>
              </w:rPr>
              <w:t xml:space="preserve"> to a similar challenge in another country. This will be discussed and explained using an example from the Asia</w:t>
            </w:r>
            <w:r w:rsidR="00A400FC">
              <w:rPr>
                <w:sz w:val="19"/>
                <w:szCs w:val="19"/>
              </w:rPr>
              <w:t>–</w:t>
            </w:r>
            <w:r w:rsidRPr="008A09B9">
              <w:rPr>
                <w:sz w:val="19"/>
                <w:szCs w:val="19"/>
              </w:rPr>
              <w:t>Pacific region</w:t>
            </w:r>
            <w:r w:rsidR="00A400FC">
              <w:rPr>
                <w:sz w:val="19"/>
                <w:szCs w:val="19"/>
              </w:rPr>
              <w:t>,</w:t>
            </w:r>
            <w:r w:rsidRPr="008A09B9">
              <w:rPr>
                <w:sz w:val="19"/>
                <w:szCs w:val="19"/>
              </w:rPr>
              <w:t xml:space="preserve"> e.g. mangrove management in the Solomon Islands,</w:t>
            </w:r>
            <w:r w:rsidR="00094E45">
              <w:rPr>
                <w:sz w:val="19"/>
                <w:szCs w:val="19"/>
              </w:rPr>
              <w:t xml:space="preserve"> or </w:t>
            </w:r>
            <w:r w:rsidRPr="008A09B9">
              <w:rPr>
                <w:sz w:val="19"/>
                <w:szCs w:val="19"/>
              </w:rPr>
              <w:t xml:space="preserve">coastal resource management in </w:t>
            </w:r>
            <w:proofErr w:type="spellStart"/>
            <w:r w:rsidRPr="008A09B9">
              <w:rPr>
                <w:sz w:val="19"/>
                <w:szCs w:val="19"/>
              </w:rPr>
              <w:t>Cogtong</w:t>
            </w:r>
            <w:proofErr w:type="spellEnd"/>
            <w:r w:rsidRPr="008A09B9">
              <w:rPr>
                <w:sz w:val="19"/>
                <w:szCs w:val="19"/>
              </w:rPr>
              <w:t xml:space="preserve"> Bay, Philippines.</w:t>
            </w:r>
          </w:p>
        </w:tc>
        <w:tc>
          <w:tcPr>
            <w:tcW w:w="2499" w:type="pct"/>
          </w:tcPr>
          <w:p w14:paraId="4D248B88" w14:textId="77777777" w:rsidR="008A09B9" w:rsidRDefault="008A09B9" w:rsidP="008A09B9">
            <w:pPr>
              <w:pStyle w:val="Tabletext"/>
            </w:pPr>
            <w:r w:rsidRPr="00062E96">
              <w:lastRenderedPageBreak/>
              <w:t>Inquiry question:</w:t>
            </w:r>
            <w:r>
              <w:t xml:space="preserve"> How do we explain global patterns of human wellbeing?</w:t>
            </w:r>
          </w:p>
          <w:p w14:paraId="0E09CDCE" w14:textId="38D60574" w:rsidR="008A09B9" w:rsidRDefault="008A09B9" w:rsidP="008A09B9">
            <w:pPr>
              <w:pStyle w:val="Tabletext"/>
            </w:pPr>
            <w:r>
              <w:t xml:space="preserve">In this unit, students begin by focusing on different ways to measure human wellbeing. Students will develop an understanding of objective indicators including birth rates, death rates, life </w:t>
            </w:r>
            <w:r w:rsidR="00812454">
              <w:t>expectancy, educational</w:t>
            </w:r>
            <w:r>
              <w:t xml:space="preserve"> attainment, </w:t>
            </w:r>
            <w:r w:rsidR="00A400FC">
              <w:t xml:space="preserve">gross domestic product </w:t>
            </w:r>
            <w:r>
              <w:t xml:space="preserve">(GDP) per capita and income, and subjective measures including how people perceive the quality of their life as revealed by surveys of happiness. Students will also focus on different measures of development such as economic, social and political changes that improve the wellbeing of people. </w:t>
            </w:r>
          </w:p>
          <w:p w14:paraId="292912CE" w14:textId="77777777" w:rsidR="008A09B9" w:rsidRDefault="008A09B9" w:rsidP="008A09B9">
            <w:pPr>
              <w:pStyle w:val="Tabletext"/>
            </w:pPr>
            <w:r>
              <w:t xml:space="preserve">After identifying trends in indicators for different countries, students will investigate the reasons for spatial variations, the impact on human wellbeing and the issues that affect development. This will involve using three case studies. </w:t>
            </w:r>
          </w:p>
          <w:p w14:paraId="27C340CE" w14:textId="77777777" w:rsidR="008A09B9" w:rsidRDefault="008A09B9" w:rsidP="008A09B9">
            <w:pPr>
              <w:pStyle w:val="Tabletext"/>
            </w:pPr>
            <w:r>
              <w:t xml:space="preserve">The first case study will consider the reasons for, and consequences of, spatial variations in human wellbeing in Australia at the local scale. It will focus on interpreting and analysing geographical data associated with homelessness in a rural, urban or remote place. </w:t>
            </w:r>
          </w:p>
          <w:p w14:paraId="0899DBC2" w14:textId="77777777" w:rsidR="008A09B9" w:rsidRDefault="008A09B9" w:rsidP="008A09B9">
            <w:pPr>
              <w:pStyle w:val="Tabletext"/>
            </w:pPr>
            <w:r>
              <w:lastRenderedPageBreak/>
              <w:t xml:space="preserve">The second case study will focus on spatial variations in human wellbeing between India and Vietnam. This will be through the lens of the clothing manufacturing industry in these two Asian countries (regional scale). </w:t>
            </w:r>
          </w:p>
          <w:p w14:paraId="11904871" w14:textId="059BF3E2" w:rsidR="008A09B9" w:rsidRPr="007A6393" w:rsidRDefault="008A09B9" w:rsidP="004725E5">
            <w:pPr>
              <w:pStyle w:val="Tabletext"/>
              <w:rPr>
                <w:sz w:val="21"/>
                <w14:numForm w14:val="lining"/>
              </w:rPr>
            </w:pPr>
            <w:r>
              <w:t>The final case study will be on the issue of fairer international trading arrangements for developing countries in Africa’s cocoa producing region</w:t>
            </w:r>
            <w:r w:rsidR="00A400FC">
              <w:t>,</w:t>
            </w:r>
            <w:r>
              <w:t xml:space="preserve"> e.g. </w:t>
            </w:r>
            <w:r w:rsidRPr="007A6393">
              <w:rPr>
                <w:rStyle w:val="Strong"/>
                <w:b w:val="0"/>
              </w:rPr>
              <w:t>Côte d'Ivoire</w:t>
            </w:r>
            <w:r w:rsidR="00A400FC">
              <w:rPr>
                <w:rStyle w:val="Strong"/>
                <w:b w:val="0"/>
              </w:rPr>
              <w:t>,</w:t>
            </w:r>
            <w:r w:rsidR="00A400FC">
              <w:rPr>
                <w:rStyle w:val="Strong"/>
              </w:rPr>
              <w:t xml:space="preserve"> </w:t>
            </w:r>
            <w:r w:rsidRPr="007A6393">
              <w:rPr>
                <w:rStyle w:val="Strong"/>
                <w:b w:val="0"/>
              </w:rPr>
              <w:t xml:space="preserve">Ghana and Nigeria. In addressing this issue economically and politically, there is </w:t>
            </w:r>
            <w:r w:rsidRPr="007A6393">
              <w:t>t</w:t>
            </w:r>
            <w:r>
              <w:t>he potential for a better distribution of wealth to workers when a ‘fair price’ is received by cocoa producers in these countries, and to improve human wellbeing through an improved access to services</w:t>
            </w:r>
            <w:r w:rsidR="00A400FC">
              <w:t>,</w:t>
            </w:r>
            <w:r>
              <w:t xml:space="preserve"> e.g. health, clean water, sanitation.</w:t>
            </w:r>
            <w:r>
              <w:rPr>
                <w:sz w:val="21"/>
                <w14:numForm w14:val="lining"/>
              </w:rPr>
              <w:t xml:space="preserve"> </w:t>
            </w:r>
          </w:p>
        </w:tc>
      </w:tr>
    </w:tbl>
    <w:p w14:paraId="64FC50B6" w14:textId="77777777" w:rsidR="00AB580C" w:rsidRPr="002C2B6C" w:rsidRDefault="00DB6943" w:rsidP="00400A9D">
      <w:pPr>
        <w:pStyle w:val="Heading1"/>
      </w:pPr>
      <w:r>
        <w:lastRenderedPageBreak/>
        <w:t>Assessment overview</w:t>
      </w:r>
    </w:p>
    <w:tbl>
      <w:tblPr>
        <w:tblStyle w:val="QCAAtablestyle2"/>
        <w:tblW w:w="4995" w:type="pct"/>
        <w:tblInd w:w="25" w:type="dxa"/>
        <w:tblLook w:val="06A0" w:firstRow="1" w:lastRow="0" w:firstColumn="1" w:lastColumn="0" w:noHBand="1" w:noVBand="1"/>
      </w:tblPr>
      <w:tblGrid>
        <w:gridCol w:w="687"/>
        <w:gridCol w:w="8919"/>
        <w:gridCol w:w="871"/>
        <w:gridCol w:w="9564"/>
        <w:gridCol w:w="905"/>
      </w:tblGrid>
      <w:tr w:rsidR="00F02142" w14:paraId="702C3A47" w14:textId="77777777" w:rsidTr="00F02142">
        <w:trPr>
          <w:cnfStyle w:val="100000000000" w:firstRow="1" w:lastRow="0" w:firstColumn="0" w:lastColumn="0" w:oddVBand="0" w:evenVBand="0" w:oddHBand="0" w:evenHBand="0" w:firstRowFirstColumn="0" w:firstRowLastColumn="0" w:lastRowFirstColumn="0" w:lastRowLastColumn="0"/>
          <w:trHeight w:val="303"/>
          <w:tblHeader/>
        </w:trPr>
        <w:tc>
          <w:tcPr>
            <w:cnfStyle w:val="001000000100" w:firstRow="0" w:lastRow="0" w:firstColumn="1" w:lastColumn="0" w:oddVBand="0" w:evenVBand="0" w:oddHBand="0" w:evenHBand="0" w:firstRowFirstColumn="1" w:firstRowLastColumn="0" w:lastRowFirstColumn="0" w:lastRowLastColumn="0"/>
            <w:tcW w:w="164" w:type="pct"/>
            <w:tcBorders>
              <w:bottom w:val="nil"/>
            </w:tcBorders>
            <w:shd w:val="clear" w:color="auto" w:fill="auto"/>
          </w:tcPr>
          <w:p w14:paraId="3EB13281" w14:textId="77777777" w:rsidR="00F02142" w:rsidRDefault="00F02142" w:rsidP="00090A56">
            <w:pPr>
              <w:pStyle w:val="Tableheading"/>
            </w:pPr>
          </w:p>
        </w:tc>
        <w:tc>
          <w:tcPr>
            <w:tcW w:w="2337" w:type="pct"/>
            <w:gridSpan w:val="2"/>
          </w:tcPr>
          <w:p w14:paraId="2EEB5748" w14:textId="77777777" w:rsidR="00F02142" w:rsidRDefault="00F02142" w:rsidP="00090A56">
            <w:pPr>
              <w:pStyle w:val="Tableheading"/>
              <w:cnfStyle w:val="100000000000" w:firstRow="1" w:lastRow="0" w:firstColumn="0" w:lastColumn="0" w:oddVBand="0" w:evenVBand="0" w:oddHBand="0" w:evenHBand="0" w:firstRowFirstColumn="0" w:firstRowLastColumn="0" w:lastRowFirstColumn="0" w:lastRowLastColumn="0"/>
            </w:pPr>
            <w:r>
              <w:t>Term 1</w:t>
            </w:r>
          </w:p>
        </w:tc>
        <w:tc>
          <w:tcPr>
            <w:tcW w:w="2499" w:type="pct"/>
            <w:gridSpan w:val="2"/>
          </w:tcPr>
          <w:p w14:paraId="15802586" w14:textId="77777777" w:rsidR="00F02142" w:rsidRDefault="00F02142" w:rsidP="00090A56">
            <w:pPr>
              <w:pStyle w:val="Tableheading"/>
              <w:cnfStyle w:val="100000000000" w:firstRow="1" w:lastRow="0" w:firstColumn="0" w:lastColumn="0" w:oddVBand="0" w:evenVBand="0" w:oddHBand="0" w:evenHBand="0" w:firstRowFirstColumn="0" w:firstRowLastColumn="0" w:lastRowFirstColumn="0" w:lastRowLastColumn="0"/>
            </w:pPr>
            <w:r>
              <w:t>Term 2</w:t>
            </w:r>
          </w:p>
        </w:tc>
      </w:tr>
      <w:tr w:rsidR="002B0522" w14:paraId="4EC7F0EE" w14:textId="77777777" w:rsidTr="00F02142">
        <w:trPr>
          <w:trHeight w:val="288"/>
        </w:trPr>
        <w:tc>
          <w:tcPr>
            <w:cnfStyle w:val="001000000000" w:firstRow="0" w:lastRow="0" w:firstColumn="1" w:lastColumn="0" w:oddVBand="0" w:evenVBand="0" w:oddHBand="0" w:evenHBand="0" w:firstRowFirstColumn="0" w:firstRowLastColumn="0" w:lastRowFirstColumn="0" w:lastRowLastColumn="0"/>
            <w:tcW w:w="164" w:type="pct"/>
            <w:tcBorders>
              <w:top w:val="nil"/>
              <w:left w:val="nil"/>
            </w:tcBorders>
            <w:shd w:val="clear" w:color="auto" w:fill="auto"/>
          </w:tcPr>
          <w:p w14:paraId="6BC4A343" w14:textId="77777777" w:rsidR="008A09B9" w:rsidRDefault="008A09B9" w:rsidP="00090A56">
            <w:pPr>
              <w:pStyle w:val="Tabletext"/>
            </w:pPr>
          </w:p>
        </w:tc>
        <w:tc>
          <w:tcPr>
            <w:tcW w:w="2129" w:type="pct"/>
          </w:tcPr>
          <w:p w14:paraId="71B829B6" w14:textId="77777777" w:rsidR="008A09B9" w:rsidRPr="005B387D" w:rsidRDefault="002C2B6C" w:rsidP="0022393A">
            <w:pPr>
              <w:pStyle w:val="Tablesubhead"/>
              <w:cnfStyle w:val="000000000000" w:firstRow="0" w:lastRow="0" w:firstColumn="0" w:lastColumn="0" w:oddVBand="0" w:evenVBand="0" w:oddHBand="0" w:evenHBand="0" w:firstRowFirstColumn="0" w:firstRowLastColumn="0" w:lastRowFirstColumn="0" w:lastRowLastColumn="0"/>
            </w:pPr>
            <w:r w:rsidRPr="005B387D">
              <w:t xml:space="preserve">Unit 1 — Environment, place and change </w:t>
            </w:r>
          </w:p>
        </w:tc>
        <w:tc>
          <w:tcPr>
            <w:tcW w:w="208" w:type="pct"/>
          </w:tcPr>
          <w:p w14:paraId="41252C5E" w14:textId="77777777" w:rsidR="008A09B9" w:rsidRPr="005B387D" w:rsidRDefault="008A09B9" w:rsidP="007A6393">
            <w:pPr>
              <w:pStyle w:val="Tablesubhead"/>
              <w:jc w:val="center"/>
              <w:cnfStyle w:val="000000000000" w:firstRow="0" w:lastRow="0" w:firstColumn="0" w:lastColumn="0" w:oddVBand="0" w:evenVBand="0" w:oddHBand="0" w:evenHBand="0" w:firstRowFirstColumn="0" w:firstRowLastColumn="0" w:lastRowFirstColumn="0" w:lastRowLastColumn="0"/>
            </w:pPr>
            <w:r w:rsidRPr="005B387D">
              <w:t>Week/s</w:t>
            </w:r>
          </w:p>
        </w:tc>
        <w:tc>
          <w:tcPr>
            <w:tcW w:w="2283" w:type="pct"/>
          </w:tcPr>
          <w:p w14:paraId="4A23F8BA" w14:textId="77777777" w:rsidR="008A09B9" w:rsidRPr="005B387D" w:rsidRDefault="002C2B6C" w:rsidP="0022393A">
            <w:pPr>
              <w:pStyle w:val="Tablesubhead"/>
              <w:cnfStyle w:val="000000000000" w:firstRow="0" w:lastRow="0" w:firstColumn="0" w:lastColumn="0" w:oddVBand="0" w:evenVBand="0" w:oddHBand="0" w:evenHBand="0" w:firstRowFirstColumn="0" w:firstRowLastColumn="0" w:lastRowFirstColumn="0" w:lastRowLastColumn="0"/>
            </w:pPr>
            <w:r w:rsidRPr="005B387D">
              <w:t xml:space="preserve">Unit 2 — Wellbeing in the world </w:t>
            </w:r>
          </w:p>
        </w:tc>
        <w:tc>
          <w:tcPr>
            <w:tcW w:w="216" w:type="pct"/>
            <w:tcBorders>
              <w:bottom w:val="single" w:sz="4" w:space="0" w:color="A6A6A6"/>
            </w:tcBorders>
          </w:tcPr>
          <w:p w14:paraId="6109C498" w14:textId="77777777" w:rsidR="008A09B9" w:rsidRPr="005B387D" w:rsidRDefault="008A09B9" w:rsidP="007A6393">
            <w:pPr>
              <w:pStyle w:val="Tablesubhead"/>
              <w:jc w:val="center"/>
              <w:cnfStyle w:val="000000000000" w:firstRow="0" w:lastRow="0" w:firstColumn="0" w:lastColumn="0" w:oddVBand="0" w:evenVBand="0" w:oddHBand="0" w:evenHBand="0" w:firstRowFirstColumn="0" w:firstRowLastColumn="0" w:lastRowFirstColumn="0" w:lastRowLastColumn="0"/>
            </w:pPr>
            <w:r w:rsidRPr="005B387D">
              <w:t>Week</w:t>
            </w:r>
          </w:p>
        </w:tc>
      </w:tr>
      <w:tr w:rsidR="002B0522" w14:paraId="5FE1617F" w14:textId="77777777" w:rsidTr="00F02142">
        <w:trPr>
          <w:cantSplit/>
          <w:trHeight w:val="2721"/>
        </w:trPr>
        <w:tc>
          <w:tcPr>
            <w:cnfStyle w:val="001000000000" w:firstRow="0" w:lastRow="0" w:firstColumn="1" w:lastColumn="0" w:oddVBand="0" w:evenVBand="0" w:oddHBand="0" w:evenHBand="0" w:firstRowFirstColumn="0" w:firstRowLastColumn="0" w:lastRowFirstColumn="0" w:lastRowLastColumn="0"/>
            <w:tcW w:w="164" w:type="pct"/>
            <w:textDirection w:val="btLr"/>
          </w:tcPr>
          <w:p w14:paraId="6772C202" w14:textId="77777777" w:rsidR="008A09B9" w:rsidRDefault="008A09B9" w:rsidP="009D30E3">
            <w:pPr>
              <w:pStyle w:val="Tablesubhead"/>
              <w:ind w:left="113" w:right="113"/>
              <w:jc w:val="center"/>
            </w:pPr>
            <w:r>
              <w:t>Assessment</w:t>
            </w:r>
          </w:p>
        </w:tc>
        <w:tc>
          <w:tcPr>
            <w:tcW w:w="2129" w:type="pct"/>
          </w:tcPr>
          <w:p w14:paraId="3889C7FB" w14:textId="77777777" w:rsidR="008A09B9" w:rsidRPr="008232C7" w:rsidRDefault="008A09B9" w:rsidP="002A31C7">
            <w:pPr>
              <w:pStyle w:val="Tabletext"/>
              <w:cnfStyle w:val="000000000000" w:firstRow="0" w:lastRow="0" w:firstColumn="0" w:lastColumn="0" w:oddVBand="0" w:evenVBand="0" w:oddHBand="0" w:evenHBand="0" w:firstRowFirstColumn="0" w:firstRowLastColumn="0" w:lastRowFirstColumn="0" w:lastRowLastColumn="0"/>
            </w:pPr>
            <w:r w:rsidRPr="008232C7">
              <w:t>Technique: Investigation</w:t>
            </w:r>
          </w:p>
          <w:p w14:paraId="18C9A853" w14:textId="68C4E71B" w:rsidR="008A09B9" w:rsidRPr="002A31C7" w:rsidRDefault="008A09B9" w:rsidP="002A31C7">
            <w:pPr>
              <w:pStyle w:val="Tabletext"/>
              <w:cnfStyle w:val="000000000000" w:firstRow="0" w:lastRow="0" w:firstColumn="0" w:lastColumn="0" w:oddVBand="0" w:evenVBand="0" w:oddHBand="0" w:evenHBand="0" w:firstRowFirstColumn="0" w:firstRowLastColumn="0" w:lastRowFirstColumn="0" w:lastRowLastColumn="0"/>
            </w:pPr>
            <w:r w:rsidRPr="002A31C7">
              <w:t xml:space="preserve">Students </w:t>
            </w:r>
            <w:r w:rsidR="00A400FC">
              <w:t xml:space="preserve">will </w:t>
            </w:r>
            <w:r w:rsidRPr="002A31C7">
              <w:t xml:space="preserve">construct a field trip report that presents findings in response to an inquiry question on the management of environmental change on </w:t>
            </w:r>
            <w:proofErr w:type="spellStart"/>
            <w:r w:rsidR="00A400FC">
              <w:t>Minjerribah</w:t>
            </w:r>
            <w:proofErr w:type="spellEnd"/>
            <w:r w:rsidR="00A400FC">
              <w:t xml:space="preserve"> (</w:t>
            </w:r>
            <w:r w:rsidRPr="002A31C7">
              <w:t>North Stradbroke Island</w:t>
            </w:r>
            <w:r w:rsidR="00A400FC">
              <w:t>)</w:t>
            </w:r>
            <w:r w:rsidRPr="002A31C7">
              <w:t xml:space="preserve">. </w:t>
            </w:r>
          </w:p>
          <w:p w14:paraId="0B4B3E37" w14:textId="77777777" w:rsidR="008A09B9" w:rsidRPr="008A09B9" w:rsidRDefault="008A09B9" w:rsidP="002A31C7">
            <w:pPr>
              <w:pStyle w:val="Tabletext"/>
              <w:cnfStyle w:val="000000000000" w:firstRow="0" w:lastRow="0" w:firstColumn="0" w:lastColumn="0" w:oddVBand="0" w:evenVBand="0" w:oddHBand="0" w:evenHBand="0" w:firstRowFirstColumn="0" w:firstRowLastColumn="0" w:lastRowFirstColumn="0" w:lastRowLastColumn="0"/>
            </w:pPr>
          </w:p>
          <w:p w14:paraId="609E7116" w14:textId="77777777" w:rsidR="00062E96" w:rsidRDefault="00062E96" w:rsidP="002A31C7">
            <w:pPr>
              <w:pStyle w:val="Tabletext"/>
              <w:cnfStyle w:val="000000000000" w:firstRow="0" w:lastRow="0" w:firstColumn="0" w:lastColumn="0" w:oddVBand="0" w:evenVBand="0" w:oddHBand="0" w:evenHBand="0" w:firstRowFirstColumn="0" w:firstRowLastColumn="0" w:lastRowFirstColumn="0" w:lastRowLastColumn="0"/>
            </w:pPr>
            <w:r>
              <w:t>Format: Written</w:t>
            </w:r>
          </w:p>
          <w:p w14:paraId="3965402B" w14:textId="77777777" w:rsidR="00062E96" w:rsidRDefault="00062E96" w:rsidP="002A31C7">
            <w:pPr>
              <w:pStyle w:val="Tabletext"/>
              <w:cnfStyle w:val="000000000000" w:firstRow="0" w:lastRow="0" w:firstColumn="0" w:lastColumn="0" w:oddVBand="0" w:evenVBand="0" w:oddHBand="0" w:evenHBand="0" w:firstRowFirstColumn="0" w:firstRowLastColumn="0" w:lastRowFirstColumn="0" w:lastRowLastColumn="0"/>
            </w:pPr>
          </w:p>
          <w:p w14:paraId="7C5B9007" w14:textId="77777777" w:rsidR="008A09B9" w:rsidRPr="008232C7" w:rsidRDefault="008A09B9" w:rsidP="002A31C7">
            <w:pPr>
              <w:pStyle w:val="Tabletext"/>
              <w:cnfStyle w:val="000000000000" w:firstRow="0" w:lastRow="0" w:firstColumn="0" w:lastColumn="0" w:oddVBand="0" w:evenVBand="0" w:oddHBand="0" w:evenHBand="0" w:firstRowFirstColumn="0" w:firstRowLastColumn="0" w:lastRowFirstColumn="0" w:lastRowLastColumn="0"/>
            </w:pPr>
            <w:r w:rsidRPr="008232C7">
              <w:t>Conditions:</w:t>
            </w:r>
          </w:p>
          <w:p w14:paraId="516221AF" w14:textId="77777777" w:rsidR="00A400FC" w:rsidRDefault="008A09B9" w:rsidP="00A400FC">
            <w:pPr>
              <w:pStyle w:val="TableBullet"/>
              <w:cnfStyle w:val="000000000000" w:firstRow="0" w:lastRow="0" w:firstColumn="0" w:lastColumn="0" w:oddVBand="0" w:evenVBand="0" w:oddHBand="0" w:evenHBand="0" w:firstRowFirstColumn="0" w:firstRowLastColumn="0" w:lastRowFirstColumn="0" w:lastRowLastColumn="0"/>
            </w:pPr>
            <w:r w:rsidRPr="008A09B9">
              <w:t>Fieldwork: 5 hours</w:t>
            </w:r>
          </w:p>
          <w:p w14:paraId="5FB157A6" w14:textId="4AE7D62E" w:rsidR="008A09B9" w:rsidRPr="008A09B9" w:rsidRDefault="008A09B9" w:rsidP="006D11A2">
            <w:pPr>
              <w:pStyle w:val="TableBullet"/>
              <w:cnfStyle w:val="000000000000" w:firstRow="0" w:lastRow="0" w:firstColumn="0" w:lastColumn="0" w:oddVBand="0" w:evenVBand="0" w:oddHBand="0" w:evenHBand="0" w:firstRowFirstColumn="0" w:firstRowLastColumn="0" w:lastRowFirstColumn="0" w:lastRowLastColumn="0"/>
            </w:pPr>
            <w:r w:rsidRPr="008A09B9">
              <w:t>Compiling report: 4 weeks in class</w:t>
            </w:r>
          </w:p>
          <w:p w14:paraId="317C65EE" w14:textId="3B107B94" w:rsidR="00F55AEB" w:rsidRPr="00F55AEB" w:rsidRDefault="008A09B9" w:rsidP="006D11A2">
            <w:pPr>
              <w:pStyle w:val="TableBullet"/>
              <w:cnfStyle w:val="000000000000" w:firstRow="0" w:lastRow="0" w:firstColumn="0" w:lastColumn="0" w:oddVBand="0" w:evenVBand="0" w:oddHBand="0" w:evenHBand="0" w:firstRowFirstColumn="0" w:firstRowLastColumn="0" w:lastRowFirstColumn="0" w:lastRowLastColumn="0"/>
            </w:pPr>
            <w:r w:rsidRPr="008A09B9">
              <w:t>600</w:t>
            </w:r>
            <w:r w:rsidR="00A400FC">
              <w:t>–</w:t>
            </w:r>
            <w:r w:rsidRPr="008A09B9">
              <w:t>800 words</w:t>
            </w:r>
          </w:p>
        </w:tc>
        <w:tc>
          <w:tcPr>
            <w:tcW w:w="208" w:type="pct"/>
          </w:tcPr>
          <w:p w14:paraId="0C5F2126" w14:textId="77777777" w:rsidR="00306BB4" w:rsidRDefault="00306BB4" w:rsidP="002A31C7">
            <w:pPr>
              <w:pStyle w:val="Tabletext"/>
              <w:jc w:val="center"/>
              <w:cnfStyle w:val="000000000000" w:firstRow="0" w:lastRow="0" w:firstColumn="0" w:lastColumn="0" w:oddVBand="0" w:evenVBand="0" w:oddHBand="0" w:evenHBand="0" w:firstRowFirstColumn="0" w:firstRowLastColumn="0" w:lastRowFirstColumn="0" w:lastRowLastColumn="0"/>
            </w:pPr>
            <w:r>
              <w:t>5</w:t>
            </w:r>
            <w:r w:rsidR="002A31C7">
              <w:t>–9</w:t>
            </w:r>
          </w:p>
          <w:p w14:paraId="38875F6F" w14:textId="77777777" w:rsidR="008B7887" w:rsidRPr="008B7887" w:rsidRDefault="008B7887" w:rsidP="008B7887">
            <w:pPr>
              <w:pStyle w:val="Tabletext"/>
              <w:cnfStyle w:val="000000000000" w:firstRow="0" w:lastRow="0" w:firstColumn="0" w:lastColumn="0" w:oddVBand="0" w:evenVBand="0" w:oddHBand="0" w:evenHBand="0" w:firstRowFirstColumn="0" w:firstRowLastColumn="0" w:lastRowFirstColumn="0" w:lastRowLastColumn="0"/>
            </w:pPr>
          </w:p>
        </w:tc>
        <w:tc>
          <w:tcPr>
            <w:tcW w:w="2283" w:type="pct"/>
          </w:tcPr>
          <w:p w14:paraId="3C64FABE" w14:textId="77777777" w:rsidR="008A09B9" w:rsidRPr="008232C7" w:rsidRDefault="008A09B9" w:rsidP="002A31C7">
            <w:pPr>
              <w:pStyle w:val="Tabletext"/>
              <w:cnfStyle w:val="000000000000" w:firstRow="0" w:lastRow="0" w:firstColumn="0" w:lastColumn="0" w:oddVBand="0" w:evenVBand="0" w:oddHBand="0" w:evenHBand="0" w:firstRowFirstColumn="0" w:firstRowLastColumn="0" w:lastRowFirstColumn="0" w:lastRowLastColumn="0"/>
            </w:pPr>
            <w:r w:rsidRPr="008232C7">
              <w:t>Technique: Examination</w:t>
            </w:r>
          </w:p>
          <w:p w14:paraId="08F42790" w14:textId="635D153D" w:rsidR="008A09B9" w:rsidRPr="008A09B9" w:rsidRDefault="00DE0861" w:rsidP="002A31C7">
            <w:pPr>
              <w:pStyle w:val="Tabletext"/>
              <w:cnfStyle w:val="000000000000" w:firstRow="0" w:lastRow="0" w:firstColumn="0" w:lastColumn="0" w:oddVBand="0" w:evenVBand="0" w:oddHBand="0" w:evenHBand="0" w:firstRowFirstColumn="0" w:firstRowLastColumn="0" w:lastRowFirstColumn="0" w:lastRowLastColumn="0"/>
            </w:pPr>
            <w:r>
              <w:t xml:space="preserve">Students </w:t>
            </w:r>
            <w:r w:rsidR="00A400FC">
              <w:t xml:space="preserve">will </w:t>
            </w:r>
            <w:r>
              <w:t>construct s</w:t>
            </w:r>
            <w:r w:rsidR="008A09B9" w:rsidRPr="008A09B9">
              <w:t>hort and extended response</w:t>
            </w:r>
            <w:r>
              <w:t>s to unseen questions under s</w:t>
            </w:r>
            <w:r w:rsidR="008A09B9" w:rsidRPr="008A09B9">
              <w:t>upervised</w:t>
            </w:r>
            <w:r>
              <w:t xml:space="preserve"> conditions. Questions</w:t>
            </w:r>
            <w:r w:rsidR="00A400FC">
              <w:t xml:space="preserve"> will</w:t>
            </w:r>
            <w:r>
              <w:t xml:space="preserve"> focus on different ways to measure human wellbeing and the three case studies examined throughout the unit.</w:t>
            </w:r>
          </w:p>
          <w:p w14:paraId="199E7F4E" w14:textId="77777777" w:rsidR="008A09B9" w:rsidRPr="008A09B9" w:rsidRDefault="008A09B9" w:rsidP="002A31C7">
            <w:pPr>
              <w:pStyle w:val="Tabletext"/>
              <w:cnfStyle w:val="000000000000" w:firstRow="0" w:lastRow="0" w:firstColumn="0" w:lastColumn="0" w:oddVBand="0" w:evenVBand="0" w:oddHBand="0" w:evenHBand="0" w:firstRowFirstColumn="0" w:firstRowLastColumn="0" w:lastRowFirstColumn="0" w:lastRowLastColumn="0"/>
            </w:pPr>
          </w:p>
          <w:p w14:paraId="70868B74" w14:textId="77777777" w:rsidR="00062E96" w:rsidRDefault="00062E96" w:rsidP="002A31C7">
            <w:pPr>
              <w:pStyle w:val="Tabletext"/>
              <w:cnfStyle w:val="000000000000" w:firstRow="0" w:lastRow="0" w:firstColumn="0" w:lastColumn="0" w:oddVBand="0" w:evenVBand="0" w:oddHBand="0" w:evenHBand="0" w:firstRowFirstColumn="0" w:firstRowLastColumn="0" w:lastRowFirstColumn="0" w:lastRowLastColumn="0"/>
              <w:rPr>
                <w:szCs w:val="19"/>
              </w:rPr>
            </w:pPr>
            <w:r>
              <w:rPr>
                <w:szCs w:val="19"/>
              </w:rPr>
              <w:t>Format: Written</w:t>
            </w:r>
          </w:p>
          <w:p w14:paraId="74A0E337" w14:textId="77777777" w:rsidR="00062E96" w:rsidRDefault="00062E96" w:rsidP="002A31C7">
            <w:pPr>
              <w:pStyle w:val="Tabletext"/>
              <w:cnfStyle w:val="000000000000" w:firstRow="0" w:lastRow="0" w:firstColumn="0" w:lastColumn="0" w:oddVBand="0" w:evenVBand="0" w:oddHBand="0" w:evenHBand="0" w:firstRowFirstColumn="0" w:firstRowLastColumn="0" w:lastRowFirstColumn="0" w:lastRowLastColumn="0"/>
              <w:rPr>
                <w:szCs w:val="19"/>
              </w:rPr>
            </w:pPr>
          </w:p>
          <w:p w14:paraId="5B399B68" w14:textId="77777777" w:rsidR="008A09B9" w:rsidRPr="002A31C7" w:rsidRDefault="008A09B9" w:rsidP="002A31C7">
            <w:pPr>
              <w:pStyle w:val="Tabletext"/>
              <w:cnfStyle w:val="000000000000" w:firstRow="0" w:lastRow="0" w:firstColumn="0" w:lastColumn="0" w:oddVBand="0" w:evenVBand="0" w:oddHBand="0" w:evenHBand="0" w:firstRowFirstColumn="0" w:firstRowLastColumn="0" w:lastRowFirstColumn="0" w:lastRowLastColumn="0"/>
              <w:rPr>
                <w:b/>
                <w:szCs w:val="19"/>
              </w:rPr>
            </w:pPr>
            <w:r w:rsidRPr="008232C7">
              <w:rPr>
                <w:szCs w:val="19"/>
              </w:rPr>
              <w:t>Conditions</w:t>
            </w:r>
            <w:r w:rsidRPr="002A31C7">
              <w:rPr>
                <w:b/>
                <w:szCs w:val="19"/>
              </w:rPr>
              <w:t>:</w:t>
            </w:r>
          </w:p>
          <w:p w14:paraId="4C0BCA4F" w14:textId="77777777" w:rsidR="008A09B9" w:rsidRPr="008A09B9" w:rsidRDefault="007A6393" w:rsidP="006D11A2">
            <w:pPr>
              <w:pStyle w:val="TableBullet"/>
              <w:cnfStyle w:val="000000000000" w:firstRow="0" w:lastRow="0" w:firstColumn="0" w:lastColumn="0" w:oddVBand="0" w:evenVBand="0" w:oddHBand="0" w:evenHBand="0" w:firstRowFirstColumn="0" w:firstRowLastColumn="0" w:lastRowFirstColumn="0" w:lastRowLastColumn="0"/>
            </w:pPr>
            <w:r>
              <w:t>9</w:t>
            </w:r>
            <w:r w:rsidR="008A09B9" w:rsidRPr="008A09B9">
              <w:t>0 minutes, plus 10 minutes</w:t>
            </w:r>
          </w:p>
          <w:p w14:paraId="7B5D1741" w14:textId="77777777" w:rsidR="008A09B9" w:rsidRPr="008A09B9" w:rsidRDefault="008A09B9" w:rsidP="006D11A2">
            <w:pPr>
              <w:pStyle w:val="TableBullet"/>
              <w:cnfStyle w:val="000000000000" w:firstRow="0" w:lastRow="0" w:firstColumn="0" w:lastColumn="0" w:oddVBand="0" w:evenVBand="0" w:oddHBand="0" w:evenHBand="0" w:firstRowFirstColumn="0" w:firstRowLastColumn="0" w:lastRowFirstColumn="0" w:lastRowLastColumn="0"/>
            </w:pPr>
            <w:r w:rsidRPr="008A09B9">
              <w:t>600–800 words</w:t>
            </w:r>
          </w:p>
          <w:p w14:paraId="3D5221A8" w14:textId="77777777" w:rsidR="007A6393" w:rsidRPr="00306BB4" w:rsidRDefault="008A09B9" w:rsidP="006D11A2">
            <w:pPr>
              <w:pStyle w:val="TableBullet2"/>
              <w:cnfStyle w:val="000000000000" w:firstRow="0" w:lastRow="0" w:firstColumn="0" w:lastColumn="0" w:oddVBand="0" w:evenVBand="0" w:oddHBand="0" w:evenHBand="0" w:firstRowFirstColumn="0" w:firstRowLastColumn="0" w:lastRowFirstColumn="0" w:lastRowLastColumn="0"/>
            </w:pPr>
            <w:r w:rsidRPr="00306BB4">
              <w:t>short response 50–100 words per item</w:t>
            </w:r>
          </w:p>
          <w:p w14:paraId="12E20C6A" w14:textId="77777777" w:rsidR="00F55AEB" w:rsidRPr="00F55AEB" w:rsidRDefault="008A09B9" w:rsidP="006D11A2">
            <w:pPr>
              <w:pStyle w:val="TableBullet2"/>
              <w:cnfStyle w:val="000000000000" w:firstRow="0" w:lastRow="0" w:firstColumn="0" w:lastColumn="0" w:oddVBand="0" w:evenVBand="0" w:oddHBand="0" w:evenHBand="0" w:firstRowFirstColumn="0" w:firstRowLastColumn="0" w:lastRowFirstColumn="0" w:lastRowLastColumn="0"/>
            </w:pPr>
            <w:r w:rsidRPr="00306BB4">
              <w:t xml:space="preserve">extended response 300–400 words per item  </w:t>
            </w:r>
          </w:p>
        </w:tc>
        <w:tc>
          <w:tcPr>
            <w:tcW w:w="216" w:type="pct"/>
            <w:tcBorders>
              <w:bottom w:val="single" w:sz="4" w:space="0" w:color="A6A6A6"/>
            </w:tcBorders>
          </w:tcPr>
          <w:p w14:paraId="050304F2" w14:textId="77777777" w:rsidR="008B7887" w:rsidRPr="008B7887" w:rsidRDefault="00306BB4" w:rsidP="00F55AEB">
            <w:pPr>
              <w:pStyle w:val="Tabletext"/>
              <w:jc w:val="center"/>
              <w:cnfStyle w:val="000000000000" w:firstRow="0" w:lastRow="0" w:firstColumn="0" w:lastColumn="0" w:oddVBand="0" w:evenVBand="0" w:oddHBand="0" w:evenHBand="0" w:firstRowFirstColumn="0" w:firstRowLastColumn="0" w:lastRowFirstColumn="0" w:lastRowLastColumn="0"/>
            </w:pPr>
            <w:r>
              <w:t>9</w:t>
            </w:r>
          </w:p>
        </w:tc>
      </w:tr>
      <w:tr w:rsidR="002B0522" w14:paraId="4F493100" w14:textId="77777777" w:rsidTr="00F02142">
        <w:trPr>
          <w:cantSplit/>
          <w:trHeight w:val="3510"/>
        </w:trPr>
        <w:tc>
          <w:tcPr>
            <w:cnfStyle w:val="001000000000" w:firstRow="0" w:lastRow="0" w:firstColumn="1" w:lastColumn="0" w:oddVBand="0" w:evenVBand="0" w:oddHBand="0" w:evenHBand="0" w:firstRowFirstColumn="0" w:firstRowLastColumn="0" w:lastRowFirstColumn="0" w:lastRowLastColumn="0"/>
            <w:tcW w:w="164" w:type="pct"/>
            <w:textDirection w:val="btLr"/>
          </w:tcPr>
          <w:p w14:paraId="64663E12" w14:textId="77777777" w:rsidR="008A09B9" w:rsidRDefault="008A09B9" w:rsidP="009D30E3">
            <w:pPr>
              <w:pStyle w:val="Tablesubhead"/>
              <w:ind w:left="113" w:right="113"/>
              <w:jc w:val="center"/>
            </w:pPr>
            <w:r>
              <w:t>Achievement standard</w:t>
            </w:r>
          </w:p>
        </w:tc>
        <w:tc>
          <w:tcPr>
            <w:tcW w:w="2337" w:type="pct"/>
            <w:gridSpan w:val="2"/>
          </w:tcPr>
          <w:p w14:paraId="416818D2" w14:textId="77777777" w:rsidR="008A09B9" w:rsidRPr="001A3E59" w:rsidRDefault="008A09B9" w:rsidP="008A09B9">
            <w:pPr>
              <w:pStyle w:val="Tabletext"/>
              <w:cnfStyle w:val="000000000000" w:firstRow="0" w:lastRow="0" w:firstColumn="0" w:lastColumn="0" w:oddVBand="0" w:evenVBand="0" w:oddHBand="0" w:evenHBand="0" w:firstRowFirstColumn="0" w:firstRowLastColumn="0" w:lastRowFirstColumn="0" w:lastRowLastColumn="0"/>
            </w:pPr>
            <w:bookmarkStart w:id="4" w:name="_Hlk70003209"/>
            <w:r w:rsidRPr="001A3E59">
              <w:t>By the end of Year 10</w:t>
            </w:r>
            <w:r w:rsidRPr="008B7887">
              <w:t xml:space="preserve">, </w:t>
            </w:r>
            <w:r w:rsidRPr="008B7887">
              <w:rPr>
                <w:rStyle w:val="Shading1"/>
              </w:rPr>
              <w:t>students explain how interactions between geographical processes at different scales change the characteristics of places. Students identify, analyse and explain significant interconnections between people, places and environments and explain changes that result from these interconnections and their consequences. They predict changes in the characteristics of places and environments over time, across space and at different scales and explain the predicted consequences of change. They evaluate alternative views on a geographical challenge and alternative strategies to address this challenge using environmental, economic, political and social criteria and draw a reasoned conclusion.</w:t>
            </w:r>
          </w:p>
          <w:p w14:paraId="518D19CA" w14:textId="77777777" w:rsidR="008A09B9" w:rsidRDefault="008A09B9" w:rsidP="008A09B9">
            <w:pPr>
              <w:pStyle w:val="Tabletext"/>
              <w:cnfStyle w:val="000000000000" w:firstRow="0" w:lastRow="0" w:firstColumn="0" w:lastColumn="0" w:oddVBand="0" w:evenVBand="0" w:oddHBand="0" w:evenHBand="0" w:firstRowFirstColumn="0" w:firstRowLastColumn="0" w:lastRowFirstColumn="0" w:lastRowLastColumn="0"/>
            </w:pPr>
          </w:p>
          <w:p w14:paraId="2D232AA2" w14:textId="77777777" w:rsidR="008A09B9" w:rsidRDefault="008A09B9" w:rsidP="008A09B9">
            <w:pPr>
              <w:pStyle w:val="Tabletext"/>
              <w:cnfStyle w:val="000000000000" w:firstRow="0" w:lastRow="0" w:firstColumn="0" w:lastColumn="0" w:oddVBand="0" w:evenVBand="0" w:oddHBand="0" w:evenHBand="0" w:firstRowFirstColumn="0" w:firstRowLastColumn="0" w:lastRowFirstColumn="0" w:lastRowLastColumn="0"/>
            </w:pPr>
            <w:r w:rsidRPr="008B7887">
              <w:rPr>
                <w:rStyle w:val="Shading1"/>
              </w:rPr>
              <w:t>Students use initial research to develop and modify geographically significant questions to frame an inquiry. They critically evaluate a range of primary and secondary sources to select and collect relevant, reliable and unbiased geographical information and data. Students record and represent multi-variable data in of the most appropriate digital and non-digital forms, including a range of graphs and maps that use suitable scales and comply with cartographic conventions.</w:t>
            </w:r>
            <w:r w:rsidRPr="001A3E59">
              <w:t xml:space="preserve"> They use a range of methods and digital technologies to interpret and analyse maps, data and other information to make generalisations and inferences, propose explanations for significant patterns, trends, relationships and anomalies across time and space and at different scales, and predict outcomes. </w:t>
            </w:r>
            <w:r w:rsidRPr="008B7887">
              <w:rPr>
                <w:rStyle w:val="Shading1"/>
              </w:rPr>
              <w:t>They analyse and synthesise data and other information to draw reasoned conclusions, taking into account alternative perspectives. Students present findings, arguments and explanations using relevant geographical terminology and graphic representations and digital technologies in a range of selected and appropriate communication forms. They evaluate their findings and propose action in response to a contemporary geographical challenge, taking account of environmental, economic, political and social considerations. They explain the predicted outcomes and consequences of their proposal.</w:t>
            </w:r>
            <w:bookmarkEnd w:id="4"/>
          </w:p>
        </w:tc>
        <w:tc>
          <w:tcPr>
            <w:tcW w:w="2499" w:type="pct"/>
            <w:gridSpan w:val="2"/>
          </w:tcPr>
          <w:p w14:paraId="392750EF" w14:textId="77777777" w:rsidR="008A09B9" w:rsidRPr="002E797C" w:rsidRDefault="008A09B9" w:rsidP="008A09B9">
            <w:pPr>
              <w:pStyle w:val="Tabletext"/>
              <w:cnfStyle w:val="000000000000" w:firstRow="0" w:lastRow="0" w:firstColumn="0" w:lastColumn="0" w:oddVBand="0" w:evenVBand="0" w:oddHBand="0" w:evenHBand="0" w:firstRowFirstColumn="0" w:firstRowLastColumn="0" w:lastRowFirstColumn="0" w:lastRowLastColumn="0"/>
            </w:pPr>
            <w:r w:rsidRPr="002E797C">
              <w:t xml:space="preserve">By the end of Year 10, </w:t>
            </w:r>
            <w:r w:rsidRPr="008B7887">
              <w:rPr>
                <w:rStyle w:val="Shading1"/>
              </w:rPr>
              <w:t xml:space="preserve">students explain how interactions between geographical processes at different scales change the characteristics of places. Students identify, analyse and explain significant interconnections between people, places and environments and explain changes that result from these interconnections and their consequences. </w:t>
            </w:r>
            <w:r w:rsidRPr="007A6393">
              <w:t xml:space="preserve">They predict changes in the characteristics of places and environments over time, across space and at different scales and explain the predicted consequences of change. </w:t>
            </w:r>
            <w:r w:rsidRPr="008B7887">
              <w:rPr>
                <w:rStyle w:val="Shading1"/>
              </w:rPr>
              <w:t>They evaluate alternative views on a geographical challenge and alternative strategies to address this challenge using environmental, economic, political and social criteria and draw a reasoned conclusion.</w:t>
            </w:r>
          </w:p>
          <w:p w14:paraId="3458B0A0" w14:textId="77777777" w:rsidR="008A09B9" w:rsidRDefault="008A09B9" w:rsidP="008A09B9">
            <w:pPr>
              <w:pStyle w:val="Tabletext"/>
              <w:cnfStyle w:val="000000000000" w:firstRow="0" w:lastRow="0" w:firstColumn="0" w:lastColumn="0" w:oddVBand="0" w:evenVBand="0" w:oddHBand="0" w:evenHBand="0" w:firstRowFirstColumn="0" w:firstRowLastColumn="0" w:lastRowFirstColumn="0" w:lastRowLastColumn="0"/>
            </w:pPr>
          </w:p>
          <w:p w14:paraId="497CAEC2" w14:textId="77777777" w:rsidR="008A09B9" w:rsidRDefault="008A09B9" w:rsidP="008A09B9">
            <w:pPr>
              <w:pStyle w:val="Tabletext"/>
              <w:cnfStyle w:val="000000000000" w:firstRow="0" w:lastRow="0" w:firstColumn="0" w:lastColumn="0" w:oddVBand="0" w:evenVBand="0" w:oddHBand="0" w:evenHBand="0" w:firstRowFirstColumn="0" w:firstRowLastColumn="0" w:lastRowFirstColumn="0" w:lastRowLastColumn="0"/>
            </w:pPr>
            <w:r w:rsidRPr="002E797C">
              <w:t xml:space="preserve">Students use initial research to develop and modify geographically significant questions to frame an inquiry. They critically evaluate a range of primary and secondary sources to select and collect relevant, reliable and unbiased geographical information and data. Students record and represent multi-variable data in of the most appropriate digital and non-digital forms, including a range of graphs and maps that use suitable scales and comply with cartographic conventions. </w:t>
            </w:r>
            <w:r w:rsidRPr="008B7887">
              <w:rPr>
                <w:rStyle w:val="Shading1"/>
              </w:rPr>
              <w:t>They use a range of methods and digital technologies to interpret and analyse maps, data and other information to make generalisations and inferences, propose explanations for significant patterns, trends, relationships and anomalies across time and space and at different scales, and predict outcomes. They analyse and synthesise data and other information to draw reasoned conclusions, taking into account alternative perspectives. Students present findings, arguments and explanations using relevant geographical terminology and graphic representations and digital technologies in a range of selected and appropriate communication forms.</w:t>
            </w:r>
            <w:r w:rsidRPr="002E797C">
              <w:t xml:space="preserve"> They evaluate their findings and propose action in response to a contemporary geographical challenge, taking account of environmental, economic, political and social considerations. They explain the predicted outcomes and consequences of their proposal</w:t>
            </w:r>
            <w:r>
              <w:t>.</w:t>
            </w:r>
          </w:p>
        </w:tc>
      </w:tr>
      <w:tr w:rsidR="002B0522" w14:paraId="4B9D6FA8" w14:textId="77777777" w:rsidTr="00F02142">
        <w:trPr>
          <w:cantSplit/>
          <w:trHeight w:val="1283"/>
        </w:trPr>
        <w:tc>
          <w:tcPr>
            <w:cnfStyle w:val="001000000000" w:firstRow="0" w:lastRow="0" w:firstColumn="1" w:lastColumn="0" w:oddVBand="0" w:evenVBand="0" w:oddHBand="0" w:evenHBand="0" w:firstRowFirstColumn="0" w:firstRowLastColumn="0" w:lastRowFirstColumn="0" w:lastRowLastColumn="0"/>
            <w:tcW w:w="164" w:type="pct"/>
            <w:textDirection w:val="btLr"/>
          </w:tcPr>
          <w:p w14:paraId="45E9B5C0" w14:textId="77777777" w:rsidR="008A09B9" w:rsidRDefault="008A09B9" w:rsidP="009D30E3">
            <w:pPr>
              <w:pStyle w:val="Tablesubhead"/>
              <w:ind w:left="113" w:right="113"/>
              <w:jc w:val="center"/>
            </w:pPr>
            <w:r>
              <w:t>Moderation</w:t>
            </w:r>
          </w:p>
        </w:tc>
        <w:tc>
          <w:tcPr>
            <w:tcW w:w="2337" w:type="pct"/>
            <w:gridSpan w:val="2"/>
          </w:tcPr>
          <w:p w14:paraId="31EE5E0B" w14:textId="1DF2BE45" w:rsidR="00C62F48" w:rsidRPr="00895EB1" w:rsidRDefault="000C2ED4" w:rsidP="009A5E55">
            <w:pPr>
              <w:pStyle w:val="Tabletext"/>
              <w:cnfStyle w:val="000000000000" w:firstRow="0" w:lastRow="0" w:firstColumn="0" w:lastColumn="0" w:oddVBand="0" w:evenVBand="0" w:oddHBand="0" w:evenHBand="0" w:firstRowFirstColumn="0" w:firstRowLastColumn="0" w:lastRowFirstColumn="0" w:lastRowLastColumn="0"/>
              <w:rPr>
                <w:lang w:eastAsia="en-US"/>
              </w:rPr>
            </w:pPr>
            <w:r>
              <w:rPr>
                <w:rStyle w:val="TabletextChar"/>
              </w:rPr>
              <w:t>Conferencing:</w:t>
            </w:r>
            <w:r w:rsidR="006F6424">
              <w:rPr>
                <w:rStyle w:val="TabletextChar"/>
              </w:rPr>
              <w:t xml:space="preserve"> </w:t>
            </w:r>
            <w:r w:rsidR="00C62F48">
              <w:rPr>
                <w:rStyle w:val="TabletextChar"/>
              </w:rPr>
              <w:t xml:space="preserve">Teachers </w:t>
            </w:r>
            <w:r w:rsidR="00BA4766">
              <w:rPr>
                <w:rStyle w:val="TabletextChar"/>
              </w:rPr>
              <w:t xml:space="preserve">will </w:t>
            </w:r>
            <w:r w:rsidR="00C62F48">
              <w:rPr>
                <w:rStyle w:val="TabletextChar"/>
              </w:rPr>
              <w:t>individually grade samples selected by the HOD</w:t>
            </w:r>
            <w:r w:rsidR="009A5E55">
              <w:rPr>
                <w:rStyle w:val="TabletextChar"/>
              </w:rPr>
              <w:t xml:space="preserve">, which are representative of the five-point scale described in the task-specific standards. At a follow-up meeting time nominated by the HOD, teachers </w:t>
            </w:r>
            <w:r w:rsidR="00BA4766">
              <w:rPr>
                <w:rStyle w:val="TabletextChar"/>
              </w:rPr>
              <w:t xml:space="preserve">will </w:t>
            </w:r>
            <w:r w:rsidR="00C62F48">
              <w:rPr>
                <w:rStyle w:val="TabletextChar"/>
              </w:rPr>
              <w:t>compare their judgments with the nominated level of achievement</w:t>
            </w:r>
            <w:r w:rsidR="009A5E55">
              <w:rPr>
                <w:rStyle w:val="TabletextChar"/>
              </w:rPr>
              <w:t xml:space="preserve">, engaging in </w:t>
            </w:r>
            <w:r w:rsidR="00C62F48">
              <w:rPr>
                <w:lang w:eastAsia="en-US"/>
              </w:rPr>
              <w:t xml:space="preserve">professional conversations to reach consensus on the level of achievement to be awarded for each sample. Discussions </w:t>
            </w:r>
            <w:r w:rsidR="00BA4766">
              <w:rPr>
                <w:lang w:eastAsia="en-US"/>
              </w:rPr>
              <w:t xml:space="preserve">will be </w:t>
            </w:r>
            <w:r w:rsidR="00C62F48">
              <w:rPr>
                <w:lang w:eastAsia="en-US"/>
              </w:rPr>
              <w:t xml:space="preserve">based on evidence in student responses, using the language of the task-specific standards. </w:t>
            </w:r>
          </w:p>
        </w:tc>
        <w:tc>
          <w:tcPr>
            <w:tcW w:w="2499" w:type="pct"/>
            <w:gridSpan w:val="2"/>
          </w:tcPr>
          <w:p w14:paraId="209A96ED" w14:textId="0E549095" w:rsidR="008A09B9" w:rsidRDefault="000C2ED4" w:rsidP="008A09B9">
            <w:pPr>
              <w:pStyle w:val="Tabletext"/>
              <w:cnfStyle w:val="000000000000" w:firstRow="0" w:lastRow="0" w:firstColumn="0" w:lastColumn="0" w:oddVBand="0" w:evenVBand="0" w:oddHBand="0" w:evenHBand="0" w:firstRowFirstColumn="0" w:firstRowLastColumn="0" w:lastRowFirstColumn="0" w:lastRowLastColumn="0"/>
            </w:pPr>
            <w:r>
              <w:rPr>
                <w:rStyle w:val="TabletextChar"/>
              </w:rPr>
              <w:t xml:space="preserve">Calibration: </w:t>
            </w:r>
            <w:r w:rsidR="00767CD7">
              <w:rPr>
                <w:rStyle w:val="TabletextChar"/>
              </w:rPr>
              <w:t>Before</w:t>
            </w:r>
            <w:r w:rsidR="009A5E55">
              <w:rPr>
                <w:rStyle w:val="TabletextChar"/>
              </w:rPr>
              <w:t xml:space="preserve"> grading all student responses, te</w:t>
            </w:r>
            <w:r w:rsidR="00C62F48">
              <w:rPr>
                <w:rStyle w:val="TabletextChar"/>
              </w:rPr>
              <w:t xml:space="preserve">achers </w:t>
            </w:r>
            <w:r w:rsidR="00BA4766">
              <w:rPr>
                <w:rStyle w:val="TabletextChar"/>
              </w:rPr>
              <w:t xml:space="preserve">will </w:t>
            </w:r>
            <w:r w:rsidR="008A09B9">
              <w:rPr>
                <w:rStyle w:val="TabletextChar"/>
              </w:rPr>
              <w:t>examine A and C sample responses</w:t>
            </w:r>
            <w:r w:rsidR="009A5E55">
              <w:rPr>
                <w:rStyle w:val="TabletextChar"/>
              </w:rPr>
              <w:t xml:space="preserve"> selected by the HOD</w:t>
            </w:r>
            <w:r w:rsidR="00BA4766">
              <w:rPr>
                <w:rStyle w:val="TabletextChar"/>
              </w:rPr>
              <w:t>.</w:t>
            </w:r>
            <w:r w:rsidR="00C62F48">
              <w:rPr>
                <w:rStyle w:val="TabletextChar"/>
              </w:rPr>
              <w:t xml:space="preserve"> </w:t>
            </w:r>
            <w:r w:rsidR="009A5E55">
              <w:rPr>
                <w:rStyle w:val="TabletextChar"/>
              </w:rPr>
              <w:t xml:space="preserve">Teachers </w:t>
            </w:r>
            <w:r w:rsidR="00BA4766">
              <w:rPr>
                <w:rStyle w:val="TabletextChar"/>
              </w:rPr>
              <w:t xml:space="preserve">will </w:t>
            </w:r>
            <w:r w:rsidR="009A5E55">
              <w:rPr>
                <w:rStyle w:val="TabletextChar"/>
              </w:rPr>
              <w:t xml:space="preserve">then apply their shared understanding of the task-specific standards for A and C sample responses to the grading of all subsequent student responses. </w:t>
            </w:r>
          </w:p>
          <w:p w14:paraId="659CCE26" w14:textId="77777777" w:rsidR="008A09B9" w:rsidRDefault="008A09B9" w:rsidP="000F425C">
            <w:pPr>
              <w:pStyle w:val="Tabletext"/>
              <w:cnfStyle w:val="000000000000" w:firstRow="0" w:lastRow="0" w:firstColumn="0" w:lastColumn="0" w:oddVBand="0" w:evenVBand="0" w:oddHBand="0" w:evenHBand="0" w:firstRowFirstColumn="0" w:firstRowLastColumn="0" w:lastRowFirstColumn="0" w:lastRowLastColumn="0"/>
            </w:pPr>
          </w:p>
        </w:tc>
      </w:tr>
    </w:tbl>
    <w:p w14:paraId="71D1506D" w14:textId="77777777" w:rsidR="006904F7" w:rsidRDefault="006904F7" w:rsidP="006904F7">
      <w:pPr>
        <w:pStyle w:val="Heading1"/>
      </w:pPr>
      <w:r>
        <w:lastRenderedPageBreak/>
        <w:t>Teaching and learning focus</w:t>
      </w:r>
    </w:p>
    <w:tbl>
      <w:tblPr>
        <w:tblStyle w:val="QCAAtablestyle11"/>
        <w:tblW w:w="5004" w:type="pct"/>
        <w:tblInd w:w="-6" w:type="dxa"/>
        <w:tblLayout w:type="fixed"/>
        <w:tblLook w:val="04A0" w:firstRow="1" w:lastRow="0" w:firstColumn="1" w:lastColumn="0" w:noHBand="0" w:noVBand="1"/>
      </w:tblPr>
      <w:tblGrid>
        <w:gridCol w:w="8374"/>
        <w:gridCol w:w="1056"/>
        <w:gridCol w:w="1056"/>
        <w:gridCol w:w="8363"/>
        <w:gridCol w:w="1056"/>
        <w:gridCol w:w="1074"/>
      </w:tblGrid>
      <w:tr w:rsidR="006904F7" w:rsidRPr="00D715D5" w14:paraId="6446A1BD" w14:textId="77777777" w:rsidTr="00AB32A6">
        <w:trPr>
          <w:cnfStyle w:val="100000000000" w:firstRow="1" w:lastRow="0" w:firstColumn="0" w:lastColumn="0" w:oddVBand="0" w:evenVBand="0" w:oddHBand="0" w:evenHBand="0" w:firstRowFirstColumn="0" w:firstRowLastColumn="0" w:lastRowFirstColumn="0" w:lastRowLastColumn="0"/>
          <w:trHeight w:val="226"/>
        </w:trPr>
        <w:tc>
          <w:tcPr>
            <w:tcW w:w="20980" w:type="dxa"/>
            <w:gridSpan w:val="6"/>
          </w:tcPr>
          <w:p w14:paraId="060761FC" w14:textId="77777777" w:rsidR="006904F7" w:rsidRPr="00D715D5" w:rsidRDefault="006904F7" w:rsidP="0055614A">
            <w:pPr>
              <w:pStyle w:val="Tableheading"/>
            </w:pPr>
            <w:r w:rsidRPr="00D715D5">
              <w:t>Content descriptions</w:t>
            </w:r>
          </w:p>
        </w:tc>
      </w:tr>
      <w:tr w:rsidR="008A09B9" w:rsidRPr="00D715D5" w14:paraId="5359FABC" w14:textId="77777777" w:rsidTr="00AB32A6">
        <w:trPr>
          <w:trHeight w:val="215"/>
        </w:trPr>
        <w:tc>
          <w:tcPr>
            <w:tcW w:w="8375" w:type="dxa"/>
            <w:shd w:val="clear" w:color="auto" w:fill="E6E7E8"/>
          </w:tcPr>
          <w:p w14:paraId="04B7BB69" w14:textId="77777777" w:rsidR="008A09B9" w:rsidRPr="00D715D5" w:rsidRDefault="0044249E" w:rsidP="0055614A">
            <w:pPr>
              <w:pStyle w:val="Tablesubhead"/>
              <w:jc w:val="center"/>
            </w:pPr>
            <w:r>
              <w:t>Geographical k</w:t>
            </w:r>
            <w:r w:rsidR="008232C7">
              <w:t>nowledge and understanding</w:t>
            </w:r>
          </w:p>
        </w:tc>
        <w:tc>
          <w:tcPr>
            <w:tcW w:w="1056" w:type="dxa"/>
            <w:shd w:val="clear" w:color="auto" w:fill="E6E7E8"/>
            <w:vAlign w:val="center"/>
          </w:tcPr>
          <w:p w14:paraId="179D6644" w14:textId="77777777" w:rsidR="008A09B9" w:rsidRPr="00D715D5" w:rsidRDefault="008A09B9" w:rsidP="0055614A">
            <w:pPr>
              <w:pStyle w:val="Tablesubhead"/>
              <w:jc w:val="center"/>
            </w:pPr>
            <w:r w:rsidRPr="00D715D5">
              <w:t>Unit 1</w:t>
            </w:r>
          </w:p>
        </w:tc>
        <w:tc>
          <w:tcPr>
            <w:tcW w:w="1056" w:type="dxa"/>
            <w:shd w:val="clear" w:color="auto" w:fill="E6E7E8"/>
            <w:vAlign w:val="center"/>
          </w:tcPr>
          <w:p w14:paraId="0C68FE3F" w14:textId="77777777" w:rsidR="008A09B9" w:rsidRPr="00D715D5" w:rsidRDefault="008A09B9" w:rsidP="0055614A">
            <w:pPr>
              <w:pStyle w:val="Tablesubhead"/>
              <w:jc w:val="center"/>
            </w:pPr>
            <w:r w:rsidRPr="00D715D5">
              <w:t>Unit 2</w:t>
            </w:r>
          </w:p>
        </w:tc>
        <w:tc>
          <w:tcPr>
            <w:tcW w:w="8363" w:type="dxa"/>
            <w:shd w:val="clear" w:color="auto" w:fill="E6E7E8"/>
          </w:tcPr>
          <w:p w14:paraId="32EE6B90" w14:textId="77777777" w:rsidR="008A09B9" w:rsidRPr="00D715D5" w:rsidRDefault="0044249E" w:rsidP="0055614A">
            <w:pPr>
              <w:pStyle w:val="Tablesubhead"/>
              <w:jc w:val="center"/>
            </w:pPr>
            <w:r>
              <w:t>Geographical i</w:t>
            </w:r>
            <w:r w:rsidR="008232C7">
              <w:t>nquiry and skills</w:t>
            </w:r>
          </w:p>
        </w:tc>
        <w:tc>
          <w:tcPr>
            <w:tcW w:w="1056" w:type="dxa"/>
            <w:shd w:val="clear" w:color="auto" w:fill="E6E7E8"/>
            <w:vAlign w:val="center"/>
          </w:tcPr>
          <w:p w14:paraId="7FA14162" w14:textId="77777777" w:rsidR="008A09B9" w:rsidRPr="00D715D5" w:rsidRDefault="008A09B9" w:rsidP="0055614A">
            <w:pPr>
              <w:pStyle w:val="Tablesubhead"/>
              <w:jc w:val="center"/>
            </w:pPr>
            <w:r w:rsidRPr="00D715D5">
              <w:t>Unit 1</w:t>
            </w:r>
          </w:p>
        </w:tc>
        <w:tc>
          <w:tcPr>
            <w:tcW w:w="1074" w:type="dxa"/>
            <w:shd w:val="clear" w:color="auto" w:fill="E6E7E8"/>
            <w:vAlign w:val="center"/>
          </w:tcPr>
          <w:p w14:paraId="68565724" w14:textId="77777777" w:rsidR="008A09B9" w:rsidRPr="00D715D5" w:rsidRDefault="008A09B9" w:rsidP="0055614A">
            <w:pPr>
              <w:pStyle w:val="Tablesubhead"/>
              <w:jc w:val="center"/>
            </w:pPr>
            <w:r w:rsidRPr="00D715D5">
              <w:t>Unit 2</w:t>
            </w:r>
          </w:p>
        </w:tc>
      </w:tr>
      <w:tr w:rsidR="005A6033" w:rsidRPr="00D715D5" w14:paraId="4C3779D5" w14:textId="77777777" w:rsidTr="00AB32A6">
        <w:trPr>
          <w:trHeight w:val="215"/>
        </w:trPr>
        <w:tc>
          <w:tcPr>
            <w:tcW w:w="8375" w:type="dxa"/>
            <w:shd w:val="clear" w:color="auto" w:fill="FFFFFF"/>
          </w:tcPr>
          <w:p w14:paraId="3DF4E566" w14:textId="77777777" w:rsidR="001100F7" w:rsidRDefault="001100F7" w:rsidP="001100F7">
            <w:pPr>
              <w:pStyle w:val="Tablesubhead"/>
            </w:pPr>
            <w:r>
              <w:t>Unit 1: Environmental change and management</w:t>
            </w:r>
          </w:p>
          <w:p w14:paraId="7711517E" w14:textId="77777777" w:rsidR="005A6033" w:rsidRPr="002E797C" w:rsidRDefault="005A6033" w:rsidP="005A6033">
            <w:pPr>
              <w:pStyle w:val="Tabletext"/>
            </w:pPr>
            <w:r w:rsidRPr="002E797C">
              <w:t xml:space="preserve">Human-induced environmental changes that challenge sustainability </w:t>
            </w:r>
          </w:p>
        </w:tc>
        <w:tc>
          <w:tcPr>
            <w:tcW w:w="1056" w:type="dxa"/>
            <w:shd w:val="clear" w:color="auto" w:fill="FFFFFF"/>
            <w:vAlign w:val="center"/>
          </w:tcPr>
          <w:p w14:paraId="6E704E00" w14:textId="77777777" w:rsidR="005A6033" w:rsidRDefault="005A6033" w:rsidP="005A6033">
            <w:pPr>
              <w:pStyle w:val="Tabletext"/>
              <w:jc w:val="center"/>
            </w:pPr>
            <w:r>
              <w:sym w:font="Wingdings 2" w:char="F050"/>
            </w:r>
          </w:p>
        </w:tc>
        <w:tc>
          <w:tcPr>
            <w:tcW w:w="1056" w:type="dxa"/>
            <w:shd w:val="clear" w:color="auto" w:fill="FFFFFF"/>
            <w:vAlign w:val="center"/>
          </w:tcPr>
          <w:p w14:paraId="656D4052" w14:textId="77777777" w:rsidR="005A6033" w:rsidRDefault="005A6033" w:rsidP="005A6033">
            <w:pPr>
              <w:pStyle w:val="Tabletext"/>
              <w:jc w:val="center"/>
            </w:pPr>
          </w:p>
        </w:tc>
        <w:tc>
          <w:tcPr>
            <w:tcW w:w="8363" w:type="dxa"/>
            <w:shd w:val="clear" w:color="auto" w:fill="FFFFFF"/>
          </w:tcPr>
          <w:p w14:paraId="2B498067" w14:textId="77777777" w:rsidR="00400C82" w:rsidRDefault="00400C82" w:rsidP="00400C82">
            <w:pPr>
              <w:pStyle w:val="Tablesubhead"/>
            </w:pPr>
            <w:r>
              <w:t>Observing, questioning and planning</w:t>
            </w:r>
          </w:p>
          <w:p w14:paraId="3DCFB780" w14:textId="77777777" w:rsidR="005A6033" w:rsidRDefault="005A6033" w:rsidP="005A6033">
            <w:pPr>
              <w:pStyle w:val="Tabletext"/>
            </w:pPr>
            <w:r w:rsidRPr="00AE543C">
              <w:t xml:space="preserve">Develop geographically significant questions and plan an inquiry that identifies and applies appropriate geographical methodologies and concepts </w:t>
            </w:r>
          </w:p>
        </w:tc>
        <w:tc>
          <w:tcPr>
            <w:tcW w:w="1056" w:type="dxa"/>
            <w:shd w:val="clear" w:color="auto" w:fill="FFFFFF"/>
            <w:vAlign w:val="center"/>
          </w:tcPr>
          <w:p w14:paraId="64BF794C" w14:textId="77777777" w:rsidR="005A6033" w:rsidRDefault="005A6033" w:rsidP="005A6033">
            <w:pPr>
              <w:pStyle w:val="Tabletext"/>
              <w:jc w:val="center"/>
            </w:pPr>
            <w:r>
              <w:sym w:font="Wingdings 2" w:char="F050"/>
            </w:r>
          </w:p>
        </w:tc>
        <w:tc>
          <w:tcPr>
            <w:tcW w:w="1074" w:type="dxa"/>
            <w:shd w:val="clear" w:color="auto" w:fill="FFFFFF"/>
            <w:vAlign w:val="center"/>
          </w:tcPr>
          <w:p w14:paraId="209D439C" w14:textId="77777777" w:rsidR="005A6033" w:rsidRDefault="005A6033" w:rsidP="005A6033">
            <w:pPr>
              <w:pStyle w:val="Tabletext"/>
              <w:jc w:val="center"/>
            </w:pPr>
            <w:r>
              <w:sym w:font="Wingdings 2" w:char="F050"/>
            </w:r>
          </w:p>
        </w:tc>
      </w:tr>
      <w:tr w:rsidR="005A6033" w:rsidRPr="00D715D5" w14:paraId="20A327B3" w14:textId="77777777" w:rsidTr="00AB32A6">
        <w:trPr>
          <w:trHeight w:val="226"/>
        </w:trPr>
        <w:tc>
          <w:tcPr>
            <w:tcW w:w="8375" w:type="dxa"/>
            <w:shd w:val="clear" w:color="auto" w:fill="FFFFFF"/>
          </w:tcPr>
          <w:p w14:paraId="0749C922" w14:textId="77777777" w:rsidR="005A6033" w:rsidRPr="002E797C" w:rsidRDefault="005A6033" w:rsidP="005A6033">
            <w:pPr>
              <w:pStyle w:val="Tabletext"/>
            </w:pPr>
            <w:r w:rsidRPr="002E797C">
              <w:t xml:space="preserve">Environmental world views of people and their implications for environmental management </w:t>
            </w:r>
          </w:p>
        </w:tc>
        <w:tc>
          <w:tcPr>
            <w:tcW w:w="1056" w:type="dxa"/>
            <w:shd w:val="clear" w:color="auto" w:fill="FFFFFF"/>
            <w:vAlign w:val="center"/>
          </w:tcPr>
          <w:p w14:paraId="34B5CE48" w14:textId="77777777" w:rsidR="005A6033" w:rsidRDefault="005A6033" w:rsidP="005A6033">
            <w:pPr>
              <w:pStyle w:val="Tabletext"/>
              <w:jc w:val="center"/>
            </w:pPr>
            <w:r>
              <w:sym w:font="Wingdings 2" w:char="F050"/>
            </w:r>
          </w:p>
        </w:tc>
        <w:tc>
          <w:tcPr>
            <w:tcW w:w="1056" w:type="dxa"/>
            <w:shd w:val="clear" w:color="auto" w:fill="FFFFFF"/>
            <w:vAlign w:val="center"/>
          </w:tcPr>
          <w:p w14:paraId="3DB76B16" w14:textId="77777777" w:rsidR="005A6033" w:rsidRDefault="005A6033" w:rsidP="005A6033">
            <w:pPr>
              <w:pStyle w:val="Tabletext"/>
              <w:jc w:val="center"/>
            </w:pPr>
          </w:p>
        </w:tc>
        <w:tc>
          <w:tcPr>
            <w:tcW w:w="8363" w:type="dxa"/>
            <w:shd w:val="clear" w:color="auto" w:fill="FFFFFF"/>
          </w:tcPr>
          <w:p w14:paraId="4093F70B" w14:textId="77777777" w:rsidR="00400C82" w:rsidRDefault="00400C82" w:rsidP="00400C82">
            <w:pPr>
              <w:pStyle w:val="Tablesubhead"/>
            </w:pPr>
            <w:r>
              <w:t>Collecting, recording, evaluating and representing</w:t>
            </w:r>
          </w:p>
          <w:p w14:paraId="077948DA" w14:textId="77777777" w:rsidR="005A6033" w:rsidRPr="00AE543C" w:rsidRDefault="005A6033" w:rsidP="005A6033">
            <w:pPr>
              <w:pStyle w:val="Tabletext"/>
            </w:pPr>
            <w:r w:rsidRPr="00AE543C">
              <w:t xml:space="preserve">Evaluate sources for their reliability, bias and usefulness and select, collect, record and organise relevant geographical data and information, using ethical protocols, from a range of appropriate primary and secondary sources </w:t>
            </w:r>
          </w:p>
        </w:tc>
        <w:tc>
          <w:tcPr>
            <w:tcW w:w="1056" w:type="dxa"/>
            <w:shd w:val="clear" w:color="auto" w:fill="FFFFFF"/>
            <w:vAlign w:val="center"/>
          </w:tcPr>
          <w:p w14:paraId="52EC7D3B" w14:textId="77777777" w:rsidR="005A6033" w:rsidRDefault="005A6033" w:rsidP="005A6033">
            <w:pPr>
              <w:pStyle w:val="Tabletext"/>
              <w:jc w:val="center"/>
            </w:pPr>
            <w:r>
              <w:sym w:font="Wingdings 2" w:char="F050"/>
            </w:r>
          </w:p>
        </w:tc>
        <w:tc>
          <w:tcPr>
            <w:tcW w:w="1074" w:type="dxa"/>
            <w:shd w:val="clear" w:color="auto" w:fill="FFFFFF"/>
            <w:vAlign w:val="center"/>
          </w:tcPr>
          <w:p w14:paraId="558D1673" w14:textId="77777777" w:rsidR="005A6033" w:rsidRDefault="005A6033" w:rsidP="005A6033">
            <w:pPr>
              <w:pStyle w:val="Tabletext"/>
              <w:jc w:val="center"/>
            </w:pPr>
            <w:r>
              <w:sym w:font="Wingdings 2" w:char="F050"/>
            </w:r>
          </w:p>
        </w:tc>
      </w:tr>
      <w:tr w:rsidR="005A6033" w:rsidRPr="00D715D5" w14:paraId="0BC792C3" w14:textId="77777777" w:rsidTr="00AB32A6">
        <w:trPr>
          <w:trHeight w:val="226"/>
        </w:trPr>
        <w:tc>
          <w:tcPr>
            <w:tcW w:w="8375" w:type="dxa"/>
            <w:shd w:val="clear" w:color="auto" w:fill="FFFFFF"/>
          </w:tcPr>
          <w:p w14:paraId="2E36C36A" w14:textId="77777777" w:rsidR="005A6033" w:rsidRPr="002E797C" w:rsidRDefault="005A6033" w:rsidP="005A6033">
            <w:pPr>
              <w:pStyle w:val="Tabletext"/>
            </w:pPr>
            <w:r w:rsidRPr="002E797C">
              <w:t xml:space="preserve">The Aboriginal and Torres Strait Islander Peoples’ approaches to custodial responsibility and environmental management in different regions of Australia </w:t>
            </w:r>
          </w:p>
        </w:tc>
        <w:tc>
          <w:tcPr>
            <w:tcW w:w="1056" w:type="dxa"/>
            <w:shd w:val="clear" w:color="auto" w:fill="FFFFFF"/>
            <w:vAlign w:val="center"/>
          </w:tcPr>
          <w:p w14:paraId="05F374A1" w14:textId="77777777" w:rsidR="005A6033" w:rsidRDefault="005A6033" w:rsidP="005A6033">
            <w:pPr>
              <w:pStyle w:val="Tabletext"/>
              <w:jc w:val="center"/>
            </w:pPr>
            <w:r>
              <w:sym w:font="Wingdings 2" w:char="F050"/>
            </w:r>
          </w:p>
        </w:tc>
        <w:tc>
          <w:tcPr>
            <w:tcW w:w="1056" w:type="dxa"/>
            <w:shd w:val="clear" w:color="auto" w:fill="FFFFFF"/>
            <w:vAlign w:val="center"/>
          </w:tcPr>
          <w:p w14:paraId="67CE0406" w14:textId="77777777" w:rsidR="005A6033" w:rsidRDefault="005A6033" w:rsidP="005A6033">
            <w:pPr>
              <w:pStyle w:val="Tabletext"/>
              <w:jc w:val="center"/>
            </w:pPr>
          </w:p>
        </w:tc>
        <w:tc>
          <w:tcPr>
            <w:tcW w:w="8363" w:type="dxa"/>
            <w:shd w:val="clear" w:color="auto" w:fill="FFFFFF"/>
          </w:tcPr>
          <w:p w14:paraId="657D5B94" w14:textId="77777777" w:rsidR="005A6033" w:rsidRPr="00AE543C" w:rsidRDefault="005A6033" w:rsidP="005A6033">
            <w:pPr>
              <w:pStyle w:val="Tabletext"/>
            </w:pPr>
            <w:r w:rsidRPr="00AE543C">
              <w:t xml:space="preserve">Represent multi-variable data in a range of appropriate forms, for example scatter plots, tables, field sketches and annotated diagrams, with and without the use of digital and spatial technologies </w:t>
            </w:r>
          </w:p>
        </w:tc>
        <w:tc>
          <w:tcPr>
            <w:tcW w:w="1056" w:type="dxa"/>
            <w:shd w:val="clear" w:color="auto" w:fill="FFFFFF"/>
            <w:vAlign w:val="center"/>
          </w:tcPr>
          <w:p w14:paraId="152F3135" w14:textId="77777777" w:rsidR="005A6033" w:rsidRDefault="005A6033" w:rsidP="005A6033">
            <w:pPr>
              <w:pStyle w:val="Tabletext"/>
              <w:jc w:val="center"/>
            </w:pPr>
            <w:r>
              <w:sym w:font="Wingdings 2" w:char="F050"/>
            </w:r>
          </w:p>
        </w:tc>
        <w:tc>
          <w:tcPr>
            <w:tcW w:w="1074" w:type="dxa"/>
            <w:shd w:val="clear" w:color="auto" w:fill="FFFFFF"/>
            <w:vAlign w:val="center"/>
          </w:tcPr>
          <w:p w14:paraId="4E7F7C12" w14:textId="77777777" w:rsidR="005A6033" w:rsidRDefault="005A6033" w:rsidP="005A6033">
            <w:pPr>
              <w:pStyle w:val="Tabletext"/>
              <w:jc w:val="center"/>
            </w:pPr>
            <w:r>
              <w:sym w:font="Wingdings 2" w:char="F050"/>
            </w:r>
          </w:p>
        </w:tc>
      </w:tr>
      <w:tr w:rsidR="005A6033" w:rsidRPr="00D715D5" w14:paraId="19C7E120" w14:textId="77777777" w:rsidTr="00AB32A6">
        <w:trPr>
          <w:trHeight w:val="226"/>
        </w:trPr>
        <w:tc>
          <w:tcPr>
            <w:tcW w:w="8375" w:type="dxa"/>
            <w:shd w:val="clear" w:color="auto" w:fill="FFFFFF"/>
          </w:tcPr>
          <w:p w14:paraId="0255FC9D" w14:textId="77777777" w:rsidR="005A6033" w:rsidRPr="00352BFE" w:rsidRDefault="005A6033" w:rsidP="005A6033">
            <w:pPr>
              <w:pStyle w:val="Tabletext"/>
            </w:pPr>
            <w:r w:rsidRPr="00352BFE">
              <w:t>The application of systems thinking to understanding the causes and likely consequences of the environmental change being investigated </w:t>
            </w:r>
          </w:p>
        </w:tc>
        <w:tc>
          <w:tcPr>
            <w:tcW w:w="1056" w:type="dxa"/>
            <w:shd w:val="clear" w:color="auto" w:fill="FFFFFF"/>
            <w:vAlign w:val="center"/>
          </w:tcPr>
          <w:p w14:paraId="37C8C83C" w14:textId="77777777" w:rsidR="005A6033" w:rsidRDefault="005A6033" w:rsidP="005A6033">
            <w:pPr>
              <w:pStyle w:val="Tabletext"/>
              <w:jc w:val="center"/>
            </w:pPr>
            <w:r>
              <w:sym w:font="Wingdings 2" w:char="F050"/>
            </w:r>
          </w:p>
        </w:tc>
        <w:tc>
          <w:tcPr>
            <w:tcW w:w="1056" w:type="dxa"/>
            <w:shd w:val="clear" w:color="auto" w:fill="FFFFFF"/>
            <w:vAlign w:val="center"/>
          </w:tcPr>
          <w:p w14:paraId="2CB67E4B" w14:textId="77777777" w:rsidR="005A6033" w:rsidRDefault="005A6033" w:rsidP="005A6033">
            <w:pPr>
              <w:pStyle w:val="Tabletext"/>
              <w:jc w:val="center"/>
            </w:pPr>
          </w:p>
        </w:tc>
        <w:tc>
          <w:tcPr>
            <w:tcW w:w="8363" w:type="dxa"/>
            <w:shd w:val="clear" w:color="auto" w:fill="FFFFFF"/>
          </w:tcPr>
          <w:p w14:paraId="7017BB37" w14:textId="77777777" w:rsidR="005A6033" w:rsidRPr="00AE543C" w:rsidRDefault="005A6033" w:rsidP="005A6033">
            <w:pPr>
              <w:pStyle w:val="Tabletext"/>
            </w:pPr>
            <w:r w:rsidRPr="00AE543C">
              <w:t xml:space="preserve">Represent spatial distribution of geographical phenomena by constructing special purpose maps that conform to cartographic conventions, using spatial technologies as appropriate </w:t>
            </w:r>
          </w:p>
        </w:tc>
        <w:tc>
          <w:tcPr>
            <w:tcW w:w="1056" w:type="dxa"/>
            <w:shd w:val="clear" w:color="auto" w:fill="FFFFFF"/>
            <w:vAlign w:val="center"/>
          </w:tcPr>
          <w:p w14:paraId="5976211E" w14:textId="77777777" w:rsidR="005A6033" w:rsidRDefault="005A6033" w:rsidP="005A6033">
            <w:pPr>
              <w:pStyle w:val="Tabletext"/>
              <w:jc w:val="center"/>
            </w:pPr>
            <w:r>
              <w:sym w:font="Wingdings 2" w:char="F050"/>
            </w:r>
          </w:p>
        </w:tc>
        <w:tc>
          <w:tcPr>
            <w:tcW w:w="1074" w:type="dxa"/>
            <w:shd w:val="clear" w:color="auto" w:fill="FFFFFF"/>
            <w:vAlign w:val="center"/>
          </w:tcPr>
          <w:p w14:paraId="23E16AB8" w14:textId="77777777" w:rsidR="005A6033" w:rsidRDefault="005A6033" w:rsidP="005A6033">
            <w:pPr>
              <w:pStyle w:val="Tabletext"/>
              <w:jc w:val="center"/>
            </w:pPr>
            <w:r>
              <w:sym w:font="Wingdings 2" w:char="F050"/>
            </w:r>
          </w:p>
        </w:tc>
      </w:tr>
      <w:tr w:rsidR="005A6033" w:rsidRPr="00D715D5" w14:paraId="4BC62B66" w14:textId="77777777" w:rsidTr="00AB32A6">
        <w:trPr>
          <w:trHeight w:val="226"/>
        </w:trPr>
        <w:tc>
          <w:tcPr>
            <w:tcW w:w="8375" w:type="dxa"/>
            <w:shd w:val="clear" w:color="auto" w:fill="FFFFFF"/>
          </w:tcPr>
          <w:p w14:paraId="241438A8" w14:textId="77777777" w:rsidR="005A6033" w:rsidRPr="00352BFE" w:rsidRDefault="005A6033" w:rsidP="005A6033">
            <w:pPr>
              <w:pStyle w:val="Tabletext"/>
            </w:pPr>
            <w:r w:rsidRPr="00352BFE">
              <w:t xml:space="preserve">The application of geographical concepts and methods to the management of the environmental change being investigated </w:t>
            </w:r>
          </w:p>
        </w:tc>
        <w:tc>
          <w:tcPr>
            <w:tcW w:w="1056" w:type="dxa"/>
            <w:shd w:val="clear" w:color="auto" w:fill="FFFFFF"/>
            <w:vAlign w:val="center"/>
          </w:tcPr>
          <w:p w14:paraId="36CE4911" w14:textId="77777777" w:rsidR="005A6033" w:rsidRDefault="005A6033" w:rsidP="005A6033">
            <w:pPr>
              <w:pStyle w:val="Tabletext"/>
              <w:jc w:val="center"/>
            </w:pPr>
            <w:r>
              <w:sym w:font="Wingdings 2" w:char="F050"/>
            </w:r>
          </w:p>
        </w:tc>
        <w:tc>
          <w:tcPr>
            <w:tcW w:w="1056" w:type="dxa"/>
            <w:shd w:val="clear" w:color="auto" w:fill="FFFFFF"/>
            <w:vAlign w:val="center"/>
          </w:tcPr>
          <w:p w14:paraId="22D5E852" w14:textId="77777777" w:rsidR="005A6033" w:rsidRDefault="005A6033" w:rsidP="005A6033">
            <w:pPr>
              <w:pStyle w:val="Tabletext"/>
              <w:jc w:val="center"/>
            </w:pPr>
          </w:p>
        </w:tc>
        <w:tc>
          <w:tcPr>
            <w:tcW w:w="8363" w:type="dxa"/>
            <w:shd w:val="clear" w:color="auto" w:fill="FFFFFF"/>
          </w:tcPr>
          <w:p w14:paraId="033E4EC9" w14:textId="77777777" w:rsidR="00F02142" w:rsidRDefault="00F02142" w:rsidP="00F02142">
            <w:pPr>
              <w:pStyle w:val="Tablesubhead"/>
            </w:pPr>
            <w:r>
              <w:t>Interpreting, analysing and concluding</w:t>
            </w:r>
          </w:p>
          <w:p w14:paraId="086122F4" w14:textId="77777777" w:rsidR="005A6033" w:rsidRPr="00AE543C" w:rsidRDefault="005A6033" w:rsidP="005A6033">
            <w:pPr>
              <w:pStyle w:val="Tabletext"/>
            </w:pPr>
            <w:r w:rsidRPr="00AE543C">
              <w:t xml:space="preserve">Interpret and analyse multi-variable data and other geographical information using qualitative and quantitative methods, and digital and spatial technologies as appropriate, to make generalisations and inferences, propose explanations for patterns, trends, relationships and anomalies, and predict outcomes </w:t>
            </w:r>
          </w:p>
        </w:tc>
        <w:tc>
          <w:tcPr>
            <w:tcW w:w="1056" w:type="dxa"/>
            <w:shd w:val="clear" w:color="auto" w:fill="FFFFFF"/>
            <w:vAlign w:val="center"/>
          </w:tcPr>
          <w:p w14:paraId="1186AB62" w14:textId="77777777" w:rsidR="005A6033" w:rsidRDefault="005A6033" w:rsidP="005A6033">
            <w:pPr>
              <w:pStyle w:val="Tabletext"/>
              <w:jc w:val="center"/>
            </w:pPr>
            <w:r>
              <w:sym w:font="Wingdings 2" w:char="F050"/>
            </w:r>
          </w:p>
        </w:tc>
        <w:tc>
          <w:tcPr>
            <w:tcW w:w="1074" w:type="dxa"/>
            <w:shd w:val="clear" w:color="auto" w:fill="FFFFFF"/>
            <w:vAlign w:val="center"/>
          </w:tcPr>
          <w:p w14:paraId="766996AC" w14:textId="77777777" w:rsidR="005A6033" w:rsidRDefault="005A6033" w:rsidP="005A6033">
            <w:pPr>
              <w:pStyle w:val="Tabletext"/>
              <w:jc w:val="center"/>
            </w:pPr>
            <w:r>
              <w:sym w:font="Wingdings 2" w:char="F050"/>
            </w:r>
          </w:p>
        </w:tc>
      </w:tr>
      <w:tr w:rsidR="005A6033" w:rsidRPr="00D715D5" w14:paraId="0F3702CF" w14:textId="77777777" w:rsidTr="00AB32A6">
        <w:trPr>
          <w:trHeight w:val="226"/>
        </w:trPr>
        <w:tc>
          <w:tcPr>
            <w:tcW w:w="8375" w:type="dxa"/>
            <w:shd w:val="clear" w:color="auto" w:fill="FFFFFF"/>
          </w:tcPr>
          <w:p w14:paraId="0C7BC14C" w14:textId="6F360E82" w:rsidR="005A6033" w:rsidRPr="00352BFE" w:rsidRDefault="005A6033" w:rsidP="005A6033">
            <w:pPr>
              <w:pStyle w:val="Tabletext"/>
            </w:pPr>
            <w:r w:rsidRPr="00352BFE">
              <w:t>The application of environmental</w:t>
            </w:r>
            <w:r w:rsidR="00AD67F6">
              <w:t>,</w:t>
            </w:r>
            <w:r w:rsidRPr="00352BFE">
              <w:t xml:space="preserve"> economic and social criteria in evaluating management responses to the change  </w:t>
            </w:r>
          </w:p>
        </w:tc>
        <w:tc>
          <w:tcPr>
            <w:tcW w:w="1056" w:type="dxa"/>
            <w:shd w:val="clear" w:color="auto" w:fill="FFFFFF"/>
            <w:vAlign w:val="center"/>
          </w:tcPr>
          <w:p w14:paraId="02B340E7" w14:textId="77777777" w:rsidR="005A6033" w:rsidRDefault="005A6033" w:rsidP="005A6033">
            <w:pPr>
              <w:pStyle w:val="Tabletext"/>
              <w:jc w:val="center"/>
            </w:pPr>
            <w:r>
              <w:sym w:font="Wingdings 2" w:char="F050"/>
            </w:r>
          </w:p>
        </w:tc>
        <w:tc>
          <w:tcPr>
            <w:tcW w:w="1056" w:type="dxa"/>
            <w:shd w:val="clear" w:color="auto" w:fill="FFFFFF"/>
            <w:vAlign w:val="center"/>
          </w:tcPr>
          <w:p w14:paraId="31CD8B8D" w14:textId="77777777" w:rsidR="005A6033" w:rsidRDefault="005A6033" w:rsidP="005A6033">
            <w:pPr>
              <w:pStyle w:val="Tabletext"/>
              <w:jc w:val="center"/>
            </w:pPr>
          </w:p>
        </w:tc>
        <w:tc>
          <w:tcPr>
            <w:tcW w:w="8363" w:type="dxa"/>
            <w:shd w:val="clear" w:color="auto" w:fill="FFFFFF"/>
          </w:tcPr>
          <w:p w14:paraId="356F6B74" w14:textId="77777777" w:rsidR="005A6033" w:rsidRPr="00AE543C" w:rsidRDefault="005A6033" w:rsidP="005A6033">
            <w:pPr>
              <w:pStyle w:val="Tabletext"/>
            </w:pPr>
            <w:r w:rsidRPr="00AE543C">
              <w:t xml:space="preserve">Apply geographical concepts to synthesise information from various sources and draw conclusions based on the analysis of data and information, taking into account alternative points of view </w:t>
            </w:r>
          </w:p>
        </w:tc>
        <w:tc>
          <w:tcPr>
            <w:tcW w:w="1056" w:type="dxa"/>
            <w:shd w:val="clear" w:color="auto" w:fill="FFFFFF"/>
            <w:vAlign w:val="center"/>
          </w:tcPr>
          <w:p w14:paraId="0E7A19B6" w14:textId="77777777" w:rsidR="005A6033" w:rsidRDefault="005A6033" w:rsidP="005A6033">
            <w:pPr>
              <w:pStyle w:val="Tabletext"/>
              <w:jc w:val="center"/>
            </w:pPr>
            <w:r>
              <w:sym w:font="Wingdings 2" w:char="F050"/>
            </w:r>
          </w:p>
        </w:tc>
        <w:tc>
          <w:tcPr>
            <w:tcW w:w="1074" w:type="dxa"/>
            <w:shd w:val="clear" w:color="auto" w:fill="FFFFFF"/>
            <w:vAlign w:val="center"/>
          </w:tcPr>
          <w:p w14:paraId="7D39030D" w14:textId="77777777" w:rsidR="005A6033" w:rsidRDefault="005A6033" w:rsidP="005A6033">
            <w:pPr>
              <w:pStyle w:val="Tabletext"/>
              <w:jc w:val="center"/>
            </w:pPr>
            <w:r>
              <w:sym w:font="Wingdings 2" w:char="F050"/>
            </w:r>
          </w:p>
        </w:tc>
      </w:tr>
      <w:tr w:rsidR="005A6033" w:rsidRPr="00D715D5" w14:paraId="0BF9736D" w14:textId="77777777" w:rsidTr="00AB32A6">
        <w:trPr>
          <w:trHeight w:val="226"/>
        </w:trPr>
        <w:tc>
          <w:tcPr>
            <w:tcW w:w="8375" w:type="dxa"/>
            <w:shd w:val="clear" w:color="auto" w:fill="FFFFFF"/>
          </w:tcPr>
          <w:p w14:paraId="4C73870E" w14:textId="77777777" w:rsidR="001100F7" w:rsidRDefault="001100F7" w:rsidP="001100F7">
            <w:pPr>
              <w:pStyle w:val="Tablesubhead"/>
            </w:pPr>
            <w:r>
              <w:t>Unit 2: Geographies of human wellbeing</w:t>
            </w:r>
          </w:p>
          <w:p w14:paraId="07110559" w14:textId="77777777" w:rsidR="005A6033" w:rsidRPr="00352BFE" w:rsidRDefault="005A6033" w:rsidP="005A6033">
            <w:pPr>
              <w:pStyle w:val="Tabletext"/>
            </w:pPr>
            <w:r w:rsidRPr="00352BFE">
              <w:t xml:space="preserve">Different ways of measuring and mapping human wellbeing and development, and how these can be applied to measure differences between places </w:t>
            </w:r>
          </w:p>
        </w:tc>
        <w:tc>
          <w:tcPr>
            <w:tcW w:w="1056" w:type="dxa"/>
            <w:shd w:val="clear" w:color="auto" w:fill="FFFFFF"/>
            <w:vAlign w:val="center"/>
          </w:tcPr>
          <w:p w14:paraId="3306D1F8" w14:textId="77777777" w:rsidR="005A6033" w:rsidRDefault="005A6033" w:rsidP="005A6033">
            <w:pPr>
              <w:pStyle w:val="Tabletext"/>
              <w:jc w:val="center"/>
            </w:pPr>
          </w:p>
        </w:tc>
        <w:tc>
          <w:tcPr>
            <w:tcW w:w="1056" w:type="dxa"/>
            <w:shd w:val="clear" w:color="auto" w:fill="FFFFFF"/>
            <w:vAlign w:val="center"/>
          </w:tcPr>
          <w:p w14:paraId="27B1D822" w14:textId="77777777" w:rsidR="005A6033" w:rsidRDefault="005A6033" w:rsidP="005A6033">
            <w:pPr>
              <w:pStyle w:val="Tabletext"/>
              <w:jc w:val="center"/>
            </w:pPr>
            <w:r>
              <w:sym w:font="Wingdings 2" w:char="F050"/>
            </w:r>
          </w:p>
        </w:tc>
        <w:tc>
          <w:tcPr>
            <w:tcW w:w="8363" w:type="dxa"/>
            <w:shd w:val="clear" w:color="auto" w:fill="FFFFFF"/>
          </w:tcPr>
          <w:p w14:paraId="6CBD5D4D" w14:textId="77777777" w:rsidR="005A6033" w:rsidRPr="00AE543C" w:rsidRDefault="005A6033" w:rsidP="005A6033">
            <w:pPr>
              <w:pStyle w:val="Tabletext"/>
            </w:pPr>
            <w:r w:rsidRPr="00AE543C">
              <w:t xml:space="preserve">Identify how geographical information systems (GIS) might be used to analyse geographical data and make predictions </w:t>
            </w:r>
          </w:p>
        </w:tc>
        <w:tc>
          <w:tcPr>
            <w:tcW w:w="1056" w:type="dxa"/>
            <w:shd w:val="clear" w:color="auto" w:fill="FFFFFF"/>
            <w:vAlign w:val="center"/>
          </w:tcPr>
          <w:p w14:paraId="37B141B8" w14:textId="77777777" w:rsidR="005A6033" w:rsidRDefault="005A6033" w:rsidP="005A6033">
            <w:pPr>
              <w:pStyle w:val="Tabletext"/>
              <w:jc w:val="center"/>
            </w:pPr>
            <w:r>
              <w:sym w:font="Wingdings 2" w:char="F050"/>
            </w:r>
          </w:p>
        </w:tc>
        <w:tc>
          <w:tcPr>
            <w:tcW w:w="1074" w:type="dxa"/>
            <w:shd w:val="clear" w:color="auto" w:fill="FFFFFF"/>
            <w:vAlign w:val="center"/>
          </w:tcPr>
          <w:p w14:paraId="2632F54E" w14:textId="77777777" w:rsidR="005A6033" w:rsidRDefault="005A6033" w:rsidP="005A6033">
            <w:pPr>
              <w:pStyle w:val="Tabletext"/>
              <w:jc w:val="center"/>
            </w:pPr>
            <w:r>
              <w:sym w:font="Wingdings 2" w:char="F050"/>
            </w:r>
          </w:p>
        </w:tc>
      </w:tr>
      <w:tr w:rsidR="005A6033" w:rsidRPr="00D715D5" w14:paraId="2E05B5D1" w14:textId="77777777" w:rsidTr="00AB32A6">
        <w:trPr>
          <w:trHeight w:val="226"/>
        </w:trPr>
        <w:tc>
          <w:tcPr>
            <w:tcW w:w="8375" w:type="dxa"/>
            <w:shd w:val="clear" w:color="auto" w:fill="FFFFFF"/>
          </w:tcPr>
          <w:p w14:paraId="7BCDD803" w14:textId="77777777" w:rsidR="005A6033" w:rsidRPr="00352BFE" w:rsidRDefault="005A6033" w:rsidP="005A6033">
            <w:pPr>
              <w:pStyle w:val="Tabletext"/>
            </w:pPr>
            <w:r w:rsidRPr="00352BFE">
              <w:t>Reasons for spatial variations between countries in selected indicators of human wellbeing</w:t>
            </w:r>
          </w:p>
        </w:tc>
        <w:tc>
          <w:tcPr>
            <w:tcW w:w="1056" w:type="dxa"/>
            <w:shd w:val="clear" w:color="auto" w:fill="FFFFFF"/>
            <w:vAlign w:val="center"/>
          </w:tcPr>
          <w:p w14:paraId="22E4ECDE" w14:textId="77777777" w:rsidR="005A6033" w:rsidRDefault="005A6033" w:rsidP="005A6033">
            <w:pPr>
              <w:pStyle w:val="Tabletext"/>
              <w:jc w:val="center"/>
            </w:pPr>
          </w:p>
        </w:tc>
        <w:tc>
          <w:tcPr>
            <w:tcW w:w="1056" w:type="dxa"/>
            <w:shd w:val="clear" w:color="auto" w:fill="FFFFFF"/>
            <w:vAlign w:val="center"/>
          </w:tcPr>
          <w:p w14:paraId="435FCB34" w14:textId="77777777" w:rsidR="005A6033" w:rsidRDefault="005A6033" w:rsidP="005A6033">
            <w:pPr>
              <w:pStyle w:val="Tabletext"/>
              <w:jc w:val="center"/>
            </w:pPr>
            <w:r>
              <w:sym w:font="Wingdings 2" w:char="F050"/>
            </w:r>
          </w:p>
        </w:tc>
        <w:tc>
          <w:tcPr>
            <w:tcW w:w="8363" w:type="dxa"/>
            <w:shd w:val="clear" w:color="auto" w:fill="FFFFFF"/>
          </w:tcPr>
          <w:p w14:paraId="4D035977" w14:textId="77777777" w:rsidR="00F02142" w:rsidRPr="00F02142" w:rsidRDefault="00F02142" w:rsidP="005A6033">
            <w:pPr>
              <w:pStyle w:val="Tabletext"/>
              <w:rPr>
                <w:b/>
              </w:rPr>
            </w:pPr>
            <w:r w:rsidRPr="00F02142">
              <w:rPr>
                <w:b/>
              </w:rPr>
              <w:t>Communicating</w:t>
            </w:r>
          </w:p>
          <w:p w14:paraId="148C0053" w14:textId="77777777" w:rsidR="005A6033" w:rsidRPr="00AE543C" w:rsidRDefault="005A6033" w:rsidP="005A6033">
            <w:pPr>
              <w:pStyle w:val="Tabletext"/>
            </w:pPr>
            <w:r w:rsidRPr="00AE543C">
              <w:t xml:space="preserve">Present findings, arguments and explanations in a range of appropriate communication forms, selected for their effectiveness and to suit audience and </w:t>
            </w:r>
            <w:proofErr w:type="gramStart"/>
            <w:r w:rsidRPr="00AE543C">
              <w:t>purpose;</w:t>
            </w:r>
            <w:proofErr w:type="gramEnd"/>
            <w:r w:rsidRPr="00AE543C">
              <w:t xml:space="preserve"> using relevant geographical terminology, and digital technologies as appropriate </w:t>
            </w:r>
          </w:p>
        </w:tc>
        <w:tc>
          <w:tcPr>
            <w:tcW w:w="1056" w:type="dxa"/>
            <w:shd w:val="clear" w:color="auto" w:fill="FFFFFF"/>
            <w:vAlign w:val="center"/>
          </w:tcPr>
          <w:p w14:paraId="59F53EAD" w14:textId="77777777" w:rsidR="005A6033" w:rsidRDefault="005A6033" w:rsidP="005A6033">
            <w:pPr>
              <w:pStyle w:val="Tabletext"/>
              <w:jc w:val="center"/>
            </w:pPr>
            <w:r>
              <w:sym w:font="Wingdings 2" w:char="F050"/>
            </w:r>
          </w:p>
        </w:tc>
        <w:tc>
          <w:tcPr>
            <w:tcW w:w="1074" w:type="dxa"/>
            <w:shd w:val="clear" w:color="auto" w:fill="FFFFFF"/>
            <w:vAlign w:val="center"/>
          </w:tcPr>
          <w:p w14:paraId="30725A7A" w14:textId="77777777" w:rsidR="005A6033" w:rsidRDefault="005A6033" w:rsidP="005A6033">
            <w:pPr>
              <w:pStyle w:val="Tabletext"/>
              <w:jc w:val="center"/>
            </w:pPr>
            <w:r>
              <w:sym w:font="Wingdings 2" w:char="F050"/>
            </w:r>
          </w:p>
        </w:tc>
      </w:tr>
      <w:tr w:rsidR="005A6033" w:rsidRPr="00D715D5" w14:paraId="5296B560" w14:textId="77777777" w:rsidTr="00AB32A6">
        <w:trPr>
          <w:trHeight w:val="226"/>
        </w:trPr>
        <w:tc>
          <w:tcPr>
            <w:tcW w:w="8375" w:type="dxa"/>
            <w:shd w:val="clear" w:color="auto" w:fill="FFFFFF"/>
          </w:tcPr>
          <w:p w14:paraId="2C1CCEF2" w14:textId="77777777" w:rsidR="005A6033" w:rsidRPr="00352BFE" w:rsidRDefault="005A6033" w:rsidP="005A6033">
            <w:pPr>
              <w:pStyle w:val="Tabletext"/>
            </w:pPr>
            <w:r w:rsidRPr="00352BFE">
              <w:t xml:space="preserve">Issues affecting development of places and their impact on human wellbeing, drawing on a study from a developing country or region in Africa, South America or the Pacific Islands </w:t>
            </w:r>
          </w:p>
        </w:tc>
        <w:tc>
          <w:tcPr>
            <w:tcW w:w="1056" w:type="dxa"/>
            <w:shd w:val="clear" w:color="auto" w:fill="FFFFFF"/>
            <w:vAlign w:val="center"/>
          </w:tcPr>
          <w:p w14:paraId="683BE058" w14:textId="77777777" w:rsidR="005A6033" w:rsidRDefault="005A6033" w:rsidP="005A6033">
            <w:pPr>
              <w:pStyle w:val="Tabletext"/>
              <w:jc w:val="center"/>
            </w:pPr>
          </w:p>
        </w:tc>
        <w:tc>
          <w:tcPr>
            <w:tcW w:w="1056" w:type="dxa"/>
            <w:shd w:val="clear" w:color="auto" w:fill="FFFFFF"/>
            <w:vAlign w:val="center"/>
          </w:tcPr>
          <w:p w14:paraId="5C1A8647" w14:textId="77777777" w:rsidR="005A6033" w:rsidRDefault="005A6033" w:rsidP="005A6033">
            <w:pPr>
              <w:pStyle w:val="Tabletext"/>
              <w:jc w:val="center"/>
            </w:pPr>
            <w:r>
              <w:sym w:font="Wingdings 2" w:char="F050"/>
            </w:r>
          </w:p>
        </w:tc>
        <w:tc>
          <w:tcPr>
            <w:tcW w:w="8363" w:type="dxa"/>
            <w:shd w:val="clear" w:color="auto" w:fill="FFFFFF"/>
          </w:tcPr>
          <w:p w14:paraId="009E4ABB" w14:textId="77777777" w:rsidR="005A6033" w:rsidRPr="00AE543C" w:rsidRDefault="005A6033" w:rsidP="005A6033">
            <w:pPr>
              <w:pStyle w:val="Tabletext"/>
            </w:pPr>
            <w:r w:rsidRPr="00AE543C">
              <w:t xml:space="preserve">Reflect on and evaluate findings of an inquiry to propose individual and collective action in response to a contemporary geographical challenge, taking account of environmental, economic, political and social considerations; and explain the predicted outcomes and consequences of their proposal  </w:t>
            </w:r>
          </w:p>
        </w:tc>
        <w:tc>
          <w:tcPr>
            <w:tcW w:w="1056" w:type="dxa"/>
            <w:shd w:val="clear" w:color="auto" w:fill="FFFFFF"/>
            <w:vAlign w:val="center"/>
          </w:tcPr>
          <w:p w14:paraId="53A5A1DA" w14:textId="77777777" w:rsidR="005A6033" w:rsidRDefault="005A6033" w:rsidP="005A6033">
            <w:pPr>
              <w:pStyle w:val="Tabletext"/>
              <w:jc w:val="center"/>
            </w:pPr>
            <w:r>
              <w:sym w:font="Wingdings 2" w:char="F050"/>
            </w:r>
          </w:p>
        </w:tc>
        <w:tc>
          <w:tcPr>
            <w:tcW w:w="1074" w:type="dxa"/>
            <w:shd w:val="clear" w:color="auto" w:fill="FFFFFF"/>
            <w:vAlign w:val="center"/>
          </w:tcPr>
          <w:p w14:paraId="143F11B3" w14:textId="77777777" w:rsidR="005A6033" w:rsidRDefault="005A6033" w:rsidP="005A6033">
            <w:pPr>
              <w:pStyle w:val="Tabletext"/>
              <w:jc w:val="center"/>
            </w:pPr>
          </w:p>
        </w:tc>
      </w:tr>
      <w:tr w:rsidR="005A6033" w:rsidRPr="00D715D5" w14:paraId="6EB483F3" w14:textId="77777777" w:rsidTr="00AB32A6">
        <w:trPr>
          <w:trHeight w:val="226"/>
        </w:trPr>
        <w:tc>
          <w:tcPr>
            <w:tcW w:w="8375" w:type="dxa"/>
            <w:shd w:val="clear" w:color="auto" w:fill="FFFFFF"/>
          </w:tcPr>
          <w:p w14:paraId="7AB90A4C" w14:textId="77777777" w:rsidR="005A6033" w:rsidRPr="00352BFE" w:rsidRDefault="005A6033" w:rsidP="005A6033">
            <w:pPr>
              <w:pStyle w:val="Tabletext"/>
            </w:pPr>
            <w:r w:rsidRPr="00352BFE">
              <w:t xml:space="preserve">Reasons for, and consequences of, spatial variations in human wellbeing on a regional scale within India or another country of the Asia region </w:t>
            </w:r>
          </w:p>
        </w:tc>
        <w:tc>
          <w:tcPr>
            <w:tcW w:w="1056" w:type="dxa"/>
            <w:shd w:val="clear" w:color="auto" w:fill="FFFFFF"/>
            <w:vAlign w:val="center"/>
          </w:tcPr>
          <w:p w14:paraId="27CD116D" w14:textId="77777777" w:rsidR="005A6033" w:rsidRDefault="005A6033" w:rsidP="005A6033">
            <w:pPr>
              <w:pStyle w:val="Tabletext"/>
              <w:jc w:val="center"/>
            </w:pPr>
          </w:p>
        </w:tc>
        <w:tc>
          <w:tcPr>
            <w:tcW w:w="1056" w:type="dxa"/>
            <w:shd w:val="clear" w:color="auto" w:fill="FFFFFF"/>
            <w:vAlign w:val="center"/>
          </w:tcPr>
          <w:p w14:paraId="01225A58" w14:textId="77777777" w:rsidR="005A6033" w:rsidRDefault="005A6033" w:rsidP="005A6033">
            <w:pPr>
              <w:pStyle w:val="Tabletext"/>
              <w:jc w:val="center"/>
            </w:pPr>
            <w:r>
              <w:sym w:font="Wingdings 2" w:char="F050"/>
            </w:r>
          </w:p>
        </w:tc>
        <w:tc>
          <w:tcPr>
            <w:tcW w:w="8363" w:type="dxa"/>
            <w:shd w:val="clear" w:color="auto" w:fill="FFFFFF"/>
          </w:tcPr>
          <w:p w14:paraId="1DF089FC" w14:textId="77777777" w:rsidR="005A6033" w:rsidRPr="00D715D5" w:rsidRDefault="005A6033" w:rsidP="005A6033">
            <w:pPr>
              <w:pStyle w:val="Tabletext"/>
            </w:pPr>
          </w:p>
        </w:tc>
        <w:tc>
          <w:tcPr>
            <w:tcW w:w="1056" w:type="dxa"/>
            <w:shd w:val="clear" w:color="auto" w:fill="FFFFFF"/>
          </w:tcPr>
          <w:p w14:paraId="2FEA3BE0" w14:textId="77777777" w:rsidR="005A6033" w:rsidRPr="00D715D5" w:rsidRDefault="005A6033" w:rsidP="005A6033">
            <w:pPr>
              <w:pStyle w:val="Tabletext"/>
            </w:pPr>
          </w:p>
        </w:tc>
        <w:tc>
          <w:tcPr>
            <w:tcW w:w="1074" w:type="dxa"/>
            <w:shd w:val="clear" w:color="auto" w:fill="FFFFFF"/>
          </w:tcPr>
          <w:p w14:paraId="4807CF9D" w14:textId="77777777" w:rsidR="005A6033" w:rsidRPr="00D715D5" w:rsidRDefault="005A6033" w:rsidP="005A6033">
            <w:pPr>
              <w:pStyle w:val="Tabletext"/>
            </w:pPr>
          </w:p>
        </w:tc>
      </w:tr>
      <w:tr w:rsidR="005A6033" w:rsidRPr="00D715D5" w14:paraId="2769C4B3" w14:textId="77777777" w:rsidTr="00AB32A6">
        <w:trPr>
          <w:trHeight w:val="226"/>
        </w:trPr>
        <w:tc>
          <w:tcPr>
            <w:tcW w:w="8375" w:type="dxa"/>
            <w:shd w:val="clear" w:color="auto" w:fill="FFFFFF"/>
          </w:tcPr>
          <w:p w14:paraId="1E36F592" w14:textId="77777777" w:rsidR="005A6033" w:rsidRPr="00352BFE" w:rsidRDefault="005A6033" w:rsidP="005A6033">
            <w:pPr>
              <w:pStyle w:val="Tabletext"/>
            </w:pPr>
            <w:r w:rsidRPr="00352BFE">
              <w:t xml:space="preserve">Reasons for, and consequences of, spatial variations in human wellbeing in Australia at the local scale </w:t>
            </w:r>
          </w:p>
        </w:tc>
        <w:tc>
          <w:tcPr>
            <w:tcW w:w="1056" w:type="dxa"/>
            <w:shd w:val="clear" w:color="auto" w:fill="FFFFFF"/>
            <w:vAlign w:val="center"/>
          </w:tcPr>
          <w:p w14:paraId="3D7791EB" w14:textId="77777777" w:rsidR="005A6033" w:rsidRDefault="005A6033" w:rsidP="005A6033">
            <w:pPr>
              <w:pStyle w:val="Tabletext"/>
              <w:jc w:val="center"/>
            </w:pPr>
          </w:p>
        </w:tc>
        <w:tc>
          <w:tcPr>
            <w:tcW w:w="1056" w:type="dxa"/>
            <w:shd w:val="clear" w:color="auto" w:fill="FFFFFF"/>
            <w:vAlign w:val="center"/>
          </w:tcPr>
          <w:p w14:paraId="2F25C0D5" w14:textId="77777777" w:rsidR="005A6033" w:rsidRDefault="005A6033" w:rsidP="005A6033">
            <w:pPr>
              <w:pStyle w:val="Tabletext"/>
              <w:jc w:val="center"/>
            </w:pPr>
            <w:r>
              <w:sym w:font="Wingdings 2" w:char="F050"/>
            </w:r>
          </w:p>
        </w:tc>
        <w:tc>
          <w:tcPr>
            <w:tcW w:w="8363" w:type="dxa"/>
            <w:shd w:val="clear" w:color="auto" w:fill="FFFFFF"/>
          </w:tcPr>
          <w:p w14:paraId="56638AC3" w14:textId="77777777" w:rsidR="005A6033" w:rsidRPr="00D715D5" w:rsidRDefault="005A6033" w:rsidP="005A6033">
            <w:pPr>
              <w:pStyle w:val="Tabletext"/>
            </w:pPr>
          </w:p>
        </w:tc>
        <w:tc>
          <w:tcPr>
            <w:tcW w:w="1056" w:type="dxa"/>
            <w:shd w:val="clear" w:color="auto" w:fill="FFFFFF"/>
          </w:tcPr>
          <w:p w14:paraId="43CF3D72" w14:textId="77777777" w:rsidR="005A6033" w:rsidRPr="00D715D5" w:rsidRDefault="005A6033" w:rsidP="005A6033">
            <w:pPr>
              <w:pStyle w:val="Tabletext"/>
            </w:pPr>
          </w:p>
        </w:tc>
        <w:tc>
          <w:tcPr>
            <w:tcW w:w="1074" w:type="dxa"/>
            <w:shd w:val="clear" w:color="auto" w:fill="FFFFFF"/>
          </w:tcPr>
          <w:p w14:paraId="007519C1" w14:textId="77777777" w:rsidR="005A6033" w:rsidRPr="00D715D5" w:rsidRDefault="005A6033" w:rsidP="005A6033">
            <w:pPr>
              <w:pStyle w:val="Tabletext"/>
            </w:pPr>
          </w:p>
        </w:tc>
      </w:tr>
      <w:tr w:rsidR="005A6033" w:rsidRPr="00D715D5" w14:paraId="6B2EBA73" w14:textId="77777777" w:rsidTr="00AB32A6">
        <w:trPr>
          <w:trHeight w:val="226"/>
        </w:trPr>
        <w:tc>
          <w:tcPr>
            <w:tcW w:w="8375" w:type="dxa"/>
            <w:shd w:val="clear" w:color="auto" w:fill="FFFFFF"/>
          </w:tcPr>
          <w:p w14:paraId="1FABDABA" w14:textId="77777777" w:rsidR="005A6033" w:rsidRPr="00352BFE" w:rsidRDefault="005A6033" w:rsidP="005A6033">
            <w:pPr>
              <w:pStyle w:val="Tabletext"/>
            </w:pPr>
            <w:r w:rsidRPr="00352BFE">
              <w:t xml:space="preserve">The role of international and national government and non-government organisations' initiatives in improving human wellbeing in Australia and other countries </w:t>
            </w:r>
          </w:p>
        </w:tc>
        <w:tc>
          <w:tcPr>
            <w:tcW w:w="1056" w:type="dxa"/>
            <w:shd w:val="clear" w:color="auto" w:fill="FFFFFF"/>
            <w:vAlign w:val="center"/>
          </w:tcPr>
          <w:p w14:paraId="1EF2CC6E" w14:textId="77777777" w:rsidR="005A6033" w:rsidRDefault="005A6033" w:rsidP="005A6033">
            <w:pPr>
              <w:pStyle w:val="Tabletext"/>
              <w:jc w:val="center"/>
            </w:pPr>
          </w:p>
        </w:tc>
        <w:tc>
          <w:tcPr>
            <w:tcW w:w="1056" w:type="dxa"/>
            <w:shd w:val="clear" w:color="auto" w:fill="FFFFFF"/>
            <w:vAlign w:val="center"/>
          </w:tcPr>
          <w:p w14:paraId="6399524A" w14:textId="77777777" w:rsidR="005A6033" w:rsidRDefault="005A6033" w:rsidP="005A6033">
            <w:pPr>
              <w:pStyle w:val="Tabletext"/>
              <w:jc w:val="center"/>
            </w:pPr>
            <w:r>
              <w:sym w:font="Wingdings 2" w:char="F050"/>
            </w:r>
          </w:p>
        </w:tc>
        <w:tc>
          <w:tcPr>
            <w:tcW w:w="8363" w:type="dxa"/>
            <w:shd w:val="clear" w:color="auto" w:fill="FFFFFF"/>
          </w:tcPr>
          <w:p w14:paraId="0BF6DD88" w14:textId="77777777" w:rsidR="005A6033" w:rsidRPr="00D715D5" w:rsidRDefault="005A6033" w:rsidP="005A6033">
            <w:pPr>
              <w:pStyle w:val="Tabletext"/>
            </w:pPr>
          </w:p>
        </w:tc>
        <w:tc>
          <w:tcPr>
            <w:tcW w:w="1056" w:type="dxa"/>
            <w:shd w:val="clear" w:color="auto" w:fill="FFFFFF"/>
          </w:tcPr>
          <w:p w14:paraId="189D50C6" w14:textId="77777777" w:rsidR="005A6033" w:rsidRPr="00D715D5" w:rsidRDefault="005A6033" w:rsidP="005A6033">
            <w:pPr>
              <w:pStyle w:val="Tabletext"/>
            </w:pPr>
          </w:p>
        </w:tc>
        <w:tc>
          <w:tcPr>
            <w:tcW w:w="1074" w:type="dxa"/>
            <w:shd w:val="clear" w:color="auto" w:fill="FFFFFF"/>
          </w:tcPr>
          <w:p w14:paraId="66306F67" w14:textId="77777777" w:rsidR="005A6033" w:rsidRPr="00D715D5" w:rsidRDefault="005A6033" w:rsidP="005A6033">
            <w:pPr>
              <w:pStyle w:val="Tabletext"/>
            </w:pPr>
          </w:p>
        </w:tc>
      </w:tr>
    </w:tbl>
    <w:p w14:paraId="7AB3CD87" w14:textId="77777777" w:rsidR="006904F7" w:rsidRPr="00D715D5" w:rsidRDefault="006904F7" w:rsidP="006904F7"/>
    <w:p w14:paraId="5EE0A8B4" w14:textId="77777777" w:rsidR="00F02142" w:rsidRDefault="00F02142">
      <w:pPr>
        <w:spacing w:before="80" w:after="80"/>
      </w:pPr>
      <w:r>
        <w:br w:type="page"/>
      </w:r>
    </w:p>
    <w:tbl>
      <w:tblPr>
        <w:tblStyle w:val="QCAAtablestyle1"/>
        <w:tblW w:w="5000" w:type="pct"/>
        <w:tblLook w:val="0620" w:firstRow="1" w:lastRow="0" w:firstColumn="0" w:lastColumn="0" w:noHBand="1" w:noVBand="1"/>
      </w:tblPr>
      <w:tblGrid>
        <w:gridCol w:w="7931"/>
        <w:gridCol w:w="1253"/>
        <w:gridCol w:w="1254"/>
        <w:gridCol w:w="738"/>
        <w:gridCol w:w="7530"/>
        <w:gridCol w:w="1128"/>
        <w:gridCol w:w="1128"/>
      </w:tblGrid>
      <w:tr w:rsidR="005A6033" w:rsidRPr="00F02F63" w14:paraId="18DD7D85" w14:textId="77777777" w:rsidTr="005A6033">
        <w:trPr>
          <w:cnfStyle w:val="100000000000" w:firstRow="1" w:lastRow="0" w:firstColumn="0" w:lastColumn="0" w:oddVBand="0" w:evenVBand="0" w:oddHBand="0" w:evenHBand="0" w:firstRowFirstColumn="0" w:firstRowLastColumn="0" w:lastRowFirstColumn="0" w:lastRowLastColumn="0"/>
          <w:trHeight w:val="235"/>
        </w:trPr>
        <w:tc>
          <w:tcPr>
            <w:tcW w:w="1892" w:type="pct"/>
          </w:tcPr>
          <w:p w14:paraId="6BB4FA8C" w14:textId="77777777" w:rsidR="005A6033" w:rsidRPr="00F02F63" w:rsidRDefault="005A6033" w:rsidP="004725E5">
            <w:pPr>
              <w:pStyle w:val="Tableheading"/>
            </w:pPr>
            <w:r w:rsidRPr="00F02F63">
              <w:lastRenderedPageBreak/>
              <w:t xml:space="preserve">General </w:t>
            </w:r>
            <w:r>
              <w:t>c</w:t>
            </w:r>
            <w:r w:rsidRPr="00F02F63">
              <w:t>apabilities</w:t>
            </w:r>
          </w:p>
        </w:tc>
        <w:tc>
          <w:tcPr>
            <w:tcW w:w="598" w:type="pct"/>
            <w:gridSpan w:val="2"/>
          </w:tcPr>
          <w:p w14:paraId="18FCC20D" w14:textId="77777777" w:rsidR="005A6033" w:rsidRPr="00F02F63" w:rsidRDefault="002C2B6C" w:rsidP="005A6033">
            <w:pPr>
              <w:pStyle w:val="Tableheading"/>
              <w:jc w:val="center"/>
            </w:pPr>
            <w:r>
              <w:t>Year 10</w:t>
            </w:r>
          </w:p>
        </w:tc>
        <w:tc>
          <w:tcPr>
            <w:tcW w:w="176" w:type="pct"/>
            <w:tcBorders>
              <w:top w:val="nil"/>
              <w:bottom w:val="nil"/>
            </w:tcBorders>
            <w:shd w:val="clear" w:color="auto" w:fill="auto"/>
          </w:tcPr>
          <w:p w14:paraId="33AD237F" w14:textId="77777777" w:rsidR="005A6033" w:rsidRDefault="005A6033" w:rsidP="004725E5">
            <w:pPr>
              <w:pStyle w:val="Tableheading"/>
            </w:pPr>
          </w:p>
        </w:tc>
        <w:tc>
          <w:tcPr>
            <w:tcW w:w="1796" w:type="pct"/>
          </w:tcPr>
          <w:p w14:paraId="14379083" w14:textId="77777777" w:rsidR="005A6033" w:rsidRDefault="005A6033" w:rsidP="004725E5">
            <w:pPr>
              <w:pStyle w:val="Tableheading"/>
            </w:pPr>
            <w:r>
              <w:rPr>
                <w:rFonts w:eastAsia="SimSun"/>
              </w:rPr>
              <w:t>C</w:t>
            </w:r>
            <w:r w:rsidRPr="00BA09BC">
              <w:rPr>
                <w:rFonts w:eastAsia="SimSun"/>
              </w:rPr>
              <w:t>ross-curriculum priorities</w:t>
            </w:r>
          </w:p>
        </w:tc>
        <w:tc>
          <w:tcPr>
            <w:tcW w:w="538" w:type="pct"/>
            <w:gridSpan w:val="2"/>
          </w:tcPr>
          <w:p w14:paraId="32AFAF1B" w14:textId="77777777" w:rsidR="005A6033" w:rsidRDefault="002C2B6C" w:rsidP="004725E5">
            <w:pPr>
              <w:pStyle w:val="Tableheading"/>
              <w:jc w:val="center"/>
            </w:pPr>
            <w:r>
              <w:t>Year 10</w:t>
            </w:r>
          </w:p>
        </w:tc>
      </w:tr>
      <w:tr w:rsidR="005A6033" w:rsidRPr="00984007" w14:paraId="2A6C0DAF" w14:textId="77777777" w:rsidTr="005A6033">
        <w:trPr>
          <w:trHeight w:val="349"/>
        </w:trPr>
        <w:tc>
          <w:tcPr>
            <w:tcW w:w="1892" w:type="pct"/>
            <w:tcBorders>
              <w:top w:val="single" w:sz="12" w:space="0" w:color="D52B1E" w:themeColor="text2"/>
            </w:tcBorders>
            <w:shd w:val="clear" w:color="auto" w:fill="E6E7E8"/>
          </w:tcPr>
          <w:p w14:paraId="04252193" w14:textId="77777777" w:rsidR="005A6033" w:rsidRPr="00984007" w:rsidRDefault="005A6033" w:rsidP="004725E5">
            <w:pPr>
              <w:pStyle w:val="Tablesubhead"/>
            </w:pPr>
          </w:p>
        </w:tc>
        <w:tc>
          <w:tcPr>
            <w:tcW w:w="299" w:type="pct"/>
            <w:tcBorders>
              <w:top w:val="single" w:sz="12" w:space="0" w:color="D52B1E" w:themeColor="text2"/>
            </w:tcBorders>
            <w:shd w:val="clear" w:color="auto" w:fill="E6E7E8"/>
          </w:tcPr>
          <w:p w14:paraId="1F85B81B" w14:textId="77777777" w:rsidR="005A6033" w:rsidRPr="00E560A9" w:rsidRDefault="002C2B6C" w:rsidP="004725E5">
            <w:pPr>
              <w:pStyle w:val="Tablesubhead"/>
              <w:jc w:val="center"/>
            </w:pPr>
            <w:r w:rsidRPr="00E560A9">
              <w:t xml:space="preserve">Unit </w:t>
            </w:r>
            <w:r w:rsidR="005A6033" w:rsidRPr="00E560A9">
              <w:t>1</w:t>
            </w:r>
          </w:p>
        </w:tc>
        <w:tc>
          <w:tcPr>
            <w:tcW w:w="299" w:type="pct"/>
            <w:tcBorders>
              <w:top w:val="single" w:sz="12" w:space="0" w:color="D52B1E" w:themeColor="text2"/>
            </w:tcBorders>
            <w:shd w:val="clear" w:color="auto" w:fill="E6E7E8"/>
          </w:tcPr>
          <w:p w14:paraId="67F4A405" w14:textId="77777777" w:rsidR="005A6033" w:rsidRPr="00E560A9" w:rsidRDefault="002C2B6C" w:rsidP="004725E5">
            <w:pPr>
              <w:pStyle w:val="Tablesubhead"/>
              <w:jc w:val="center"/>
            </w:pPr>
            <w:r w:rsidRPr="00E560A9">
              <w:t xml:space="preserve">Unit </w:t>
            </w:r>
            <w:r w:rsidR="005A6033" w:rsidRPr="00E560A9">
              <w:t>2</w:t>
            </w:r>
          </w:p>
        </w:tc>
        <w:tc>
          <w:tcPr>
            <w:tcW w:w="176" w:type="pct"/>
            <w:tcBorders>
              <w:top w:val="nil"/>
              <w:bottom w:val="nil"/>
            </w:tcBorders>
          </w:tcPr>
          <w:p w14:paraId="2F454735" w14:textId="77777777" w:rsidR="005A6033" w:rsidRPr="000C008E" w:rsidRDefault="005A6033" w:rsidP="000C008E"/>
        </w:tc>
        <w:tc>
          <w:tcPr>
            <w:tcW w:w="1796" w:type="pct"/>
            <w:shd w:val="clear" w:color="auto" w:fill="E6E7E8"/>
          </w:tcPr>
          <w:p w14:paraId="0FC98B9B" w14:textId="77777777" w:rsidR="005A6033" w:rsidRPr="00984007" w:rsidRDefault="005A6033" w:rsidP="004725E5">
            <w:pPr>
              <w:pStyle w:val="Tablesubhead"/>
            </w:pPr>
          </w:p>
        </w:tc>
        <w:tc>
          <w:tcPr>
            <w:tcW w:w="269" w:type="pct"/>
            <w:shd w:val="clear" w:color="auto" w:fill="E6E7E8"/>
          </w:tcPr>
          <w:p w14:paraId="41FD7A7F" w14:textId="77777777" w:rsidR="005A6033" w:rsidRPr="00E560A9" w:rsidRDefault="002C2B6C" w:rsidP="004725E5">
            <w:pPr>
              <w:pStyle w:val="Tablesubhead"/>
              <w:jc w:val="center"/>
            </w:pPr>
            <w:r w:rsidRPr="00E560A9">
              <w:t xml:space="preserve">Unit </w:t>
            </w:r>
            <w:r w:rsidR="005A6033" w:rsidRPr="00E560A9">
              <w:t>1</w:t>
            </w:r>
          </w:p>
        </w:tc>
        <w:tc>
          <w:tcPr>
            <w:tcW w:w="269" w:type="pct"/>
            <w:shd w:val="clear" w:color="auto" w:fill="E6E7E8"/>
          </w:tcPr>
          <w:p w14:paraId="34513507" w14:textId="77777777" w:rsidR="005A6033" w:rsidRPr="00E560A9" w:rsidRDefault="002C2B6C" w:rsidP="004725E5">
            <w:pPr>
              <w:pStyle w:val="Tablesubhead"/>
              <w:jc w:val="center"/>
            </w:pPr>
            <w:r w:rsidRPr="00E560A9">
              <w:t xml:space="preserve">Unit </w:t>
            </w:r>
            <w:r w:rsidR="005A6033" w:rsidRPr="00E560A9">
              <w:t>2</w:t>
            </w:r>
          </w:p>
        </w:tc>
      </w:tr>
      <w:tr w:rsidR="005A6033" w:rsidRPr="00B063C6" w14:paraId="47E45467" w14:textId="77777777" w:rsidTr="005A6033">
        <w:trPr>
          <w:trHeight w:val="349"/>
        </w:trPr>
        <w:tc>
          <w:tcPr>
            <w:tcW w:w="1892" w:type="pct"/>
          </w:tcPr>
          <w:p w14:paraId="0E55B8A3" w14:textId="77777777" w:rsidR="005A6033" w:rsidRDefault="005A6033" w:rsidP="004725E5">
            <w:pPr>
              <w:pStyle w:val="Tabletext"/>
            </w:pPr>
            <w:r>
              <w:t>Literacy</w:t>
            </w:r>
          </w:p>
        </w:tc>
        <w:tc>
          <w:tcPr>
            <w:tcW w:w="299" w:type="pct"/>
            <w:vAlign w:val="center"/>
          </w:tcPr>
          <w:p w14:paraId="0998F253" w14:textId="77777777" w:rsidR="005A6033" w:rsidRPr="00B063C6" w:rsidRDefault="00094E45" w:rsidP="004725E5">
            <w:pPr>
              <w:jc w:val="center"/>
              <w:rPr>
                <w:b/>
              </w:rPr>
            </w:pPr>
            <w:r>
              <w:sym w:font="Wingdings 2" w:char="F050"/>
            </w:r>
          </w:p>
        </w:tc>
        <w:tc>
          <w:tcPr>
            <w:tcW w:w="299" w:type="pct"/>
            <w:vAlign w:val="center"/>
          </w:tcPr>
          <w:p w14:paraId="4B951AF7" w14:textId="77777777" w:rsidR="005A6033" w:rsidRPr="00B063C6" w:rsidRDefault="00094E45" w:rsidP="004725E5">
            <w:pPr>
              <w:jc w:val="center"/>
              <w:rPr>
                <w:b/>
              </w:rPr>
            </w:pPr>
            <w:r>
              <w:sym w:font="Wingdings 2" w:char="F050"/>
            </w:r>
          </w:p>
        </w:tc>
        <w:tc>
          <w:tcPr>
            <w:tcW w:w="176" w:type="pct"/>
            <w:tcBorders>
              <w:top w:val="nil"/>
              <w:bottom w:val="nil"/>
            </w:tcBorders>
          </w:tcPr>
          <w:p w14:paraId="32385424" w14:textId="77777777" w:rsidR="005A6033" w:rsidRPr="000C008E" w:rsidRDefault="005A6033" w:rsidP="000C008E"/>
        </w:tc>
        <w:tc>
          <w:tcPr>
            <w:tcW w:w="1796" w:type="pct"/>
          </w:tcPr>
          <w:p w14:paraId="3600BDD3" w14:textId="5B1EF49A" w:rsidR="005A6033" w:rsidRDefault="005A6033" w:rsidP="004725E5">
            <w:pPr>
              <w:pStyle w:val="Tabletext"/>
              <w:rPr>
                <w:rFonts w:eastAsia="SimSun"/>
              </w:rPr>
            </w:pPr>
            <w:r>
              <w:t>Aboriginal and Torres Strait Islander histories and culture</w:t>
            </w:r>
            <w:r w:rsidR="00AB32A6">
              <w:t>s</w:t>
            </w:r>
          </w:p>
        </w:tc>
        <w:tc>
          <w:tcPr>
            <w:tcW w:w="269" w:type="pct"/>
            <w:vAlign w:val="center"/>
          </w:tcPr>
          <w:p w14:paraId="557F0BD6" w14:textId="77777777" w:rsidR="005A6033" w:rsidRDefault="00094E45" w:rsidP="004725E5">
            <w:pPr>
              <w:jc w:val="center"/>
              <w:rPr>
                <w:rFonts w:eastAsia="SimSun"/>
              </w:rPr>
            </w:pPr>
            <w:r>
              <w:sym w:font="Wingdings 2" w:char="F050"/>
            </w:r>
          </w:p>
        </w:tc>
        <w:tc>
          <w:tcPr>
            <w:tcW w:w="269" w:type="pct"/>
            <w:vAlign w:val="center"/>
          </w:tcPr>
          <w:p w14:paraId="05F5F5D3" w14:textId="5E0330ED" w:rsidR="005A6033" w:rsidRDefault="005A6033" w:rsidP="004725E5">
            <w:pPr>
              <w:jc w:val="center"/>
              <w:rPr>
                <w:rFonts w:eastAsia="SimSun"/>
              </w:rPr>
            </w:pPr>
          </w:p>
        </w:tc>
      </w:tr>
      <w:tr w:rsidR="005A6033" w:rsidRPr="00B063C6" w14:paraId="4E6B26BE" w14:textId="77777777" w:rsidTr="005A6033">
        <w:trPr>
          <w:trHeight w:val="349"/>
        </w:trPr>
        <w:tc>
          <w:tcPr>
            <w:tcW w:w="1892" w:type="pct"/>
          </w:tcPr>
          <w:p w14:paraId="1D86C877" w14:textId="77777777" w:rsidR="005A6033" w:rsidRPr="00422937" w:rsidRDefault="005A6033" w:rsidP="004725E5">
            <w:pPr>
              <w:pStyle w:val="Tabletext"/>
            </w:pPr>
            <w:r>
              <w:t>Numeracy</w:t>
            </w:r>
          </w:p>
        </w:tc>
        <w:tc>
          <w:tcPr>
            <w:tcW w:w="299" w:type="pct"/>
            <w:vAlign w:val="center"/>
          </w:tcPr>
          <w:p w14:paraId="56C536ED" w14:textId="77777777" w:rsidR="005A6033" w:rsidRPr="00B063C6" w:rsidRDefault="00094E45" w:rsidP="004725E5">
            <w:pPr>
              <w:jc w:val="center"/>
              <w:rPr>
                <w:b/>
              </w:rPr>
            </w:pPr>
            <w:r>
              <w:sym w:font="Wingdings 2" w:char="F050"/>
            </w:r>
            <w:r w:rsidR="005A6033">
              <w:rPr>
                <w:b/>
              </w:rPr>
              <w:t xml:space="preserve"> </w:t>
            </w:r>
          </w:p>
        </w:tc>
        <w:tc>
          <w:tcPr>
            <w:tcW w:w="299" w:type="pct"/>
            <w:vAlign w:val="center"/>
          </w:tcPr>
          <w:p w14:paraId="66D8F6B1" w14:textId="77777777" w:rsidR="005A6033" w:rsidRPr="00B063C6" w:rsidRDefault="00094E45" w:rsidP="004725E5">
            <w:pPr>
              <w:jc w:val="center"/>
              <w:rPr>
                <w:b/>
              </w:rPr>
            </w:pPr>
            <w:r>
              <w:sym w:font="Wingdings 2" w:char="F050"/>
            </w:r>
          </w:p>
        </w:tc>
        <w:tc>
          <w:tcPr>
            <w:tcW w:w="176" w:type="pct"/>
            <w:tcBorders>
              <w:top w:val="nil"/>
              <w:bottom w:val="nil"/>
            </w:tcBorders>
          </w:tcPr>
          <w:p w14:paraId="2C7CC0EA" w14:textId="77777777" w:rsidR="005A6033" w:rsidRPr="000C008E" w:rsidRDefault="005A6033" w:rsidP="000C008E"/>
        </w:tc>
        <w:tc>
          <w:tcPr>
            <w:tcW w:w="1796" w:type="pct"/>
          </w:tcPr>
          <w:p w14:paraId="490197F7" w14:textId="77777777" w:rsidR="005A6033" w:rsidRPr="00B063C6" w:rsidRDefault="005A6033" w:rsidP="004725E5">
            <w:pPr>
              <w:pStyle w:val="Tabletext"/>
              <w:rPr>
                <w:b/>
              </w:rPr>
            </w:pPr>
            <w:r>
              <w:t>Asia and Australia’s engagement with Asia</w:t>
            </w:r>
          </w:p>
        </w:tc>
        <w:tc>
          <w:tcPr>
            <w:tcW w:w="269" w:type="pct"/>
            <w:vAlign w:val="center"/>
          </w:tcPr>
          <w:p w14:paraId="5D2FB918" w14:textId="77777777" w:rsidR="005A6033" w:rsidRPr="00B063C6" w:rsidRDefault="00094E45" w:rsidP="004725E5">
            <w:pPr>
              <w:jc w:val="center"/>
              <w:rPr>
                <w:b/>
              </w:rPr>
            </w:pPr>
            <w:r>
              <w:sym w:font="Wingdings 2" w:char="F050"/>
            </w:r>
          </w:p>
        </w:tc>
        <w:tc>
          <w:tcPr>
            <w:tcW w:w="269" w:type="pct"/>
            <w:vAlign w:val="center"/>
          </w:tcPr>
          <w:p w14:paraId="0ADCA9CF" w14:textId="77777777" w:rsidR="005A6033" w:rsidRDefault="00094E45" w:rsidP="004725E5">
            <w:pPr>
              <w:jc w:val="center"/>
              <w:rPr>
                <w:rFonts w:eastAsia="SimSun"/>
              </w:rPr>
            </w:pPr>
            <w:r>
              <w:sym w:font="Wingdings 2" w:char="F050"/>
            </w:r>
          </w:p>
        </w:tc>
      </w:tr>
      <w:tr w:rsidR="005A6033" w:rsidRPr="00B063C6" w14:paraId="794C8992" w14:textId="77777777" w:rsidTr="005A6033">
        <w:trPr>
          <w:trHeight w:val="349"/>
        </w:trPr>
        <w:tc>
          <w:tcPr>
            <w:tcW w:w="1892" w:type="pct"/>
          </w:tcPr>
          <w:p w14:paraId="7FBA17DE" w14:textId="77777777" w:rsidR="005A6033" w:rsidRPr="00422937" w:rsidRDefault="005A6033" w:rsidP="004725E5">
            <w:pPr>
              <w:pStyle w:val="Tabletext"/>
            </w:pPr>
            <w:r w:rsidRPr="00422937">
              <w:t>I</w:t>
            </w:r>
            <w:r>
              <w:t>nformation and communication technology</w:t>
            </w:r>
          </w:p>
        </w:tc>
        <w:tc>
          <w:tcPr>
            <w:tcW w:w="299" w:type="pct"/>
            <w:vAlign w:val="center"/>
          </w:tcPr>
          <w:p w14:paraId="21329F7A" w14:textId="77777777" w:rsidR="005A6033" w:rsidRPr="00B063C6" w:rsidRDefault="00094E45" w:rsidP="004725E5">
            <w:pPr>
              <w:jc w:val="center"/>
              <w:rPr>
                <w:b/>
              </w:rPr>
            </w:pPr>
            <w:r>
              <w:sym w:font="Wingdings 2" w:char="F050"/>
            </w:r>
          </w:p>
        </w:tc>
        <w:tc>
          <w:tcPr>
            <w:tcW w:w="299" w:type="pct"/>
            <w:vAlign w:val="center"/>
          </w:tcPr>
          <w:p w14:paraId="2E1CE0AA" w14:textId="77777777" w:rsidR="005A6033" w:rsidRPr="00094E45" w:rsidRDefault="00094E45" w:rsidP="004725E5">
            <w:pPr>
              <w:jc w:val="center"/>
            </w:pPr>
            <w:r>
              <w:sym w:font="Wingdings 2" w:char="F050"/>
            </w:r>
          </w:p>
        </w:tc>
        <w:tc>
          <w:tcPr>
            <w:tcW w:w="176" w:type="pct"/>
            <w:tcBorders>
              <w:top w:val="nil"/>
              <w:bottom w:val="nil"/>
            </w:tcBorders>
          </w:tcPr>
          <w:p w14:paraId="24E3AF54" w14:textId="77777777" w:rsidR="005A6033" w:rsidRPr="000C008E" w:rsidRDefault="005A6033" w:rsidP="000C008E"/>
        </w:tc>
        <w:tc>
          <w:tcPr>
            <w:tcW w:w="1796" w:type="pct"/>
            <w:tcBorders>
              <w:bottom w:val="single" w:sz="4" w:space="0" w:color="A6A6A6"/>
            </w:tcBorders>
          </w:tcPr>
          <w:p w14:paraId="4DC9EDA0" w14:textId="77777777" w:rsidR="005A6033" w:rsidRPr="008D438C" w:rsidRDefault="005A6033" w:rsidP="004725E5">
            <w:pPr>
              <w:pStyle w:val="Tabletext"/>
            </w:pPr>
            <w:r>
              <w:t>Sustainability</w:t>
            </w:r>
          </w:p>
        </w:tc>
        <w:tc>
          <w:tcPr>
            <w:tcW w:w="269" w:type="pct"/>
            <w:tcBorders>
              <w:bottom w:val="single" w:sz="4" w:space="0" w:color="A6A6A6"/>
            </w:tcBorders>
            <w:vAlign w:val="center"/>
          </w:tcPr>
          <w:p w14:paraId="56ADF13C" w14:textId="77777777" w:rsidR="005A6033" w:rsidRPr="00B063C6" w:rsidRDefault="00094E45" w:rsidP="004725E5">
            <w:pPr>
              <w:jc w:val="center"/>
              <w:rPr>
                <w:b/>
              </w:rPr>
            </w:pPr>
            <w:r>
              <w:sym w:font="Wingdings 2" w:char="F050"/>
            </w:r>
          </w:p>
        </w:tc>
        <w:tc>
          <w:tcPr>
            <w:tcW w:w="269" w:type="pct"/>
            <w:tcBorders>
              <w:bottom w:val="single" w:sz="4" w:space="0" w:color="A6A6A6"/>
            </w:tcBorders>
            <w:vAlign w:val="center"/>
          </w:tcPr>
          <w:p w14:paraId="6A0C6A07" w14:textId="77777777" w:rsidR="005A6033" w:rsidRDefault="005A6033" w:rsidP="004725E5">
            <w:pPr>
              <w:jc w:val="center"/>
              <w:rPr>
                <w:rFonts w:eastAsia="SimSun"/>
              </w:rPr>
            </w:pPr>
          </w:p>
        </w:tc>
      </w:tr>
      <w:tr w:rsidR="005A6033" w:rsidRPr="00B063C6" w14:paraId="6F8C359B" w14:textId="77777777" w:rsidTr="005A6033">
        <w:trPr>
          <w:trHeight w:val="349"/>
        </w:trPr>
        <w:tc>
          <w:tcPr>
            <w:tcW w:w="1892" w:type="pct"/>
          </w:tcPr>
          <w:p w14:paraId="0846AFFC" w14:textId="77777777" w:rsidR="005A6033" w:rsidRPr="00422937" w:rsidRDefault="005A6033" w:rsidP="004725E5">
            <w:pPr>
              <w:pStyle w:val="Tabletext"/>
            </w:pPr>
            <w:r w:rsidRPr="00422937">
              <w:t>Critical and creative thinking</w:t>
            </w:r>
          </w:p>
        </w:tc>
        <w:tc>
          <w:tcPr>
            <w:tcW w:w="299" w:type="pct"/>
            <w:vAlign w:val="center"/>
          </w:tcPr>
          <w:p w14:paraId="1ADA1976" w14:textId="77777777" w:rsidR="005A6033" w:rsidRPr="00B063C6" w:rsidRDefault="00094E45" w:rsidP="004725E5">
            <w:pPr>
              <w:jc w:val="center"/>
              <w:rPr>
                <w:b/>
              </w:rPr>
            </w:pPr>
            <w:r>
              <w:sym w:font="Wingdings 2" w:char="F050"/>
            </w:r>
          </w:p>
        </w:tc>
        <w:tc>
          <w:tcPr>
            <w:tcW w:w="299" w:type="pct"/>
            <w:vAlign w:val="center"/>
          </w:tcPr>
          <w:p w14:paraId="3C0F7F36" w14:textId="77777777" w:rsidR="005A6033" w:rsidRPr="00B063C6" w:rsidRDefault="00094E45" w:rsidP="004725E5">
            <w:pPr>
              <w:jc w:val="center"/>
              <w:rPr>
                <w:b/>
              </w:rPr>
            </w:pPr>
            <w:r>
              <w:sym w:font="Wingdings 2" w:char="F050"/>
            </w:r>
          </w:p>
        </w:tc>
        <w:tc>
          <w:tcPr>
            <w:tcW w:w="176" w:type="pct"/>
            <w:tcBorders>
              <w:top w:val="nil"/>
              <w:bottom w:val="nil"/>
              <w:right w:val="nil"/>
            </w:tcBorders>
          </w:tcPr>
          <w:p w14:paraId="39900F10" w14:textId="77777777" w:rsidR="005A6033" w:rsidRPr="000C008E" w:rsidRDefault="005A6033" w:rsidP="000C008E"/>
        </w:tc>
        <w:tc>
          <w:tcPr>
            <w:tcW w:w="2334" w:type="pct"/>
            <w:gridSpan w:val="3"/>
            <w:vMerge w:val="restart"/>
            <w:tcBorders>
              <w:left w:val="nil"/>
              <w:bottom w:val="nil"/>
              <w:right w:val="nil"/>
            </w:tcBorders>
          </w:tcPr>
          <w:p w14:paraId="669EA77C" w14:textId="77777777" w:rsidR="005A6033" w:rsidRDefault="005A6033" w:rsidP="000C008E">
            <w:pPr>
              <w:rPr>
                <w:rFonts w:eastAsia="SimSun"/>
              </w:rPr>
            </w:pPr>
          </w:p>
        </w:tc>
      </w:tr>
      <w:tr w:rsidR="005A6033" w:rsidRPr="00B063C6" w14:paraId="120972A9" w14:textId="77777777" w:rsidTr="005A6033">
        <w:trPr>
          <w:trHeight w:val="349"/>
        </w:trPr>
        <w:tc>
          <w:tcPr>
            <w:tcW w:w="1892" w:type="pct"/>
          </w:tcPr>
          <w:p w14:paraId="70F17B49" w14:textId="77777777" w:rsidR="005A6033" w:rsidRPr="00422937" w:rsidRDefault="005A6033" w:rsidP="004725E5">
            <w:pPr>
              <w:pStyle w:val="Tabletext"/>
            </w:pPr>
            <w:r w:rsidRPr="00422937">
              <w:t>Personal and social capability</w:t>
            </w:r>
          </w:p>
        </w:tc>
        <w:tc>
          <w:tcPr>
            <w:tcW w:w="299" w:type="pct"/>
            <w:vAlign w:val="center"/>
          </w:tcPr>
          <w:p w14:paraId="7B1382A5" w14:textId="3B78EA1C" w:rsidR="005A6033" w:rsidRPr="00B063C6" w:rsidRDefault="005A6033" w:rsidP="004725E5">
            <w:pPr>
              <w:jc w:val="center"/>
              <w:rPr>
                <w:b/>
              </w:rPr>
            </w:pPr>
          </w:p>
        </w:tc>
        <w:tc>
          <w:tcPr>
            <w:tcW w:w="299" w:type="pct"/>
            <w:vAlign w:val="center"/>
          </w:tcPr>
          <w:p w14:paraId="36880022" w14:textId="77777777" w:rsidR="005A6033" w:rsidRPr="00B063C6" w:rsidRDefault="005A6033" w:rsidP="004725E5">
            <w:pPr>
              <w:jc w:val="center"/>
              <w:rPr>
                <w:b/>
              </w:rPr>
            </w:pPr>
          </w:p>
        </w:tc>
        <w:tc>
          <w:tcPr>
            <w:tcW w:w="176" w:type="pct"/>
            <w:tcBorders>
              <w:top w:val="nil"/>
              <w:bottom w:val="nil"/>
              <w:right w:val="nil"/>
            </w:tcBorders>
          </w:tcPr>
          <w:p w14:paraId="1A79EC80" w14:textId="77777777" w:rsidR="005A6033" w:rsidRPr="000C008E" w:rsidRDefault="005A6033" w:rsidP="000C008E"/>
        </w:tc>
        <w:tc>
          <w:tcPr>
            <w:tcW w:w="2334" w:type="pct"/>
            <w:gridSpan w:val="3"/>
            <w:vMerge/>
            <w:tcBorders>
              <w:left w:val="nil"/>
              <w:bottom w:val="nil"/>
              <w:right w:val="nil"/>
            </w:tcBorders>
          </w:tcPr>
          <w:p w14:paraId="52729D4D" w14:textId="77777777" w:rsidR="005A6033" w:rsidRDefault="005A6033" w:rsidP="004725E5">
            <w:pPr>
              <w:jc w:val="center"/>
              <w:rPr>
                <w:rFonts w:eastAsia="SimSun"/>
              </w:rPr>
            </w:pPr>
          </w:p>
        </w:tc>
      </w:tr>
      <w:tr w:rsidR="005A6033" w:rsidRPr="00B063C6" w14:paraId="5F8D147A" w14:textId="77777777" w:rsidTr="005A6033">
        <w:trPr>
          <w:trHeight w:val="349"/>
        </w:trPr>
        <w:tc>
          <w:tcPr>
            <w:tcW w:w="1892" w:type="pct"/>
          </w:tcPr>
          <w:p w14:paraId="0F806F26" w14:textId="77777777" w:rsidR="005A6033" w:rsidRPr="00422937" w:rsidRDefault="005A6033" w:rsidP="004725E5">
            <w:pPr>
              <w:pStyle w:val="Tabletext"/>
            </w:pPr>
            <w:r w:rsidRPr="00422937">
              <w:t>Intercultural understanding</w:t>
            </w:r>
          </w:p>
        </w:tc>
        <w:tc>
          <w:tcPr>
            <w:tcW w:w="299" w:type="pct"/>
            <w:vAlign w:val="center"/>
          </w:tcPr>
          <w:p w14:paraId="4D34CFA8" w14:textId="77777777" w:rsidR="005A6033" w:rsidRPr="00B063C6" w:rsidRDefault="005A6033" w:rsidP="004725E5">
            <w:pPr>
              <w:jc w:val="center"/>
              <w:rPr>
                <w:b/>
              </w:rPr>
            </w:pPr>
          </w:p>
        </w:tc>
        <w:tc>
          <w:tcPr>
            <w:tcW w:w="299" w:type="pct"/>
            <w:vAlign w:val="center"/>
          </w:tcPr>
          <w:p w14:paraId="7E0F4B7A" w14:textId="77777777" w:rsidR="005A6033" w:rsidRPr="00B063C6" w:rsidRDefault="00094E45" w:rsidP="004725E5">
            <w:pPr>
              <w:jc w:val="center"/>
              <w:rPr>
                <w:b/>
              </w:rPr>
            </w:pPr>
            <w:r>
              <w:sym w:font="Wingdings 2" w:char="F050"/>
            </w:r>
          </w:p>
        </w:tc>
        <w:tc>
          <w:tcPr>
            <w:tcW w:w="176" w:type="pct"/>
            <w:tcBorders>
              <w:top w:val="nil"/>
              <w:bottom w:val="nil"/>
              <w:right w:val="nil"/>
            </w:tcBorders>
          </w:tcPr>
          <w:p w14:paraId="2BCF734B" w14:textId="77777777" w:rsidR="005A6033" w:rsidRPr="000C008E" w:rsidRDefault="005A6033" w:rsidP="000C008E"/>
        </w:tc>
        <w:tc>
          <w:tcPr>
            <w:tcW w:w="2334" w:type="pct"/>
            <w:gridSpan w:val="3"/>
            <w:vMerge/>
            <w:tcBorders>
              <w:left w:val="nil"/>
              <w:bottom w:val="nil"/>
              <w:right w:val="nil"/>
            </w:tcBorders>
          </w:tcPr>
          <w:p w14:paraId="5086D458" w14:textId="77777777" w:rsidR="005A6033" w:rsidRPr="00B063C6" w:rsidRDefault="005A6033" w:rsidP="004725E5">
            <w:pPr>
              <w:jc w:val="center"/>
              <w:rPr>
                <w:b/>
              </w:rPr>
            </w:pPr>
          </w:p>
        </w:tc>
      </w:tr>
      <w:tr w:rsidR="005A6033" w:rsidRPr="00B063C6" w14:paraId="06935F36" w14:textId="77777777" w:rsidTr="005A6033">
        <w:trPr>
          <w:trHeight w:val="349"/>
        </w:trPr>
        <w:tc>
          <w:tcPr>
            <w:tcW w:w="1892" w:type="pct"/>
          </w:tcPr>
          <w:p w14:paraId="4257645C" w14:textId="77777777" w:rsidR="005A6033" w:rsidRPr="00422937" w:rsidRDefault="005A6033" w:rsidP="004725E5">
            <w:pPr>
              <w:pStyle w:val="Tabletext"/>
            </w:pPr>
            <w:r w:rsidRPr="00422937">
              <w:t>Ethical understanding</w:t>
            </w:r>
          </w:p>
        </w:tc>
        <w:tc>
          <w:tcPr>
            <w:tcW w:w="299" w:type="pct"/>
            <w:vAlign w:val="center"/>
          </w:tcPr>
          <w:p w14:paraId="2DB207AC" w14:textId="77777777" w:rsidR="005A6033" w:rsidRPr="00B063C6" w:rsidRDefault="00094E45" w:rsidP="004725E5">
            <w:pPr>
              <w:jc w:val="center"/>
              <w:rPr>
                <w:b/>
              </w:rPr>
            </w:pPr>
            <w:r>
              <w:sym w:font="Wingdings 2" w:char="F050"/>
            </w:r>
          </w:p>
        </w:tc>
        <w:tc>
          <w:tcPr>
            <w:tcW w:w="299" w:type="pct"/>
            <w:vAlign w:val="center"/>
          </w:tcPr>
          <w:p w14:paraId="21DD1AB1" w14:textId="77777777" w:rsidR="005A6033" w:rsidRPr="00B063C6" w:rsidRDefault="00094E45" w:rsidP="004725E5">
            <w:pPr>
              <w:jc w:val="center"/>
              <w:rPr>
                <w:b/>
              </w:rPr>
            </w:pPr>
            <w:r>
              <w:sym w:font="Wingdings 2" w:char="F050"/>
            </w:r>
          </w:p>
        </w:tc>
        <w:tc>
          <w:tcPr>
            <w:tcW w:w="176" w:type="pct"/>
            <w:tcBorders>
              <w:top w:val="nil"/>
              <w:bottom w:val="nil"/>
              <w:right w:val="nil"/>
            </w:tcBorders>
          </w:tcPr>
          <w:p w14:paraId="3A55BD89" w14:textId="77777777" w:rsidR="005A6033" w:rsidRPr="000C008E" w:rsidRDefault="005A6033" w:rsidP="000C008E"/>
        </w:tc>
        <w:tc>
          <w:tcPr>
            <w:tcW w:w="2334" w:type="pct"/>
            <w:gridSpan w:val="3"/>
            <w:vMerge/>
            <w:tcBorders>
              <w:left w:val="nil"/>
              <w:bottom w:val="nil"/>
              <w:right w:val="nil"/>
            </w:tcBorders>
          </w:tcPr>
          <w:p w14:paraId="06550452" w14:textId="77777777" w:rsidR="005A6033" w:rsidRDefault="005A6033" w:rsidP="004725E5">
            <w:pPr>
              <w:jc w:val="center"/>
              <w:rPr>
                <w:rFonts w:eastAsia="SimSun"/>
              </w:rPr>
            </w:pPr>
          </w:p>
        </w:tc>
      </w:tr>
    </w:tbl>
    <w:p w14:paraId="5EB84E8A" w14:textId="77777777" w:rsidR="002D3109" w:rsidRDefault="002D3109" w:rsidP="002D3109">
      <w:pPr>
        <w:pStyle w:val="Heading1"/>
      </w:pPr>
      <w:r>
        <w:t>Planning considerations</w:t>
      </w:r>
      <w:r w:rsidRPr="00396DD9">
        <w:t xml:space="preserve"> </w:t>
      </w:r>
    </w:p>
    <w:tbl>
      <w:tblPr>
        <w:tblStyle w:val="QCAAtablestyle5"/>
        <w:tblW w:w="5000" w:type="pct"/>
        <w:tblLook w:val="0620" w:firstRow="1" w:lastRow="0" w:firstColumn="0" w:lastColumn="0" w:noHBand="1" w:noVBand="1"/>
      </w:tblPr>
      <w:tblGrid>
        <w:gridCol w:w="20962"/>
      </w:tblGrid>
      <w:tr w:rsidR="002D3109" w14:paraId="66A15474" w14:textId="77777777" w:rsidTr="004725E5">
        <w:trPr>
          <w:cnfStyle w:val="100000000000" w:firstRow="1" w:lastRow="0" w:firstColumn="0" w:lastColumn="0" w:oddVBand="0" w:evenVBand="0" w:oddHBand="0" w:evenHBand="0" w:firstRowFirstColumn="0" w:firstRowLastColumn="0" w:lastRowFirstColumn="0" w:lastRowLastColumn="0"/>
        </w:trPr>
        <w:tc>
          <w:tcPr>
            <w:tcW w:w="5000" w:type="pct"/>
          </w:tcPr>
          <w:p w14:paraId="5FA9FF9D" w14:textId="77777777" w:rsidR="006F1092" w:rsidRPr="00942781" w:rsidRDefault="006F1092" w:rsidP="006F1092">
            <w:pPr>
              <w:pStyle w:val="TableBullet"/>
              <w:numPr>
                <w:ilvl w:val="0"/>
                <w:numId w:val="0"/>
              </w:numPr>
              <w:ind w:left="170" w:hanging="170"/>
            </w:pPr>
            <w:r>
              <w:t>Prior to implementation the teaching team will consider questions such as:</w:t>
            </w:r>
          </w:p>
          <w:p w14:paraId="17C01110" w14:textId="77777777" w:rsidR="006F1092" w:rsidRPr="00942781" w:rsidRDefault="006F1092" w:rsidP="00B14863">
            <w:pPr>
              <w:pStyle w:val="TableBullet"/>
            </w:pPr>
            <w:r w:rsidRPr="00942781">
              <w:t xml:space="preserve">Where has prior and future learning across the year level/band been reflected in the plan? </w:t>
            </w:r>
          </w:p>
          <w:p w14:paraId="3E5B6349" w14:textId="77777777" w:rsidR="006F1092" w:rsidRPr="00942781" w:rsidRDefault="006F1092" w:rsidP="00B14863">
            <w:pPr>
              <w:pStyle w:val="TableBullet"/>
            </w:pPr>
            <w:r w:rsidRPr="00942781">
              <w:t>Are there adequate opportunities for students to develop depth of conceptual understanding and sophistication of skills across the year level/band?</w:t>
            </w:r>
          </w:p>
          <w:p w14:paraId="52FCC481" w14:textId="77777777" w:rsidR="006F1092" w:rsidRPr="00942781" w:rsidRDefault="006F1092" w:rsidP="00B14863">
            <w:pPr>
              <w:pStyle w:val="TableBullet"/>
            </w:pPr>
            <w:r w:rsidRPr="00942781">
              <w:t>Does the plan ensure adequate opportunities for students to demonstrate the achievement standard/s by the end of the year level/band?</w:t>
            </w:r>
          </w:p>
          <w:p w14:paraId="460B72A9" w14:textId="2B2DBB45" w:rsidR="006F1092" w:rsidRDefault="006F1092" w:rsidP="00B14863">
            <w:pPr>
              <w:pStyle w:val="TableBullet"/>
            </w:pPr>
            <w:r w:rsidRPr="00942781">
              <w:t>Are the timing and demands of the planned assessment appropriate in relation to assessment of other learning areas and subjects taught in this year?</w:t>
            </w:r>
          </w:p>
          <w:p w14:paraId="14760B3A" w14:textId="25B9D37E" w:rsidR="00B14863" w:rsidRPr="00942781" w:rsidRDefault="00B14863" w:rsidP="00B14863">
            <w:pPr>
              <w:pStyle w:val="TableBullet"/>
            </w:pPr>
            <w:r>
              <w:t xml:space="preserve">Are there any Indigenous cultural and intellectual property (ICIP) rights to consider? For guidance, see </w:t>
            </w:r>
            <w:hyperlink r:id="rId15" w:history="1">
              <w:r>
                <w:rPr>
                  <w:rStyle w:val="Hyperlink"/>
                </w:rPr>
                <w:t>https://smartcopying.edu.au/guidelines/copyright-basics/indigenous-cultural-and-intellectual-property-rights</w:t>
              </w:r>
            </w:hyperlink>
            <w:r>
              <w:t xml:space="preserve">. </w:t>
            </w:r>
          </w:p>
          <w:p w14:paraId="403AA984" w14:textId="77777777" w:rsidR="006F1092" w:rsidRPr="00942781" w:rsidRDefault="006F1092" w:rsidP="00B14863">
            <w:pPr>
              <w:pStyle w:val="TableBullet"/>
            </w:pPr>
            <w:r w:rsidRPr="00942781">
              <w:t>Do the assessment techniques and conditions offer a range and balance across the year/band? What strategies for authentication are included?</w:t>
            </w:r>
          </w:p>
          <w:p w14:paraId="25860AEA" w14:textId="77777777" w:rsidR="006F1092" w:rsidRPr="00942781" w:rsidRDefault="006F1092" w:rsidP="00B14863">
            <w:pPr>
              <w:pStyle w:val="TableBullet"/>
            </w:pPr>
            <w:r w:rsidRPr="00942781">
              <w:t>What moderation processes will be used? When will assessment and moderation occur?</w:t>
            </w:r>
          </w:p>
          <w:p w14:paraId="225D844F" w14:textId="446B9C28" w:rsidR="006F1092" w:rsidRPr="00942781" w:rsidRDefault="006F1092" w:rsidP="00B14863">
            <w:pPr>
              <w:pStyle w:val="TableBullet"/>
            </w:pPr>
            <w:r w:rsidRPr="00942781">
              <w:t>Is the planned teaching, learning and assessment sequence appropriate for reporting purposes?</w:t>
            </w:r>
          </w:p>
          <w:p w14:paraId="78A9813E" w14:textId="77777777" w:rsidR="006F1092" w:rsidRPr="00942781" w:rsidRDefault="006F1092" w:rsidP="00B14863">
            <w:pPr>
              <w:pStyle w:val="TableBullet"/>
            </w:pPr>
            <w:r w:rsidRPr="00942781">
              <w:t xml:space="preserve">Do strategies for differentiation and reasonable adjustments complement the teaching, learning and assessment sequence? </w:t>
            </w:r>
          </w:p>
          <w:p w14:paraId="3E6292AA" w14:textId="2FF8F005" w:rsidR="00B8524C" w:rsidRPr="00CD2F6D" w:rsidRDefault="006F1092" w:rsidP="00B14863">
            <w:pPr>
              <w:pStyle w:val="TableBullet"/>
            </w:pPr>
            <w:r w:rsidRPr="00942781">
              <w:t>How will planned strategies for differentiation and reasonable adjustments impact other year level/band plans?</w:t>
            </w:r>
          </w:p>
        </w:tc>
      </w:tr>
      <w:tr w:rsidR="002D3109" w14:paraId="1916A957" w14:textId="77777777" w:rsidTr="004725E5">
        <w:tc>
          <w:tcPr>
            <w:tcW w:w="5000" w:type="pct"/>
          </w:tcPr>
          <w:p w14:paraId="5631D808" w14:textId="77777777" w:rsidR="006F1092" w:rsidRDefault="006F1092" w:rsidP="006F1092">
            <w:pPr>
              <w:pStyle w:val="TableBullet"/>
              <w:numPr>
                <w:ilvl w:val="0"/>
                <w:numId w:val="0"/>
              </w:numPr>
              <w:ind w:left="170" w:hanging="170"/>
            </w:pPr>
            <w:r>
              <w:t>Following implementation, the teaching team will consider questions such as:</w:t>
            </w:r>
          </w:p>
          <w:p w14:paraId="51398857" w14:textId="77777777" w:rsidR="006F1092" w:rsidRPr="00942781" w:rsidRDefault="006F1092" w:rsidP="006F1092">
            <w:pPr>
              <w:pStyle w:val="TableBullet"/>
              <w:numPr>
                <w:ilvl w:val="0"/>
                <w:numId w:val="4"/>
              </w:numPr>
              <w:tabs>
                <w:tab w:val="clear" w:pos="284"/>
              </w:tabs>
              <w:ind w:left="170" w:hanging="170"/>
            </w:pPr>
            <w:r w:rsidRPr="00942781">
              <w:t>Was the teaching, learning and assessment effective?</w:t>
            </w:r>
          </w:p>
          <w:p w14:paraId="27305EDA" w14:textId="77777777" w:rsidR="006F1092" w:rsidRPr="00942781" w:rsidRDefault="006F1092" w:rsidP="006F1092">
            <w:pPr>
              <w:pStyle w:val="TableBullet"/>
              <w:numPr>
                <w:ilvl w:val="0"/>
                <w:numId w:val="4"/>
              </w:numPr>
              <w:tabs>
                <w:tab w:val="clear" w:pos="284"/>
              </w:tabs>
              <w:ind w:left="170" w:hanging="170"/>
            </w:pPr>
            <w:r w:rsidRPr="00942781">
              <w:t>Are there opportunities to improve the effectiveness of the teaching, learning and assessment? If so, what?</w:t>
            </w:r>
          </w:p>
          <w:p w14:paraId="05B3A498" w14:textId="77777777" w:rsidR="006F1092" w:rsidRPr="00942781" w:rsidRDefault="006F1092" w:rsidP="006F1092">
            <w:pPr>
              <w:pStyle w:val="TableBullet"/>
              <w:numPr>
                <w:ilvl w:val="0"/>
                <w:numId w:val="4"/>
              </w:numPr>
              <w:tabs>
                <w:tab w:val="clear" w:pos="284"/>
              </w:tabs>
              <w:ind w:left="170" w:hanging="170"/>
            </w:pPr>
            <w:r w:rsidRPr="00942781">
              <w:t>Were there any common student misconceptions that need, or needed, to be clarified?</w:t>
            </w:r>
          </w:p>
          <w:p w14:paraId="323AE958" w14:textId="7D16FC91" w:rsidR="002D3109" w:rsidRPr="00CD2F6D" w:rsidRDefault="006F1092" w:rsidP="004725E5">
            <w:pPr>
              <w:pStyle w:val="TableBullet"/>
              <w:numPr>
                <w:ilvl w:val="0"/>
                <w:numId w:val="4"/>
              </w:numPr>
              <w:tabs>
                <w:tab w:val="clear" w:pos="284"/>
              </w:tabs>
              <w:ind w:left="170" w:hanging="170"/>
            </w:pPr>
            <w:r w:rsidRPr="00942781">
              <w:t>How do student outcomes in this year of learning impact on the planning of subsequent year level/band plans?</w:t>
            </w:r>
          </w:p>
        </w:tc>
      </w:tr>
    </w:tbl>
    <w:p w14:paraId="156B3651" w14:textId="77777777" w:rsidR="00306525" w:rsidRPr="00306525" w:rsidRDefault="00306525" w:rsidP="00306525"/>
    <w:p w14:paraId="4D0F6E62" w14:textId="77777777" w:rsidR="00D94E4F" w:rsidRPr="00D94E4F" w:rsidRDefault="00D94E4F" w:rsidP="00333DEC">
      <w:pPr>
        <w:pStyle w:val="BodyText"/>
        <w:spacing w:before="480"/>
      </w:pPr>
      <w:r w:rsidRPr="00D94E4F">
        <w:rPr>
          <w:noProof/>
        </w:rPr>
        <w:drawing>
          <wp:inline distT="0" distB="0" distL="0" distR="0" wp14:anchorId="7A44BA78" wp14:editId="39B27F30">
            <wp:extent cx="398160" cy="186840"/>
            <wp:effectExtent l="0" t="0" r="1905" b="3810"/>
            <wp:docPr id="5" name="Graphic 5" descr="Creative Commons (CC) licence icons" title="Copyright indicato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6"/>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45CC00D753AE49B7B1280871547FFB76"/>
          </w:placeholder>
        </w:sdtPr>
        <w:sdtEndPr/>
        <w:sdtContent>
          <w:r w:rsidR="006F1092">
            <w:t>2021</w:t>
          </w:r>
        </w:sdtContent>
      </w:sdt>
    </w:p>
    <w:bookmarkEnd w:id="2"/>
    <w:p w14:paraId="640A7ED7" w14:textId="77777777" w:rsidR="00753565" w:rsidRPr="00A30FD9" w:rsidRDefault="00753565" w:rsidP="00753565">
      <w:pPr>
        <w:pStyle w:val="Legalnotice"/>
        <w:rPr>
          <w:b/>
        </w:rPr>
      </w:pPr>
      <w:r w:rsidRPr="00A30FD9">
        <w:t>The</w:t>
      </w:r>
      <w:r w:rsidR="0014766D">
        <w:t xml:space="preserve"> </w:t>
      </w:r>
      <w:sdt>
        <w:sdtPr>
          <w:rPr>
            <w:b/>
            <w:bCs/>
          </w:rPr>
          <w:alias w:val="Document Title"/>
          <w:tag w:val="DocumentTitle"/>
          <w:id w:val="-1394967241"/>
          <w:placeholder>
            <w:docPart w:val="F4231A7DA63D4307BB4FF79A19098FC7"/>
          </w:placeholder>
          <w:dataBinding w:prefixMappings="xmlns:ns0='http://QCAA.qld.edu.au' " w:xpath="/ns0:QCAA[1]/ns0:DocumentTitle[1]" w:storeItemID="{029BFAC3-A859-40E3-910E-708531540F3D}"/>
          <w:text/>
        </w:sdtPr>
        <w:sdtEndPr/>
        <w:sdtContent>
          <w:r w:rsidR="008A09B9">
            <w:rPr>
              <w:b/>
              <w:bCs/>
            </w:rPr>
            <w:t>Year 10 Geography curriculum and assessment plan</w:t>
          </w:r>
        </w:sdtContent>
      </w:sdt>
      <w:r>
        <w:rPr>
          <w:b/>
        </w:rPr>
        <w:t xml:space="preserve"> template </w:t>
      </w:r>
      <w:r w:rsidRPr="00A30FD9">
        <w:t>is licensed under the CC BY 4.0 Licence</w:t>
      </w:r>
      <w:r>
        <w:rPr>
          <w:b/>
        </w:rPr>
        <w:t xml:space="preserve">. </w:t>
      </w:r>
      <w:r w:rsidRPr="003D2E09">
        <w:rPr>
          <w:b/>
        </w:rPr>
        <w:t>Licence</w:t>
      </w:r>
      <w:r>
        <w:rPr>
          <w:b/>
        </w:rPr>
        <w:t xml:space="preserve"> URL</w:t>
      </w:r>
      <w:r w:rsidRPr="003D2E09">
        <w:rPr>
          <w:b/>
        </w:rPr>
        <w:t>:</w:t>
      </w:r>
      <w:r w:rsidRPr="003D2E09">
        <w:t xml:space="preserve"> </w:t>
      </w:r>
      <w:hyperlink r:id="rId19" w:history="1">
        <w:r>
          <w:rPr>
            <w:color w:val="0000FF"/>
          </w:rPr>
          <w:t>https://creativecommons.org/licenses/by/4.0</w:t>
        </w:r>
      </w:hyperlink>
    </w:p>
    <w:p w14:paraId="01B0E4C3" w14:textId="5204D367" w:rsidR="00D94E4F" w:rsidRDefault="00F02142" w:rsidP="00753565">
      <w:pPr>
        <w:pStyle w:val="Legalnotice"/>
      </w:pPr>
      <w:r>
        <w:t>E</w:t>
      </w:r>
      <w:r w:rsidR="00753565">
        <w:t xml:space="preserve">xtracts from the Australian Curriculum are licensed as follows: </w:t>
      </w:r>
      <w:r w:rsidR="00753565" w:rsidRPr="00A30FD9">
        <w:rPr>
          <w:shd w:val="clear" w:color="auto" w:fill="F7F7F7"/>
        </w:rPr>
        <w:t>© ACARA 2010–2019, licensed under</w:t>
      </w:r>
      <w:r w:rsidR="00753565" w:rsidRPr="00A30FD9">
        <w:rPr>
          <w:rStyle w:val="Strong"/>
          <w:rFonts w:cstheme="minorHAnsi"/>
          <w:szCs w:val="18"/>
        </w:rPr>
        <w:t> </w:t>
      </w:r>
      <w:hyperlink r:id="rId20" w:history="1">
        <w:r w:rsidR="00753565" w:rsidRPr="00A30FD9">
          <w:rPr>
            <w:rStyle w:val="Hyperlink"/>
            <w:rFonts w:cstheme="minorHAnsi"/>
            <w:b/>
            <w:bCs/>
            <w:color w:val="auto"/>
            <w:szCs w:val="18"/>
          </w:rPr>
          <w:t>CC BY 4.0</w:t>
        </w:r>
      </w:hyperlink>
      <w:r w:rsidR="00753565" w:rsidRPr="00A30FD9">
        <w:rPr>
          <w:shd w:val="clear" w:color="auto" w:fill="F7F7F7"/>
        </w:rPr>
        <w:t>. For the latest information and additional terms of use, please check the </w:t>
      </w:r>
      <w:hyperlink r:id="rId21" w:history="1">
        <w:r w:rsidR="00753565" w:rsidRPr="00A30FD9">
          <w:rPr>
            <w:rStyle w:val="Hyperlink"/>
            <w:rFonts w:cstheme="minorHAnsi"/>
            <w:b/>
            <w:bCs/>
            <w:color w:val="auto"/>
            <w:szCs w:val="18"/>
          </w:rPr>
          <w:t>Australian Curriculum website</w:t>
        </w:r>
      </w:hyperlink>
      <w:r w:rsidR="00753565" w:rsidRPr="00A30FD9">
        <w:rPr>
          <w:shd w:val="clear" w:color="auto" w:fill="F7F7F7"/>
        </w:rPr>
        <w:t> </w:t>
      </w:r>
      <w:r w:rsidR="00753565">
        <w:rPr>
          <w:shd w:val="clear" w:color="auto" w:fill="F7F7F7"/>
        </w:rPr>
        <w:t>(</w:t>
      </w:r>
      <w:r w:rsidR="00753565" w:rsidRPr="00A30FD9">
        <w:rPr>
          <w:color w:val="0000FF"/>
        </w:rPr>
        <w:t>www.australiancurriculum.edu.au/)</w:t>
      </w:r>
      <w:r w:rsidR="00753565">
        <w:rPr>
          <w:rStyle w:val="Strong"/>
          <w:rFonts w:cstheme="minorHAnsi"/>
          <w:szCs w:val="18"/>
        </w:rPr>
        <w:t xml:space="preserve"> </w:t>
      </w:r>
      <w:r w:rsidR="00753565" w:rsidRPr="00A30FD9">
        <w:rPr>
          <w:shd w:val="clear" w:color="auto" w:fill="F7F7F7"/>
        </w:rPr>
        <w:t>and its </w:t>
      </w:r>
      <w:hyperlink r:id="rId22" w:history="1">
        <w:r w:rsidR="00753565" w:rsidRPr="00A30FD9">
          <w:rPr>
            <w:rStyle w:val="Hyperlink"/>
            <w:rFonts w:cstheme="minorHAnsi"/>
            <w:b/>
            <w:bCs/>
            <w:color w:val="auto"/>
            <w:szCs w:val="18"/>
          </w:rPr>
          <w:t>copyright notice</w:t>
        </w:r>
      </w:hyperlink>
      <w:r w:rsidR="00753565">
        <w:rPr>
          <w:rStyle w:val="Strong"/>
          <w:rFonts w:cstheme="minorHAnsi"/>
          <w:szCs w:val="18"/>
        </w:rPr>
        <w:t xml:space="preserve"> </w:t>
      </w:r>
      <w:r w:rsidR="00753565" w:rsidRPr="00A30FD9">
        <w:rPr>
          <w:rStyle w:val="Strong"/>
          <w:rFonts w:cstheme="minorHAnsi"/>
          <w:b w:val="0"/>
          <w:bCs w:val="0"/>
          <w:szCs w:val="18"/>
        </w:rPr>
        <w:t>(</w:t>
      </w:r>
      <w:r w:rsidR="00753565" w:rsidRPr="00A30FD9">
        <w:rPr>
          <w:color w:val="0000FF"/>
        </w:rPr>
        <w:t>www.australiancurriculum.edu.au/copyright-and-terms-of-use</w:t>
      </w:r>
      <w:r w:rsidR="00753565" w:rsidRPr="00A30FD9">
        <w:rPr>
          <w:rStyle w:val="Strong"/>
          <w:rFonts w:cstheme="minorHAnsi"/>
          <w:b w:val="0"/>
          <w:bCs w:val="0"/>
          <w:szCs w:val="18"/>
        </w:rPr>
        <w:t>)</w:t>
      </w:r>
      <w:r w:rsidR="00753565" w:rsidRPr="00A30FD9">
        <w:rPr>
          <w:shd w:val="clear" w:color="auto" w:fill="F7F7F7"/>
        </w:rPr>
        <w:t>.</w:t>
      </w:r>
    </w:p>
    <w:sectPr w:rsidR="00D94E4F" w:rsidSect="000C1CBA">
      <w:footerReference w:type="default" r:id="rId23"/>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361C6" w14:textId="77777777" w:rsidR="006E009D" w:rsidRDefault="006E009D" w:rsidP="00185154">
      <w:r>
        <w:separator/>
      </w:r>
    </w:p>
    <w:p w14:paraId="23BAC039" w14:textId="77777777" w:rsidR="006E009D" w:rsidRDefault="006E009D"/>
    <w:p w14:paraId="4E6D15A3" w14:textId="77777777" w:rsidR="006E009D" w:rsidRDefault="006E009D"/>
  </w:endnote>
  <w:endnote w:type="continuationSeparator" w:id="0">
    <w:p w14:paraId="45394A8E" w14:textId="77777777" w:rsidR="006E009D" w:rsidRDefault="006E009D" w:rsidP="00185154">
      <w:r>
        <w:continuationSeparator/>
      </w:r>
    </w:p>
    <w:p w14:paraId="41EDF9FC" w14:textId="77777777" w:rsidR="006E009D" w:rsidRDefault="006E009D"/>
    <w:p w14:paraId="619C0E90" w14:textId="77777777" w:rsidR="006E009D" w:rsidRDefault="006E0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1"/>
      <w:tblW w:w="5542" w:type="pct"/>
      <w:tblInd w:w="-1134" w:type="dxa"/>
      <w:tblLook w:val="04A0" w:firstRow="1" w:lastRow="0" w:firstColumn="1" w:lastColumn="0" w:noHBand="0" w:noVBand="1"/>
    </w:tblPr>
    <w:tblGrid>
      <w:gridCol w:w="22989"/>
      <w:gridCol w:w="256"/>
    </w:tblGrid>
    <w:tr w:rsidR="004725E5" w:rsidRPr="00454DE4" w14:paraId="1710DE1E" w14:textId="77777777" w:rsidTr="00FA5661">
      <w:trPr>
        <w:cantSplit/>
        <w:trHeight w:val="964"/>
      </w:trPr>
      <w:tc>
        <w:tcPr>
          <w:tcW w:w="22988" w:type="dxa"/>
          <w:vAlign w:val="bottom"/>
          <w:hideMark/>
        </w:tcPr>
        <w:p w14:paraId="4E09C7BF" w14:textId="77777777" w:rsidR="004725E5" w:rsidRPr="00454DE4" w:rsidRDefault="004725E5" w:rsidP="00E15D6B">
          <w:pPr>
            <w:spacing w:after="220" w:line="264" w:lineRule="auto"/>
            <w:jc w:val="right"/>
            <w:rPr>
              <w:rFonts w:eastAsia="Times New Roman"/>
              <w:color w:val="808080"/>
              <w:sz w:val="10"/>
              <w:szCs w:val="10"/>
            </w:rPr>
          </w:pPr>
          <w:r>
            <w:rPr>
              <w:noProof/>
            </w:rPr>
            <w:drawing>
              <wp:inline distT="0" distB="0" distL="0" distR="0" wp14:anchorId="31224899" wp14:editId="0B47EFF3">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6840BFF4" w14:textId="77777777" w:rsidR="004725E5" w:rsidRPr="00454DE4" w:rsidRDefault="005433E5" w:rsidP="00E15D6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DA132F">
                <w:rPr>
                  <w:rFonts w:eastAsia="Times New Roman"/>
                  <w:color w:val="808080"/>
                  <w:sz w:val="10"/>
                  <w:szCs w:val="10"/>
                </w:rPr>
                <w:t>210135</w:t>
              </w:r>
            </w:sdtContent>
          </w:sdt>
        </w:p>
      </w:tc>
    </w:tr>
    <w:tr w:rsidR="004725E5" w:rsidRPr="00454DE4" w14:paraId="308E852D" w14:textId="77777777" w:rsidTr="00FA5661">
      <w:trPr>
        <w:trHeight w:val="227"/>
      </w:trPr>
      <w:tc>
        <w:tcPr>
          <w:tcW w:w="23244" w:type="dxa"/>
          <w:gridSpan w:val="2"/>
          <w:vAlign w:val="center"/>
        </w:tcPr>
        <w:p w14:paraId="7D25DCA4" w14:textId="77777777" w:rsidR="004725E5" w:rsidRPr="00454DE4" w:rsidRDefault="004725E5" w:rsidP="00454DE4">
          <w:pPr>
            <w:tabs>
              <w:tab w:val="right" w:pos="9639"/>
            </w:tabs>
            <w:spacing w:line="264" w:lineRule="auto"/>
            <w:jc w:val="center"/>
            <w:rPr>
              <w:b/>
              <w:color w:val="1E1E1E"/>
              <w:sz w:val="16"/>
            </w:rPr>
          </w:pPr>
        </w:p>
      </w:tc>
    </w:tr>
  </w:tbl>
  <w:p w14:paraId="6697E417" w14:textId="77777777" w:rsidR="004725E5" w:rsidRPr="00454DE4" w:rsidRDefault="004725E5" w:rsidP="00454DE4">
    <w:pPr>
      <w:rPr>
        <w:rFonts w:ascii="Arial" w:eastAsia="Arial" w:hAnsi="Arial" w:cs="Times New Roman"/>
      </w:rPr>
    </w:pPr>
    <w:r>
      <w:rPr>
        <w:rFonts w:ascii="Arial" w:eastAsia="Arial" w:hAnsi="Arial" w:cs="Times New Roman"/>
        <w:noProof/>
      </w:rPr>
      <w:drawing>
        <wp:anchor distT="0" distB="0" distL="114300" distR="114300" simplePos="0" relativeHeight="251657728" behindDoc="1" locked="0" layoutInCell="1" allowOverlap="1" wp14:anchorId="61CCF300" wp14:editId="0E9329E9">
          <wp:simplePos x="0" y="0"/>
          <wp:positionH relativeFrom="page">
            <wp:posOffset>0</wp:posOffset>
          </wp:positionH>
          <wp:positionV relativeFrom="page">
            <wp:align>bottom</wp:align>
          </wp:positionV>
          <wp:extent cx="15120000" cy="761400"/>
          <wp:effectExtent l="0" t="0" r="0" b="0"/>
          <wp:wrapNone/>
          <wp:docPr id="3" name="Graphic 3"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CAA_footer_col_RGB for word_A3-landscape.svg"/>
                  <pic:cNvPicPr/>
                </pic:nvPicPr>
                <pic:blipFill>
                  <a:blip r:embed="rId4">
                    <a:extLst>
                      <a:ext uri="{96DAC541-7B7A-43D3-8B79-37D633B846F1}">
                        <asvg:svgBlip xmlns:asvg="http://schemas.microsoft.com/office/drawing/2016/SVG/main" r:embed="rId5"/>
                      </a:ext>
                    </a:extLst>
                  </a:blip>
                  <a:stretch>
                    <a:fillRect/>
                  </a:stretch>
                </pic:blipFill>
                <pic:spPr>
                  <a:xfrm>
                    <a:off x="0" y="0"/>
                    <a:ext cx="15120000" cy="761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
      <w:tblW w:w="10149" w:type="dxa"/>
      <w:tblLook w:val="04A0" w:firstRow="1" w:lastRow="0" w:firstColumn="1" w:lastColumn="0" w:noHBand="0" w:noVBand="1"/>
    </w:tblPr>
    <w:tblGrid>
      <w:gridCol w:w="4504"/>
      <w:gridCol w:w="5645"/>
    </w:tblGrid>
    <w:tr w:rsidR="004725E5" w:rsidRPr="00C9759C" w14:paraId="7C75A9A9" w14:textId="77777777" w:rsidTr="00C9759C">
      <w:trPr>
        <w:cantSplit/>
        <w:trHeight w:val="856"/>
      </w:trPr>
      <w:tc>
        <w:tcPr>
          <w:tcW w:w="4530" w:type="dxa"/>
        </w:tcPr>
        <w:p w14:paraId="2A5EF2FF" w14:textId="77777777" w:rsidR="004725E5" w:rsidRDefault="004725E5" w:rsidP="00346472">
          <w:pPr>
            <w:pStyle w:val="Footer"/>
            <w:rPr>
              <w:b w:val="0"/>
              <w:color w:val="6F7378"/>
              <w:sz w:val="10"/>
              <w:szCs w:val="10"/>
            </w:rPr>
          </w:pPr>
        </w:p>
      </w:tc>
      <w:tc>
        <w:tcPr>
          <w:tcW w:w="5676" w:type="dxa"/>
          <w:shd w:val="clear" w:color="auto" w:fill="auto"/>
          <w:textDirection w:val="btLr"/>
          <w:vAlign w:val="bottom"/>
        </w:tcPr>
        <w:p w14:paraId="179CFBD4" w14:textId="77777777" w:rsidR="004725E5" w:rsidRPr="00C9759C" w:rsidRDefault="004725E5" w:rsidP="00C9759C">
          <w:pPr>
            <w:pStyle w:val="Jobnumber"/>
          </w:pPr>
          <w:r w:rsidRPr="00C9759C">
            <w:sym w:font="Wingdings" w:char="F06E"/>
          </w:r>
          <w:r w:rsidRPr="00C9759C">
            <w:t xml:space="preserve"> </w:t>
          </w:r>
          <w:sdt>
            <w:sdtPr>
              <w:alias w:val="Job No."/>
              <w:tag w:val="Category"/>
              <w:id w:val="-1470814945"/>
              <w:placeholder>
                <w:docPart w:val="395BDC364F3242E0ABE358C33AE26FE7"/>
              </w:placeholder>
              <w:dataBinding w:prefixMappings="xmlns:ns0='http://purl.org/dc/elements/1.1/' xmlns:ns1='http://schemas.openxmlformats.org/package/2006/metadata/core-properties' " w:xpath="/ns1:coreProperties[1]/ns1:category[1]" w:storeItemID="{6C3C8BC8-F283-45AE-878A-BAB7291924A1}"/>
              <w:text/>
            </w:sdtPr>
            <w:sdtEndPr/>
            <w:sdtContent>
              <w:r w:rsidR="00DA132F">
                <w:t>210135</w:t>
              </w:r>
            </w:sdtContent>
          </w:sdt>
        </w:p>
      </w:tc>
    </w:tr>
    <w:tr w:rsidR="004725E5" w14:paraId="03D5E6D1" w14:textId="77777777" w:rsidTr="00346472">
      <w:trPr>
        <w:trHeight w:val="532"/>
      </w:trPr>
      <w:tc>
        <w:tcPr>
          <w:tcW w:w="4530" w:type="dxa"/>
        </w:tcPr>
        <w:p w14:paraId="48FABAB2" w14:textId="77777777" w:rsidR="004725E5" w:rsidRDefault="004725E5" w:rsidP="00346472">
          <w:pPr>
            <w:pStyle w:val="Footer"/>
            <w:rPr>
              <w:b w:val="0"/>
              <w:color w:val="6F7378"/>
              <w:sz w:val="10"/>
              <w:szCs w:val="10"/>
            </w:rPr>
          </w:pPr>
        </w:p>
      </w:tc>
      <w:tc>
        <w:tcPr>
          <w:tcW w:w="5676" w:type="dxa"/>
        </w:tcPr>
        <w:p w14:paraId="55D913B5" w14:textId="77777777" w:rsidR="004725E5" w:rsidRDefault="004725E5" w:rsidP="00346472">
          <w:pPr>
            <w:pStyle w:val="Footer"/>
            <w:rPr>
              <w:b w:val="0"/>
              <w:color w:val="6F7378"/>
              <w:sz w:val="10"/>
              <w:szCs w:val="10"/>
            </w:rPr>
          </w:pPr>
        </w:p>
      </w:tc>
    </w:tr>
  </w:tbl>
  <w:p w14:paraId="40048E28" w14:textId="77777777" w:rsidR="004725E5" w:rsidRPr="00346472" w:rsidRDefault="004725E5"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6704" behindDoc="1" locked="0" layoutInCell="1" allowOverlap="1" wp14:anchorId="3EBB7A21" wp14:editId="39491D74">
          <wp:simplePos x="898543" y="9297281"/>
          <wp:positionH relativeFrom="page">
            <wp:align>left</wp:align>
          </wp:positionH>
          <wp:positionV relativeFrom="page">
            <wp:align>bottom</wp:align>
          </wp:positionV>
          <wp:extent cx="7574400" cy="11268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4725E5" w14:paraId="24DF927F" w14:textId="77777777" w:rsidTr="00AB33F6">
      <w:tc>
        <w:tcPr>
          <w:tcW w:w="2500" w:type="pct"/>
          <w:noWrap/>
          <w:hideMark/>
        </w:tcPr>
        <w:p w14:paraId="4FD75F66" w14:textId="77777777" w:rsidR="004725E5" w:rsidRPr="002E6121" w:rsidRDefault="005433E5" w:rsidP="00B64090">
          <w:pPr>
            <w:pStyle w:val="Footer"/>
          </w:pPr>
          <w:sdt>
            <w:sdtPr>
              <w:alias w:val="Document Title"/>
              <w:tag w:val="DocumentTitle"/>
              <w:id w:val="-1800144886"/>
              <w:placeholder>
                <w:docPart w:val="4C2ACF73022B44B492739E5014CD4C1E"/>
              </w:placeholder>
              <w:dataBinding w:prefixMappings="xmlns:ns0='http://QCAA.qld.edu.au' " w:xpath="/ns0:QCAA[1]/ns0:DocumentTitle[1]" w:storeItemID="{029BFAC3-A859-40E3-910E-708531540F3D}"/>
              <w:text/>
            </w:sdtPr>
            <w:sdtEndPr/>
            <w:sdtContent>
              <w:r w:rsidR="008A09B9">
                <w:t>Year 10 Geography curriculum and assessment plan</w:t>
              </w:r>
            </w:sdtContent>
          </w:sdt>
        </w:p>
        <w:sdt>
          <w:sdtPr>
            <w:alias w:val="Document Subtitle"/>
            <w:tag w:val="DocumentSubtitle"/>
            <w:id w:val="415823483"/>
            <w:placeholder>
              <w:docPart w:val="B682F7778BAF47DAAB1D9A654FD47BD0"/>
            </w:placeholder>
            <w:dataBinding w:prefixMappings="xmlns:ns0='http://QCAA.qld.edu.au' " w:xpath="/ns0:QCAA[1]/ns0:DocumentSubtitle[1]" w:storeItemID="{ECF99190-FDC9-4DC7-BF4D-418697363580}"/>
            <w:text/>
          </w:sdtPr>
          <w:sdtEndPr/>
          <w:sdtContent>
            <w:p w14:paraId="1473A66C" w14:textId="77777777" w:rsidR="004725E5" w:rsidRPr="001C5273" w:rsidRDefault="002C2B6C" w:rsidP="001C5273">
              <w:pPr>
                <w:pStyle w:val="Footersubtitle"/>
                <w:rPr>
                  <w:iCs/>
                  <w:color w:val="auto"/>
                  <w:sz w:val="21"/>
                </w:rPr>
              </w:pPr>
              <w:r>
                <w:t>Example</w:t>
              </w:r>
            </w:p>
          </w:sdtContent>
        </w:sdt>
      </w:tc>
      <w:tc>
        <w:tcPr>
          <w:tcW w:w="2500" w:type="pct"/>
          <w:hideMark/>
        </w:tcPr>
        <w:p w14:paraId="33C432F6" w14:textId="77777777" w:rsidR="004725E5" w:rsidRDefault="004725E5" w:rsidP="00B64090">
          <w:pPr>
            <w:pStyle w:val="Footer"/>
            <w:jc w:val="right"/>
          </w:pPr>
          <w:r>
            <w:t>Queensland Curriculum &amp; Assessment Authority</w:t>
          </w:r>
        </w:p>
        <w:sdt>
          <w:sdtPr>
            <w:alias w:val="Publication Date"/>
            <w:tag w:val="DocumentDate"/>
            <w:id w:val="-1402664508"/>
            <w:placeholder>
              <w:docPart w:val="5C6249B09DFC431CB7C8AEBDA64B1307"/>
            </w:placeholder>
            <w:dataBinding w:prefixMappings="xmlns:ns0='http://QCAA.qld.edu.au' " w:xpath="/ns0:QCAA[1]/ns0:DocumentDate[1]" w:storeItemID="{029BFAC3-A859-40E3-910E-708531540F3D}"/>
            <w:date w:fullDate="2021-10-06T00:00:00Z">
              <w:dateFormat w:val="MMMM yyyy"/>
              <w:lid w:val="en-AU"/>
              <w:storeMappedDataAs w:val="dateTime"/>
              <w:calendar w:val="gregorian"/>
            </w:date>
          </w:sdtPr>
          <w:sdtEndPr/>
          <w:sdtContent>
            <w:p w14:paraId="08E3C3EA" w14:textId="2D447A84" w:rsidR="004725E5" w:rsidRDefault="004F6087" w:rsidP="00B64090">
              <w:pPr>
                <w:pStyle w:val="Footersubtitle"/>
                <w:jc w:val="right"/>
              </w:pPr>
              <w:r>
                <w:t>October 2021</w:t>
              </w:r>
            </w:p>
          </w:sdtContent>
        </w:sdt>
      </w:tc>
    </w:tr>
    <w:tr w:rsidR="004725E5" w14:paraId="1BB28A5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3003C53D" w14:textId="77777777" w:rsidR="004725E5" w:rsidRDefault="004725E5"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452B7B">
                <w:rPr>
                  <w:noProof/>
                  <w:sz w:val="18"/>
                </w:rPr>
                <w:t>5</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452B7B">
                <w:rPr>
                  <w:b w:val="0"/>
                  <w:noProof/>
                  <w:sz w:val="18"/>
                </w:rPr>
                <w:t>5</w:t>
              </w:r>
              <w:r>
                <w:rPr>
                  <w:b w:val="0"/>
                  <w:sz w:val="18"/>
                </w:rPr>
                <w:fldChar w:fldCharType="end"/>
              </w:r>
            </w:p>
          </w:sdtContent>
        </w:sdt>
      </w:tc>
    </w:tr>
  </w:tbl>
  <w:p w14:paraId="2B728CB1" w14:textId="77777777" w:rsidR="004725E5" w:rsidRDefault="004725E5"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D0411" w14:textId="77777777" w:rsidR="006E009D" w:rsidRPr="001B4733" w:rsidRDefault="006E009D" w:rsidP="001B4733">
      <w:pPr>
        <w:rPr>
          <w:color w:val="D52B1E" w:themeColor="text2"/>
        </w:rPr>
      </w:pPr>
      <w:r w:rsidRPr="001B4733">
        <w:rPr>
          <w:color w:val="D52B1E" w:themeColor="text2"/>
        </w:rPr>
        <w:continuationSeparator/>
      </w:r>
    </w:p>
    <w:p w14:paraId="16E1D12D" w14:textId="77777777" w:rsidR="006E009D" w:rsidRPr="001B4733" w:rsidRDefault="006E009D">
      <w:pPr>
        <w:rPr>
          <w:sz w:val="4"/>
          <w:szCs w:val="4"/>
        </w:rPr>
      </w:pPr>
    </w:p>
  </w:footnote>
  <w:footnote w:type="continuationSeparator" w:id="0">
    <w:p w14:paraId="755E1B10" w14:textId="77777777" w:rsidR="006E009D" w:rsidRPr="001B4733" w:rsidRDefault="006E009D" w:rsidP="00185154">
      <w:pPr>
        <w:rPr>
          <w:color w:val="D52B1E" w:themeColor="text2"/>
        </w:rPr>
      </w:pPr>
      <w:r w:rsidRPr="001B4733">
        <w:rPr>
          <w:color w:val="D52B1E" w:themeColor="text2"/>
        </w:rPr>
        <w:continuationSeparator/>
      </w:r>
    </w:p>
    <w:p w14:paraId="36412415" w14:textId="77777777" w:rsidR="006E009D" w:rsidRPr="001B4733" w:rsidRDefault="006E009D">
      <w:pPr>
        <w:rPr>
          <w:sz w:val="4"/>
          <w:szCs w:val="4"/>
        </w:rPr>
      </w:pPr>
    </w:p>
  </w:footnote>
  <w:footnote w:type="continuationNotice" w:id="1">
    <w:p w14:paraId="5B008598" w14:textId="77777777" w:rsidR="006E009D" w:rsidRPr="001B4733" w:rsidRDefault="006E009D">
      <w:pPr>
        <w:rPr>
          <w:sz w:val="4"/>
          <w:szCs w:val="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15"/>
  </w:num>
  <w:num w:numId="2">
    <w:abstractNumId w:val="2"/>
  </w:num>
  <w:num w:numId="3">
    <w:abstractNumId w:val="0"/>
  </w:num>
  <w:num w:numId="4">
    <w:abstractNumId w:val="6"/>
  </w:num>
  <w:num w:numId="5">
    <w:abstractNumId w:val="5"/>
  </w:num>
  <w:num w:numId="6">
    <w:abstractNumId w:val="7"/>
  </w:num>
  <w:num w:numId="7">
    <w:abstractNumId w:val="1"/>
  </w:num>
  <w:num w:numId="8">
    <w:abstractNumId w:val="8"/>
  </w:num>
  <w:num w:numId="9">
    <w:abstractNumId w:val="14"/>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4"/>
  </w:num>
  <w:num w:numId="15">
    <w:abstractNumId w:val="11"/>
  </w:num>
  <w:num w:numId="16">
    <w:abstractNumId w:val="3"/>
  </w:num>
  <w:num w:numId="17">
    <w:abstractNumId w:val="0"/>
  </w:num>
  <w:num w:numId="18">
    <w:abstractNumId w:val="10"/>
  </w:num>
  <w:num w:numId="19">
    <w:abstractNumId w:val="6"/>
  </w:num>
  <w:num w:numId="20">
    <w:abstractNumId w:val="12"/>
  </w:num>
  <w:num w:numId="21">
    <w:abstractNumId w:val="5"/>
  </w:num>
  <w:num w:numId="22">
    <w:abstractNumId w:val="6"/>
  </w:num>
  <w:num w:numId="23">
    <w:abstractNumId w:val="9"/>
  </w:num>
  <w:num w:numId="24">
    <w:abstractNumId w:val="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oNotShadeFormData/>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B9"/>
    <w:rsid w:val="000048C9"/>
    <w:rsid w:val="00004CC6"/>
    <w:rsid w:val="00006100"/>
    <w:rsid w:val="00010A6B"/>
    <w:rsid w:val="000120D7"/>
    <w:rsid w:val="00025175"/>
    <w:rsid w:val="00035427"/>
    <w:rsid w:val="00041298"/>
    <w:rsid w:val="0004459E"/>
    <w:rsid w:val="00044C10"/>
    <w:rsid w:val="000463BF"/>
    <w:rsid w:val="00050F57"/>
    <w:rsid w:val="00056031"/>
    <w:rsid w:val="00062C3E"/>
    <w:rsid w:val="00062E96"/>
    <w:rsid w:val="00066432"/>
    <w:rsid w:val="000679B2"/>
    <w:rsid w:val="00071C7D"/>
    <w:rsid w:val="00076F97"/>
    <w:rsid w:val="00077F2D"/>
    <w:rsid w:val="00081007"/>
    <w:rsid w:val="0008460B"/>
    <w:rsid w:val="000870BB"/>
    <w:rsid w:val="000871A4"/>
    <w:rsid w:val="00087D93"/>
    <w:rsid w:val="00090A56"/>
    <w:rsid w:val="00094E45"/>
    <w:rsid w:val="000A658E"/>
    <w:rsid w:val="000B155D"/>
    <w:rsid w:val="000B3EBE"/>
    <w:rsid w:val="000B6FA1"/>
    <w:rsid w:val="000C008E"/>
    <w:rsid w:val="000C0C22"/>
    <w:rsid w:val="000C1CBA"/>
    <w:rsid w:val="000C1D1E"/>
    <w:rsid w:val="000C2ED4"/>
    <w:rsid w:val="000C7DA6"/>
    <w:rsid w:val="000D0A76"/>
    <w:rsid w:val="000E1250"/>
    <w:rsid w:val="000F425C"/>
    <w:rsid w:val="000F4A35"/>
    <w:rsid w:val="000F597C"/>
    <w:rsid w:val="0010405A"/>
    <w:rsid w:val="001063C6"/>
    <w:rsid w:val="001100F7"/>
    <w:rsid w:val="00111674"/>
    <w:rsid w:val="00115EC2"/>
    <w:rsid w:val="00117B97"/>
    <w:rsid w:val="001251AB"/>
    <w:rsid w:val="00130F9E"/>
    <w:rsid w:val="0013218E"/>
    <w:rsid w:val="00136F3F"/>
    <w:rsid w:val="00145CCD"/>
    <w:rsid w:val="0014766D"/>
    <w:rsid w:val="001505D8"/>
    <w:rsid w:val="00154790"/>
    <w:rsid w:val="00156423"/>
    <w:rsid w:val="001600E5"/>
    <w:rsid w:val="001605B8"/>
    <w:rsid w:val="0016205A"/>
    <w:rsid w:val="00162196"/>
    <w:rsid w:val="001829A7"/>
    <w:rsid w:val="00185154"/>
    <w:rsid w:val="0019114D"/>
    <w:rsid w:val="001912AF"/>
    <w:rsid w:val="00194EA7"/>
    <w:rsid w:val="001A5839"/>
    <w:rsid w:val="001A5EEA"/>
    <w:rsid w:val="001A6BE8"/>
    <w:rsid w:val="001B1D01"/>
    <w:rsid w:val="001B3BAE"/>
    <w:rsid w:val="001B4733"/>
    <w:rsid w:val="001C5273"/>
    <w:rsid w:val="001E33A3"/>
    <w:rsid w:val="001F16CA"/>
    <w:rsid w:val="001F2AD3"/>
    <w:rsid w:val="001F6533"/>
    <w:rsid w:val="001F6AB0"/>
    <w:rsid w:val="0020646A"/>
    <w:rsid w:val="002078C1"/>
    <w:rsid w:val="002106C4"/>
    <w:rsid w:val="00210DEF"/>
    <w:rsid w:val="00211E11"/>
    <w:rsid w:val="00220FF4"/>
    <w:rsid w:val="00222215"/>
    <w:rsid w:val="0022393A"/>
    <w:rsid w:val="002331B7"/>
    <w:rsid w:val="00244329"/>
    <w:rsid w:val="0025119D"/>
    <w:rsid w:val="00252201"/>
    <w:rsid w:val="00254DD8"/>
    <w:rsid w:val="00256A64"/>
    <w:rsid w:val="00260CF9"/>
    <w:rsid w:val="00261E1A"/>
    <w:rsid w:val="00266880"/>
    <w:rsid w:val="002745E2"/>
    <w:rsid w:val="00275ED9"/>
    <w:rsid w:val="0029216D"/>
    <w:rsid w:val="00292DD8"/>
    <w:rsid w:val="002A31C7"/>
    <w:rsid w:val="002A58E7"/>
    <w:rsid w:val="002B0522"/>
    <w:rsid w:val="002B0A2E"/>
    <w:rsid w:val="002B0BB3"/>
    <w:rsid w:val="002B1D93"/>
    <w:rsid w:val="002B4003"/>
    <w:rsid w:val="002C2B6C"/>
    <w:rsid w:val="002C5098"/>
    <w:rsid w:val="002C5B1C"/>
    <w:rsid w:val="002D3109"/>
    <w:rsid w:val="002D41AC"/>
    <w:rsid w:val="002D41CE"/>
    <w:rsid w:val="002D4254"/>
    <w:rsid w:val="002D4E6E"/>
    <w:rsid w:val="002D6427"/>
    <w:rsid w:val="002D704B"/>
    <w:rsid w:val="002D750D"/>
    <w:rsid w:val="002D7769"/>
    <w:rsid w:val="002E5482"/>
    <w:rsid w:val="002E6121"/>
    <w:rsid w:val="002F2AA4"/>
    <w:rsid w:val="002F3243"/>
    <w:rsid w:val="002F4862"/>
    <w:rsid w:val="0030133C"/>
    <w:rsid w:val="00301893"/>
    <w:rsid w:val="00306525"/>
    <w:rsid w:val="00306BB4"/>
    <w:rsid w:val="003074A2"/>
    <w:rsid w:val="00320635"/>
    <w:rsid w:val="00333DEC"/>
    <w:rsid w:val="00334A30"/>
    <w:rsid w:val="003374FB"/>
    <w:rsid w:val="003379FD"/>
    <w:rsid w:val="003411DD"/>
    <w:rsid w:val="00344A05"/>
    <w:rsid w:val="00346472"/>
    <w:rsid w:val="00352324"/>
    <w:rsid w:val="003553D9"/>
    <w:rsid w:val="003611D6"/>
    <w:rsid w:val="00367400"/>
    <w:rsid w:val="0037398C"/>
    <w:rsid w:val="0037433D"/>
    <w:rsid w:val="0037618F"/>
    <w:rsid w:val="003839A1"/>
    <w:rsid w:val="003853C1"/>
    <w:rsid w:val="00391673"/>
    <w:rsid w:val="0039510D"/>
    <w:rsid w:val="003A04C1"/>
    <w:rsid w:val="003A087E"/>
    <w:rsid w:val="003A08A5"/>
    <w:rsid w:val="003A2861"/>
    <w:rsid w:val="003B0945"/>
    <w:rsid w:val="003B097F"/>
    <w:rsid w:val="003B1166"/>
    <w:rsid w:val="003B3981"/>
    <w:rsid w:val="003B4DCF"/>
    <w:rsid w:val="003D3B71"/>
    <w:rsid w:val="003D56AF"/>
    <w:rsid w:val="003E1167"/>
    <w:rsid w:val="003E1EF3"/>
    <w:rsid w:val="003E5319"/>
    <w:rsid w:val="003F2E6E"/>
    <w:rsid w:val="00400A9D"/>
    <w:rsid w:val="00400C82"/>
    <w:rsid w:val="0040339E"/>
    <w:rsid w:val="00404615"/>
    <w:rsid w:val="00407776"/>
    <w:rsid w:val="00410047"/>
    <w:rsid w:val="00412450"/>
    <w:rsid w:val="00413C60"/>
    <w:rsid w:val="004178B4"/>
    <w:rsid w:val="00417A46"/>
    <w:rsid w:val="0042391F"/>
    <w:rsid w:val="0042690D"/>
    <w:rsid w:val="00427353"/>
    <w:rsid w:val="0043564D"/>
    <w:rsid w:val="0043628A"/>
    <w:rsid w:val="004373A0"/>
    <w:rsid w:val="0044249E"/>
    <w:rsid w:val="00444AE6"/>
    <w:rsid w:val="004478FD"/>
    <w:rsid w:val="00452B7B"/>
    <w:rsid w:val="00454DE4"/>
    <w:rsid w:val="0046435A"/>
    <w:rsid w:val="00465D0B"/>
    <w:rsid w:val="004700B3"/>
    <w:rsid w:val="004701D5"/>
    <w:rsid w:val="004709CC"/>
    <w:rsid w:val="004715A6"/>
    <w:rsid w:val="00471634"/>
    <w:rsid w:val="004725E5"/>
    <w:rsid w:val="00474EFB"/>
    <w:rsid w:val="00475EFD"/>
    <w:rsid w:val="00491C59"/>
    <w:rsid w:val="004A3891"/>
    <w:rsid w:val="004A715D"/>
    <w:rsid w:val="004B7DAE"/>
    <w:rsid w:val="004C553B"/>
    <w:rsid w:val="004C6139"/>
    <w:rsid w:val="004D25B4"/>
    <w:rsid w:val="004D7E14"/>
    <w:rsid w:val="004E4A29"/>
    <w:rsid w:val="004E6D9C"/>
    <w:rsid w:val="004E79A4"/>
    <w:rsid w:val="004F0760"/>
    <w:rsid w:val="004F2A3C"/>
    <w:rsid w:val="004F3D6F"/>
    <w:rsid w:val="004F6087"/>
    <w:rsid w:val="0050345B"/>
    <w:rsid w:val="00504F96"/>
    <w:rsid w:val="0051056D"/>
    <w:rsid w:val="00510F22"/>
    <w:rsid w:val="00514D1D"/>
    <w:rsid w:val="00526F36"/>
    <w:rsid w:val="005317FB"/>
    <w:rsid w:val="00532847"/>
    <w:rsid w:val="005331C9"/>
    <w:rsid w:val="005433E5"/>
    <w:rsid w:val="0055219D"/>
    <w:rsid w:val="0055353F"/>
    <w:rsid w:val="0055614A"/>
    <w:rsid w:val="00563598"/>
    <w:rsid w:val="0056633F"/>
    <w:rsid w:val="005666AD"/>
    <w:rsid w:val="005713E5"/>
    <w:rsid w:val="00573359"/>
    <w:rsid w:val="00586970"/>
    <w:rsid w:val="00587E1F"/>
    <w:rsid w:val="00593846"/>
    <w:rsid w:val="005968C0"/>
    <w:rsid w:val="005A2D98"/>
    <w:rsid w:val="005A435A"/>
    <w:rsid w:val="005A6033"/>
    <w:rsid w:val="005B0C40"/>
    <w:rsid w:val="005B387D"/>
    <w:rsid w:val="005C143C"/>
    <w:rsid w:val="005C380A"/>
    <w:rsid w:val="005C3A2B"/>
    <w:rsid w:val="005D44D5"/>
    <w:rsid w:val="005D620B"/>
    <w:rsid w:val="005E259B"/>
    <w:rsid w:val="005F2C80"/>
    <w:rsid w:val="005F3D12"/>
    <w:rsid w:val="006025ED"/>
    <w:rsid w:val="006048DA"/>
    <w:rsid w:val="0061089F"/>
    <w:rsid w:val="00616EC2"/>
    <w:rsid w:val="00620553"/>
    <w:rsid w:val="0062088B"/>
    <w:rsid w:val="00623151"/>
    <w:rsid w:val="006257AB"/>
    <w:rsid w:val="00632A72"/>
    <w:rsid w:val="00633235"/>
    <w:rsid w:val="00636FB7"/>
    <w:rsid w:val="00637763"/>
    <w:rsid w:val="00640B81"/>
    <w:rsid w:val="006421A2"/>
    <w:rsid w:val="0064301E"/>
    <w:rsid w:val="0064613A"/>
    <w:rsid w:val="0065325A"/>
    <w:rsid w:val="00662671"/>
    <w:rsid w:val="006653B6"/>
    <w:rsid w:val="00674316"/>
    <w:rsid w:val="00676CE9"/>
    <w:rsid w:val="00677C0E"/>
    <w:rsid w:val="00684E74"/>
    <w:rsid w:val="006904F7"/>
    <w:rsid w:val="006A1801"/>
    <w:rsid w:val="006B25CE"/>
    <w:rsid w:val="006B2B0F"/>
    <w:rsid w:val="006B4AAD"/>
    <w:rsid w:val="006B5819"/>
    <w:rsid w:val="006C23F9"/>
    <w:rsid w:val="006C7178"/>
    <w:rsid w:val="006C792A"/>
    <w:rsid w:val="006D0305"/>
    <w:rsid w:val="006D045D"/>
    <w:rsid w:val="006D11A2"/>
    <w:rsid w:val="006D22C5"/>
    <w:rsid w:val="006E009D"/>
    <w:rsid w:val="006F1092"/>
    <w:rsid w:val="006F281E"/>
    <w:rsid w:val="006F49F9"/>
    <w:rsid w:val="006F6424"/>
    <w:rsid w:val="006F7BD4"/>
    <w:rsid w:val="00706618"/>
    <w:rsid w:val="00710AD8"/>
    <w:rsid w:val="00712507"/>
    <w:rsid w:val="00720BC3"/>
    <w:rsid w:val="007240E8"/>
    <w:rsid w:val="00724495"/>
    <w:rsid w:val="007369E0"/>
    <w:rsid w:val="007375BC"/>
    <w:rsid w:val="00741647"/>
    <w:rsid w:val="00747958"/>
    <w:rsid w:val="00750F13"/>
    <w:rsid w:val="007514FC"/>
    <w:rsid w:val="00753565"/>
    <w:rsid w:val="00754B33"/>
    <w:rsid w:val="00761537"/>
    <w:rsid w:val="00762E95"/>
    <w:rsid w:val="00763461"/>
    <w:rsid w:val="007653B0"/>
    <w:rsid w:val="00767CD7"/>
    <w:rsid w:val="00770BF1"/>
    <w:rsid w:val="00774E81"/>
    <w:rsid w:val="00781CE1"/>
    <w:rsid w:val="0079789A"/>
    <w:rsid w:val="007A170C"/>
    <w:rsid w:val="007A28B9"/>
    <w:rsid w:val="007A2B94"/>
    <w:rsid w:val="007A3F26"/>
    <w:rsid w:val="007A4C10"/>
    <w:rsid w:val="007A5346"/>
    <w:rsid w:val="007A6393"/>
    <w:rsid w:val="007B2797"/>
    <w:rsid w:val="007B4482"/>
    <w:rsid w:val="007C615D"/>
    <w:rsid w:val="007D61F5"/>
    <w:rsid w:val="007D6D64"/>
    <w:rsid w:val="007D79AE"/>
    <w:rsid w:val="007F218A"/>
    <w:rsid w:val="007F5EDE"/>
    <w:rsid w:val="007F79C4"/>
    <w:rsid w:val="00803577"/>
    <w:rsid w:val="00803DA9"/>
    <w:rsid w:val="00810953"/>
    <w:rsid w:val="00812454"/>
    <w:rsid w:val="00822503"/>
    <w:rsid w:val="00823078"/>
    <w:rsid w:val="008232C7"/>
    <w:rsid w:val="00832B3D"/>
    <w:rsid w:val="00836DEB"/>
    <w:rsid w:val="00845732"/>
    <w:rsid w:val="00845B11"/>
    <w:rsid w:val="00855242"/>
    <w:rsid w:val="008572D9"/>
    <w:rsid w:val="00861E13"/>
    <w:rsid w:val="0089021A"/>
    <w:rsid w:val="00892496"/>
    <w:rsid w:val="00892778"/>
    <w:rsid w:val="0089505C"/>
    <w:rsid w:val="00895EB1"/>
    <w:rsid w:val="00896B19"/>
    <w:rsid w:val="00897665"/>
    <w:rsid w:val="008A09B9"/>
    <w:rsid w:val="008A6F22"/>
    <w:rsid w:val="008B1AB5"/>
    <w:rsid w:val="008B5D8F"/>
    <w:rsid w:val="008B7887"/>
    <w:rsid w:val="008B7BB6"/>
    <w:rsid w:val="008F0A18"/>
    <w:rsid w:val="008F377D"/>
    <w:rsid w:val="008F4E0B"/>
    <w:rsid w:val="00903B44"/>
    <w:rsid w:val="00907866"/>
    <w:rsid w:val="00907CE9"/>
    <w:rsid w:val="00915659"/>
    <w:rsid w:val="00917538"/>
    <w:rsid w:val="00936822"/>
    <w:rsid w:val="00940D8C"/>
    <w:rsid w:val="00943151"/>
    <w:rsid w:val="009449D2"/>
    <w:rsid w:val="00944F14"/>
    <w:rsid w:val="009453E1"/>
    <w:rsid w:val="009468D8"/>
    <w:rsid w:val="009571D7"/>
    <w:rsid w:val="00957FAB"/>
    <w:rsid w:val="0096050F"/>
    <w:rsid w:val="0096253C"/>
    <w:rsid w:val="00965EC9"/>
    <w:rsid w:val="00966659"/>
    <w:rsid w:val="00974028"/>
    <w:rsid w:val="00987350"/>
    <w:rsid w:val="009A199C"/>
    <w:rsid w:val="009A20E1"/>
    <w:rsid w:val="009A5E55"/>
    <w:rsid w:val="009A63ED"/>
    <w:rsid w:val="009A7C4D"/>
    <w:rsid w:val="009B7B63"/>
    <w:rsid w:val="009B7C52"/>
    <w:rsid w:val="009C7DB2"/>
    <w:rsid w:val="009D23F7"/>
    <w:rsid w:val="009D30E3"/>
    <w:rsid w:val="009D670A"/>
    <w:rsid w:val="009E48AE"/>
    <w:rsid w:val="009E7F8B"/>
    <w:rsid w:val="009F1794"/>
    <w:rsid w:val="009F6529"/>
    <w:rsid w:val="009F6CE7"/>
    <w:rsid w:val="00A000B9"/>
    <w:rsid w:val="00A07960"/>
    <w:rsid w:val="00A10005"/>
    <w:rsid w:val="00A27F13"/>
    <w:rsid w:val="00A32E8B"/>
    <w:rsid w:val="00A35615"/>
    <w:rsid w:val="00A35710"/>
    <w:rsid w:val="00A36C12"/>
    <w:rsid w:val="00A37108"/>
    <w:rsid w:val="00A400FC"/>
    <w:rsid w:val="00A41250"/>
    <w:rsid w:val="00A41D4E"/>
    <w:rsid w:val="00A510A2"/>
    <w:rsid w:val="00A52A8F"/>
    <w:rsid w:val="00A55155"/>
    <w:rsid w:val="00A62E21"/>
    <w:rsid w:val="00A640FF"/>
    <w:rsid w:val="00A824C8"/>
    <w:rsid w:val="00A83349"/>
    <w:rsid w:val="00A83B38"/>
    <w:rsid w:val="00AA4E2D"/>
    <w:rsid w:val="00AA6010"/>
    <w:rsid w:val="00AB32A6"/>
    <w:rsid w:val="00AB33F6"/>
    <w:rsid w:val="00AB48D1"/>
    <w:rsid w:val="00AB580C"/>
    <w:rsid w:val="00AB5BEA"/>
    <w:rsid w:val="00AB7E56"/>
    <w:rsid w:val="00AD173F"/>
    <w:rsid w:val="00AD67F6"/>
    <w:rsid w:val="00AD6EC2"/>
    <w:rsid w:val="00AD6F73"/>
    <w:rsid w:val="00AD7576"/>
    <w:rsid w:val="00AE4C26"/>
    <w:rsid w:val="00AF2204"/>
    <w:rsid w:val="00AF6C1C"/>
    <w:rsid w:val="00AF6C56"/>
    <w:rsid w:val="00B0055B"/>
    <w:rsid w:val="00B012F3"/>
    <w:rsid w:val="00B0143C"/>
    <w:rsid w:val="00B0727F"/>
    <w:rsid w:val="00B1273F"/>
    <w:rsid w:val="00B14863"/>
    <w:rsid w:val="00B26BD8"/>
    <w:rsid w:val="00B30151"/>
    <w:rsid w:val="00B30ECC"/>
    <w:rsid w:val="00B37A72"/>
    <w:rsid w:val="00B53493"/>
    <w:rsid w:val="00B55D18"/>
    <w:rsid w:val="00B56CC8"/>
    <w:rsid w:val="00B6176B"/>
    <w:rsid w:val="00B64090"/>
    <w:rsid w:val="00B65281"/>
    <w:rsid w:val="00B65924"/>
    <w:rsid w:val="00B668FB"/>
    <w:rsid w:val="00B76B8E"/>
    <w:rsid w:val="00B80FB7"/>
    <w:rsid w:val="00B819DD"/>
    <w:rsid w:val="00B8524C"/>
    <w:rsid w:val="00BA0A0D"/>
    <w:rsid w:val="00BA2ED4"/>
    <w:rsid w:val="00BA45AE"/>
    <w:rsid w:val="00BA4766"/>
    <w:rsid w:val="00BA4F4A"/>
    <w:rsid w:val="00BA6490"/>
    <w:rsid w:val="00BA66AD"/>
    <w:rsid w:val="00BB3EE1"/>
    <w:rsid w:val="00BC2DD3"/>
    <w:rsid w:val="00BC5DF3"/>
    <w:rsid w:val="00BC67B1"/>
    <w:rsid w:val="00BD52CF"/>
    <w:rsid w:val="00BD7CF3"/>
    <w:rsid w:val="00BE16D4"/>
    <w:rsid w:val="00BE1C78"/>
    <w:rsid w:val="00BE44C2"/>
    <w:rsid w:val="00BF20BD"/>
    <w:rsid w:val="00BF2C53"/>
    <w:rsid w:val="00BF44E8"/>
    <w:rsid w:val="00C000C3"/>
    <w:rsid w:val="00C019A4"/>
    <w:rsid w:val="00C02E60"/>
    <w:rsid w:val="00C10095"/>
    <w:rsid w:val="00C1680B"/>
    <w:rsid w:val="00C240FD"/>
    <w:rsid w:val="00C24374"/>
    <w:rsid w:val="00C27DD7"/>
    <w:rsid w:val="00C302EF"/>
    <w:rsid w:val="00C33E9F"/>
    <w:rsid w:val="00C361FF"/>
    <w:rsid w:val="00C36A7E"/>
    <w:rsid w:val="00C428D9"/>
    <w:rsid w:val="00C4641B"/>
    <w:rsid w:val="00C53907"/>
    <w:rsid w:val="00C6199A"/>
    <w:rsid w:val="00C62C70"/>
    <w:rsid w:val="00C62F48"/>
    <w:rsid w:val="00C63DD3"/>
    <w:rsid w:val="00C65BF0"/>
    <w:rsid w:val="00C71670"/>
    <w:rsid w:val="00C74C53"/>
    <w:rsid w:val="00C755AC"/>
    <w:rsid w:val="00C941F0"/>
    <w:rsid w:val="00C97431"/>
    <w:rsid w:val="00C9759C"/>
    <w:rsid w:val="00CA0E55"/>
    <w:rsid w:val="00CA3CD8"/>
    <w:rsid w:val="00CA78E8"/>
    <w:rsid w:val="00CB5A23"/>
    <w:rsid w:val="00CC48B6"/>
    <w:rsid w:val="00CC764A"/>
    <w:rsid w:val="00CD5119"/>
    <w:rsid w:val="00CD764F"/>
    <w:rsid w:val="00CE0E66"/>
    <w:rsid w:val="00CE3455"/>
    <w:rsid w:val="00CF2D27"/>
    <w:rsid w:val="00D00835"/>
    <w:rsid w:val="00D03E01"/>
    <w:rsid w:val="00D17000"/>
    <w:rsid w:val="00D241D3"/>
    <w:rsid w:val="00D253E1"/>
    <w:rsid w:val="00D27FA8"/>
    <w:rsid w:val="00D32946"/>
    <w:rsid w:val="00D365D3"/>
    <w:rsid w:val="00D42F7B"/>
    <w:rsid w:val="00D4440E"/>
    <w:rsid w:val="00D46A5D"/>
    <w:rsid w:val="00D47B5C"/>
    <w:rsid w:val="00D55089"/>
    <w:rsid w:val="00D63051"/>
    <w:rsid w:val="00D64605"/>
    <w:rsid w:val="00D65286"/>
    <w:rsid w:val="00D65684"/>
    <w:rsid w:val="00D6586F"/>
    <w:rsid w:val="00D672AA"/>
    <w:rsid w:val="00D7202D"/>
    <w:rsid w:val="00D7277A"/>
    <w:rsid w:val="00D75157"/>
    <w:rsid w:val="00D76906"/>
    <w:rsid w:val="00D83394"/>
    <w:rsid w:val="00D94430"/>
    <w:rsid w:val="00D94E4F"/>
    <w:rsid w:val="00D96A2F"/>
    <w:rsid w:val="00DA132F"/>
    <w:rsid w:val="00DA76FA"/>
    <w:rsid w:val="00DB1F13"/>
    <w:rsid w:val="00DB2B49"/>
    <w:rsid w:val="00DB50C7"/>
    <w:rsid w:val="00DB6943"/>
    <w:rsid w:val="00DB7279"/>
    <w:rsid w:val="00DB73F4"/>
    <w:rsid w:val="00DC28FE"/>
    <w:rsid w:val="00DC290C"/>
    <w:rsid w:val="00DC33B4"/>
    <w:rsid w:val="00DC4162"/>
    <w:rsid w:val="00DC5165"/>
    <w:rsid w:val="00DD0620"/>
    <w:rsid w:val="00DD10FD"/>
    <w:rsid w:val="00DD2003"/>
    <w:rsid w:val="00DD4656"/>
    <w:rsid w:val="00DD64E1"/>
    <w:rsid w:val="00DD72AF"/>
    <w:rsid w:val="00DE0861"/>
    <w:rsid w:val="00DE1B02"/>
    <w:rsid w:val="00DE7B34"/>
    <w:rsid w:val="00DF01DF"/>
    <w:rsid w:val="00DF0684"/>
    <w:rsid w:val="00E018FB"/>
    <w:rsid w:val="00E07C5F"/>
    <w:rsid w:val="00E13547"/>
    <w:rsid w:val="00E135C8"/>
    <w:rsid w:val="00E15D6B"/>
    <w:rsid w:val="00E21DC0"/>
    <w:rsid w:val="00E3453C"/>
    <w:rsid w:val="00E347CE"/>
    <w:rsid w:val="00E35419"/>
    <w:rsid w:val="00E35834"/>
    <w:rsid w:val="00E36F71"/>
    <w:rsid w:val="00E4035B"/>
    <w:rsid w:val="00E456C3"/>
    <w:rsid w:val="00E53767"/>
    <w:rsid w:val="00E560A9"/>
    <w:rsid w:val="00E634BA"/>
    <w:rsid w:val="00E65ABE"/>
    <w:rsid w:val="00E66951"/>
    <w:rsid w:val="00E6730E"/>
    <w:rsid w:val="00E6763B"/>
    <w:rsid w:val="00E70DFB"/>
    <w:rsid w:val="00E74D81"/>
    <w:rsid w:val="00E93E1D"/>
    <w:rsid w:val="00EB1E09"/>
    <w:rsid w:val="00EB58BD"/>
    <w:rsid w:val="00EB752E"/>
    <w:rsid w:val="00EC0FFC"/>
    <w:rsid w:val="00EC27BB"/>
    <w:rsid w:val="00EC2EF5"/>
    <w:rsid w:val="00EC4EB8"/>
    <w:rsid w:val="00EC7184"/>
    <w:rsid w:val="00ED2E33"/>
    <w:rsid w:val="00ED3024"/>
    <w:rsid w:val="00ED6217"/>
    <w:rsid w:val="00ED71B6"/>
    <w:rsid w:val="00EE5474"/>
    <w:rsid w:val="00EF0E10"/>
    <w:rsid w:val="00EF2076"/>
    <w:rsid w:val="00EF2AFB"/>
    <w:rsid w:val="00F02142"/>
    <w:rsid w:val="00F02919"/>
    <w:rsid w:val="00F23C51"/>
    <w:rsid w:val="00F27D95"/>
    <w:rsid w:val="00F309BD"/>
    <w:rsid w:val="00F33D5C"/>
    <w:rsid w:val="00F3402F"/>
    <w:rsid w:val="00F431FB"/>
    <w:rsid w:val="00F461A3"/>
    <w:rsid w:val="00F51DDF"/>
    <w:rsid w:val="00F53ACB"/>
    <w:rsid w:val="00F54A61"/>
    <w:rsid w:val="00F55AEB"/>
    <w:rsid w:val="00F57FDC"/>
    <w:rsid w:val="00F60E46"/>
    <w:rsid w:val="00F617E6"/>
    <w:rsid w:val="00F6184E"/>
    <w:rsid w:val="00F728F2"/>
    <w:rsid w:val="00F7444F"/>
    <w:rsid w:val="00F8007E"/>
    <w:rsid w:val="00F81C8A"/>
    <w:rsid w:val="00F84805"/>
    <w:rsid w:val="00F97CAC"/>
    <w:rsid w:val="00FA09B2"/>
    <w:rsid w:val="00FA21B5"/>
    <w:rsid w:val="00FA2B02"/>
    <w:rsid w:val="00FA32C4"/>
    <w:rsid w:val="00FA5661"/>
    <w:rsid w:val="00FB1115"/>
    <w:rsid w:val="00FB18F6"/>
    <w:rsid w:val="00FB2C51"/>
    <w:rsid w:val="00FB401E"/>
    <w:rsid w:val="00FB4AE4"/>
    <w:rsid w:val="00FC29D6"/>
    <w:rsid w:val="00FD7BFF"/>
    <w:rsid w:val="00FE7A02"/>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4FBC056"/>
  <w15:docId w15:val="{A6F86015-FBAD-4CB2-931F-BA220EC4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E1B02"/>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spacing w:line="252" w:lineRule="auto"/>
      <w:ind w:left="170" w:hanging="170"/>
    </w:pPr>
    <w:rPr>
      <w:szCs w:val="24"/>
    </w:rPr>
  </w:style>
  <w:style w:type="paragraph" w:customStyle="1" w:styleId="TableNumber">
    <w:name w:val="Table Number"/>
    <w:basedOn w:val="Tabletext"/>
    <w:uiPriority w:val="15"/>
    <w:qFormat/>
    <w:rsid w:val="00F97CAC"/>
    <w:pPr>
      <w:numPr>
        <w:numId w:val="23"/>
      </w:numPr>
      <w:tabs>
        <w:tab w:val="left" w:pos="227"/>
      </w:tabs>
      <w:spacing w:line="252" w:lineRule="auto"/>
    </w:pPr>
  </w:style>
  <w:style w:type="character" w:customStyle="1" w:styleId="Heading5Char">
    <w:name w:val="Heading 5 Char"/>
    <w:basedOn w:val="DefaultParagraphFont"/>
    <w:link w:val="Heading5"/>
    <w:uiPriority w:val="3"/>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3"/>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3"/>
    <w:rsid w:val="00DE1B02"/>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3"/>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E0E66"/>
    <w:rPr>
      <w:rFonts w:ascii="Arial" w:eastAsia="Times New Roman" w:hAnsi="Arial" w:cs="Times New Roman"/>
      <w:sz w:val="19"/>
      <w:szCs w:val="21"/>
      <w:lang w:eastAsia="en-AU"/>
      <w14:numForm w14:val="lining"/>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table" w:customStyle="1" w:styleId="QCAAtablestyle11">
    <w:name w:val="QCAA table style 11"/>
    <w:basedOn w:val="TableNormal"/>
    <w:rsid w:val="006904F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character" w:styleId="CommentReference">
    <w:name w:val="annotation reference"/>
    <w:basedOn w:val="DefaultParagraphFont"/>
    <w:uiPriority w:val="99"/>
    <w:semiHidden/>
    <w:rsid w:val="002F3243"/>
    <w:rPr>
      <w:sz w:val="16"/>
      <w:szCs w:val="16"/>
    </w:rPr>
  </w:style>
  <w:style w:type="paragraph" w:styleId="CommentText">
    <w:name w:val="annotation text"/>
    <w:basedOn w:val="Normal"/>
    <w:link w:val="CommentTextChar"/>
    <w:uiPriority w:val="99"/>
    <w:semiHidden/>
    <w:rsid w:val="002F3243"/>
    <w:rPr>
      <w:sz w:val="20"/>
      <w:szCs w:val="20"/>
    </w:rPr>
  </w:style>
  <w:style w:type="character" w:customStyle="1" w:styleId="CommentTextChar">
    <w:name w:val="Comment Text Char"/>
    <w:basedOn w:val="DefaultParagraphFont"/>
    <w:link w:val="CommentText"/>
    <w:uiPriority w:val="99"/>
    <w:semiHidden/>
    <w:rsid w:val="002F3243"/>
    <w:rPr>
      <w:sz w:val="20"/>
      <w:szCs w:val="20"/>
    </w:rPr>
  </w:style>
  <w:style w:type="paragraph" w:styleId="CommentSubject">
    <w:name w:val="annotation subject"/>
    <w:basedOn w:val="CommentText"/>
    <w:next w:val="CommentText"/>
    <w:link w:val="CommentSubjectChar"/>
    <w:uiPriority w:val="99"/>
    <w:semiHidden/>
    <w:rsid w:val="002F3243"/>
    <w:rPr>
      <w:b/>
      <w:bCs/>
    </w:rPr>
  </w:style>
  <w:style w:type="character" w:customStyle="1" w:styleId="CommentSubjectChar">
    <w:name w:val="Comment Subject Char"/>
    <w:basedOn w:val="CommentTextChar"/>
    <w:link w:val="CommentSubject"/>
    <w:uiPriority w:val="99"/>
    <w:semiHidden/>
    <w:rsid w:val="002F3243"/>
    <w:rPr>
      <w:b/>
      <w:bCs/>
      <w:sz w:val="20"/>
      <w:szCs w:val="20"/>
    </w:rPr>
  </w:style>
  <w:style w:type="paragraph" w:customStyle="1" w:styleId="TableParagraph">
    <w:name w:val="Table Paragraph"/>
    <w:basedOn w:val="Normal"/>
    <w:uiPriority w:val="1"/>
    <w:qFormat/>
    <w:rsid w:val="008A09B9"/>
    <w:pPr>
      <w:widowControl w:val="0"/>
      <w:autoSpaceDE w:val="0"/>
      <w:autoSpaceDN w:val="0"/>
      <w:spacing w:before="24"/>
      <w:ind w:left="450"/>
    </w:pPr>
    <w:rPr>
      <w:rFonts w:ascii="Arial" w:eastAsia="Arial" w:hAnsi="Arial" w:cs="Arial"/>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395667057">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55306907">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1965934">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martcopying.edu.au/guidelines/copyright-basics/indigenous-cultural-and-intellectual-property-right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www.australiancurriculum.edu.au/copyright-and-terms-of-us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o\Downloads\ac_year_plan_template7_1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5BDC364F3242E0ABE358C33AE26FE7"/>
        <w:category>
          <w:name w:val="General"/>
          <w:gallery w:val="placeholder"/>
        </w:category>
        <w:types>
          <w:type w:val="bbPlcHdr"/>
        </w:types>
        <w:behaviors>
          <w:behavior w:val="content"/>
        </w:behaviors>
        <w:guid w:val="{2C763F2C-6FA9-4637-A1CA-2AB7280FD16C}"/>
      </w:docPartPr>
      <w:docPartBody>
        <w:p w:rsidR="00791683" w:rsidRDefault="00D97A24">
          <w:pPr>
            <w:pStyle w:val="395BDC364F3242E0ABE358C33AE26FE7"/>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5CD863FE92284350A54864C5ADCFF2C5"/>
        <w:category>
          <w:name w:val="General"/>
          <w:gallery w:val="placeholder"/>
        </w:category>
        <w:types>
          <w:type w:val="bbPlcHdr"/>
        </w:types>
        <w:behaviors>
          <w:behavior w:val="content"/>
        </w:behaviors>
        <w:guid w:val="{0DB3572D-E773-425B-9F07-8E493DFB7E0E}"/>
      </w:docPartPr>
      <w:docPartBody>
        <w:p w:rsidR="00791683" w:rsidRDefault="00D97A24">
          <w:pPr>
            <w:pStyle w:val="5CD863FE92284350A54864C5ADCFF2C5"/>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45CC00D753AE49B7B1280871547FFB76"/>
        <w:category>
          <w:name w:val="General"/>
          <w:gallery w:val="placeholder"/>
        </w:category>
        <w:types>
          <w:type w:val="bbPlcHdr"/>
        </w:types>
        <w:behaviors>
          <w:behavior w:val="content"/>
        </w:behaviors>
        <w:guid w:val="{AC1EC2D5-31A7-4333-BE5E-71B480F1CAF6}"/>
      </w:docPartPr>
      <w:docPartBody>
        <w:p w:rsidR="00791683" w:rsidRDefault="00D97A24">
          <w:pPr>
            <w:pStyle w:val="45CC00D753AE49B7B1280871547FFB76"/>
          </w:pPr>
          <w:r w:rsidRPr="00D94E4F">
            <w:rPr>
              <w:shd w:val="clear" w:color="auto" w:fill="F7EA9F"/>
            </w:rPr>
            <w:t>[Year]</w:t>
          </w:r>
        </w:p>
      </w:docPartBody>
    </w:docPart>
    <w:docPart>
      <w:docPartPr>
        <w:name w:val="F4231A7DA63D4307BB4FF79A19098FC7"/>
        <w:category>
          <w:name w:val="General"/>
          <w:gallery w:val="placeholder"/>
        </w:category>
        <w:types>
          <w:type w:val="bbPlcHdr"/>
        </w:types>
        <w:behaviors>
          <w:behavior w:val="content"/>
        </w:behaviors>
        <w:guid w:val="{98276A15-41A1-4AB0-8BCD-411A01F7C17B}"/>
      </w:docPartPr>
      <w:docPartBody>
        <w:p w:rsidR="00791683" w:rsidRDefault="00D97A24">
          <w:pPr>
            <w:pStyle w:val="F4231A7DA63D4307BB4FF79A19098FC7"/>
          </w:pPr>
          <w:r w:rsidRPr="0014766D">
            <w:rPr>
              <w:b/>
              <w:bCs/>
              <w:shd w:val="clear" w:color="auto" w:fill="70AD47" w:themeFill="accent6"/>
            </w:rPr>
            <w:t>[Year level/band curriculum and assessment plan]</w:t>
          </w:r>
        </w:p>
      </w:docPartBody>
    </w:docPart>
    <w:docPart>
      <w:docPartPr>
        <w:name w:val="4C2ACF73022B44B492739E5014CD4C1E"/>
        <w:category>
          <w:name w:val="General"/>
          <w:gallery w:val="placeholder"/>
        </w:category>
        <w:types>
          <w:type w:val="bbPlcHdr"/>
        </w:types>
        <w:behaviors>
          <w:behavior w:val="content"/>
        </w:behaviors>
        <w:guid w:val="{BB2B5433-C190-403F-A69E-C964A3755CD1}"/>
      </w:docPartPr>
      <w:docPartBody>
        <w:p w:rsidR="00791683" w:rsidRDefault="00D97A24">
          <w:pPr>
            <w:pStyle w:val="4C2ACF73022B44B492739E5014CD4C1E"/>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B682F7778BAF47DAAB1D9A654FD47BD0"/>
        <w:category>
          <w:name w:val="General"/>
          <w:gallery w:val="placeholder"/>
        </w:category>
        <w:types>
          <w:type w:val="bbPlcHdr"/>
        </w:types>
        <w:behaviors>
          <w:behavior w:val="content"/>
        </w:behaviors>
        <w:guid w:val="{EC36037C-E3E9-46CA-AF6E-FD8B39F9E98E}"/>
      </w:docPartPr>
      <w:docPartBody>
        <w:p w:rsidR="00791683" w:rsidRDefault="00D97A24">
          <w:pPr>
            <w:pStyle w:val="B682F7778BAF47DAAB1D9A654FD47BD0"/>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5C6249B09DFC431CB7C8AEBDA64B1307"/>
        <w:category>
          <w:name w:val="General"/>
          <w:gallery w:val="placeholder"/>
        </w:category>
        <w:types>
          <w:type w:val="bbPlcHdr"/>
        </w:types>
        <w:behaviors>
          <w:behavior w:val="content"/>
        </w:behaviors>
        <w:guid w:val="{AFDB87DE-EB23-4647-9AEA-D6EC8BA9B007}"/>
      </w:docPartPr>
      <w:docPartBody>
        <w:p w:rsidR="00791683" w:rsidRDefault="00D97A24">
          <w:pPr>
            <w:pStyle w:val="5C6249B09DFC431CB7C8AEBDA64B1307"/>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24"/>
    <w:rsid w:val="00052F72"/>
    <w:rsid w:val="00163A44"/>
    <w:rsid w:val="0019749F"/>
    <w:rsid w:val="00506E92"/>
    <w:rsid w:val="00791683"/>
    <w:rsid w:val="009D2841"/>
    <w:rsid w:val="00AD44C4"/>
    <w:rsid w:val="00B165E4"/>
    <w:rsid w:val="00BE7D93"/>
    <w:rsid w:val="00D97A24"/>
    <w:rsid w:val="00E761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5BDC364F3242E0ABE358C33AE26FE7">
    <w:name w:val="395BDC364F3242E0ABE358C33AE26FE7"/>
  </w:style>
  <w:style w:type="paragraph" w:customStyle="1" w:styleId="5CD863FE92284350A54864C5ADCFF2C5">
    <w:name w:val="5CD863FE92284350A54864C5ADCFF2C5"/>
  </w:style>
  <w:style w:type="paragraph" w:customStyle="1" w:styleId="45CC00D753AE49B7B1280871547FFB76">
    <w:name w:val="45CC00D753AE49B7B1280871547FFB76"/>
  </w:style>
  <w:style w:type="paragraph" w:customStyle="1" w:styleId="F4231A7DA63D4307BB4FF79A19098FC7">
    <w:name w:val="F4231A7DA63D4307BB4FF79A19098FC7"/>
  </w:style>
  <w:style w:type="paragraph" w:customStyle="1" w:styleId="4C2ACF73022B44B492739E5014CD4C1E">
    <w:name w:val="4C2ACF73022B44B492739E5014CD4C1E"/>
  </w:style>
  <w:style w:type="paragraph" w:customStyle="1" w:styleId="B682F7778BAF47DAAB1D9A654FD47BD0">
    <w:name w:val="B682F7778BAF47DAAB1D9A654FD47BD0"/>
  </w:style>
  <w:style w:type="paragraph" w:customStyle="1" w:styleId="5C6249B09DFC431CB7C8AEBDA64B1307">
    <w:name w:val="5C6249B09DFC431CB7C8AEBDA64B13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QCAA_365">
  <a:themeElements>
    <a:clrScheme name="QCAA_grey switch test">
      <a:dk1>
        <a:sysClr val="windowText" lastClr="000000"/>
      </a:dk1>
      <a:lt1>
        <a:srgbClr val="FFFFFF"/>
      </a:lt1>
      <a:dk2>
        <a:srgbClr val="D52B1E"/>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QCAA xmlns="http://QCAA.qld.edu.au">
  <DocumentDate>2021-10-06T00:00:00</DocumentDate>
  <DocumentTitle>Year 10 Geography curriculum and assessment plan</DocumentTitle>
  <DocumentSubtitle/>
  <DocumentJobNumber/>
  <DocumentField1/>
  <DocumentField2/>
  <DocumentField3/>
  <DocumentField4/>
</QCA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QCAA xmlns="http://QCAA.qld.edu.au">
  <DocumentDate/>
  <DocumentTitle/>
  <DocumentSubtitle>Example</DocumentSubtitle>
  <DocumentJobNumber/>
  <DocumentField1/>
  <DocumentField2/>
  <DocumentField3/>
  <DocumentField4/>
  <DocumentField5/>
  <DocumentField6/>
  <DocumentField7/>
  <DocumentField8/>
</QCAA>
</file>

<file path=customXml/item6.xml><?xml version="1.0" encoding="utf-8"?>
<ct:contentTypeSchema xmlns:ct="http://schemas.microsoft.com/office/2006/metadata/contentType" xmlns:ma="http://schemas.microsoft.com/office/2006/metadata/properties/metaAttributes" ct:_="" ma:_="" ma:contentTypeName="Document" ma:contentTypeID="0x010100F164BD23FC6995448D1963A29F805492" ma:contentTypeVersion="14" ma:contentTypeDescription="Create a new document." ma:contentTypeScope="" ma:versionID="8b3f52e5080350f53341d0a8a224112d">
  <xsd:schema xmlns:xsd="http://www.w3.org/2001/XMLSchema" xmlns:xs="http://www.w3.org/2001/XMLSchema" xmlns:p="http://schemas.microsoft.com/office/2006/metadata/properties" xmlns:ns3="055533fa-b5e8-425d-8d7d-f59eb2d36ac3" xmlns:ns4="bf61f997-1e57-4596-b2d5-93b458c9b75d" targetNamespace="http://schemas.microsoft.com/office/2006/metadata/properties" ma:root="true" ma:fieldsID="87134e0d3422d7bf8f291a1f8d9bf715" ns3:_="" ns4:_="">
    <xsd:import namespace="055533fa-b5e8-425d-8d7d-f59eb2d36ac3"/>
    <xsd:import namespace="bf61f997-1e57-4596-b2d5-93b458c9b7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533fa-b5e8-425d-8d7d-f59eb2d36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61f997-1e57-4596-b2d5-93b458c9b7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3C594-9258-4474-8CCE-857DA73D2289}">
  <ds:schemaRefs>
    <ds:schemaRef ds:uri="http://schemas.openxmlformats.org/officeDocument/2006/bibliography"/>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456E7614-6B9B-4E12-8972-42C8DCF4C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533fa-b5e8-425d-8d7d-f59eb2d36ac3"/>
    <ds:schemaRef ds:uri="bf61f997-1e57-4596-b2d5-93b458c9b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ac_year_plan_template7_10 (2).dotx</Template>
  <TotalTime>4</TotalTime>
  <Pages>4</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Year 10 Geography curriculum and assessment plan</vt:lpstr>
    </vt:vector>
  </TitlesOfParts>
  <Company>Queensland Curriculum and Assessment Authority</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Geography curriculum and assessment plan</dc:title>
  <dc:creator>Queensland Curriculum and Assessment Authority</dc:creator>
  <dc:description>Creative Commons Attribution 4.0 International Licence https://creativecommons.org/licenses/by/4.0/legalcode Please give attribution to:  State of Queensland (QCAA)  2021</dc:description>
  <cp:lastModifiedBy>Clare Murphy</cp:lastModifiedBy>
  <cp:revision>3</cp:revision>
  <cp:lastPrinted>2020-12-15T06:23:00Z</cp:lastPrinted>
  <dcterms:created xsi:type="dcterms:W3CDTF">2021-09-19T22:15:00Z</dcterms:created>
  <dcterms:modified xsi:type="dcterms:W3CDTF">2021-10-05T23:21:00Z</dcterms:modified>
  <cp:category>210135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0x010100F164BD23FC6995448D1963A29F805492</vt:lpwstr>
  </property>
</Properties>
</file>