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X="1136" w:tblpY="285"/>
        <w:tblOverlap w:val="never"/>
        <w:tblW w:w="11340" w:type="dxa"/>
        <w:tblBorders>
          <w:bottom w:val="single" w:sz="12" w:space="0" w:color="auto"/>
          <w:insideH w:val="single" w:sz="12" w:space="0" w:color="auto"/>
          <w:insideV w:val="single" w:sz="12" w:space="0" w:color="00948D" w:themeColor="accent1"/>
        </w:tblBorders>
        <w:tblCellMar>
          <w:top w:w="567" w:type="dxa"/>
          <w:left w:w="567" w:type="dxa"/>
          <w:bottom w:w="567" w:type="dxa"/>
          <w:right w:w="567" w:type="dxa"/>
        </w:tblCellMar>
        <w:tblLook w:val="0600" w:firstRow="0" w:lastRow="0" w:firstColumn="0" w:lastColumn="0" w:noHBand="1" w:noVBand="1"/>
      </w:tblPr>
      <w:tblGrid>
        <w:gridCol w:w="11340"/>
      </w:tblGrid>
      <w:tr w:rsidR="00026433" w:rsidRPr="00BB49C5" w:rsidTr="00026433">
        <w:trPr>
          <w:trHeight w:hRule="exact" w:val="5669"/>
        </w:trPr>
        <w:tc>
          <w:tcPr>
            <w:tcW w:w="11340" w:type="dxa"/>
            <w:shd w:val="clear" w:color="auto" w:fill="auto"/>
            <w:tcMar>
              <w:top w:w="0" w:type="dxa"/>
              <w:left w:w="851" w:type="dxa"/>
              <w:bottom w:w="851" w:type="dxa"/>
              <w:right w:w="0" w:type="dxa"/>
            </w:tcMar>
            <w:vAlign w:val="bottom"/>
          </w:tcPr>
          <w:bookmarkStart w:id="0" w:name="_Toc234219367"/>
          <w:bookmarkStart w:id="1" w:name="_GoBack"/>
          <w:bookmarkEnd w:id="1"/>
          <w:permStart w:id="507326781" w:edGrp="everyone"/>
          <w:permEnd w:id="507326781"/>
          <w:p w:rsidR="00026433" w:rsidRDefault="00297BD5" w:rsidP="00EB60A6">
            <w:pPr>
              <w:pStyle w:val="Title"/>
              <w:outlineLvl w:val="0"/>
            </w:pPr>
            <w:sdt>
              <w:sdtPr>
                <w:alias w:val="Title"/>
                <w:tag w:val="Title"/>
                <w:id w:val="225267080"/>
                <w:placeholder>
                  <w:docPart w:val="E27C21F7E7334138BA55CBF0639FBD01"/>
                </w:placeholder>
                <w:dataBinding w:prefixMappings="xmlns:ns0='http://purl.org/dc/elements/1.1/' xmlns:ns1='http://schemas.openxmlformats.org/package/2006/metadata/core-properties' " w:xpath="/ns1:coreProperties[1]/ns0:title[1]" w:storeItemID="{6C3C8BC8-F283-45AE-878A-BAB7291924A1}"/>
                <w:text/>
              </w:sdtPr>
              <w:sdtEndPr/>
              <w:sdtContent>
                <w:r w:rsidR="003C43CF">
                  <w:t>Annual report 2013–14</w:t>
                </w:r>
              </w:sdtContent>
            </w:sdt>
          </w:p>
          <w:sdt>
            <w:sdtPr>
              <w:alias w:val="Subtitle"/>
              <w:tag w:val="Subtitle"/>
              <w:id w:val="1545102368"/>
              <w:placeholder>
                <w:docPart w:val="5D8613A0827A42339D70B59561BED5B5"/>
              </w:placeholder>
              <w:dataBinding w:prefixMappings="xmlns:ns0='http://purl.org/dc/elements/1.1/' xmlns:ns1='http://schemas.openxmlformats.org/package/2006/metadata/core-properties' " w:xpath="/ns1:coreProperties[1]/ns0:subject[1]" w:storeItemID="{6C3C8BC8-F283-45AE-878A-BAB7291924A1}"/>
              <w:text/>
            </w:sdtPr>
            <w:sdtEndPr/>
            <w:sdtContent>
              <w:p w:rsidR="00026433" w:rsidRPr="008714CB" w:rsidRDefault="003C43CF" w:rsidP="00026433">
                <w:pPr>
                  <w:pStyle w:val="Subtitle"/>
                </w:pPr>
                <w:r>
                  <w:t>Final report for the Queensland Studies Authority</w:t>
                </w:r>
              </w:p>
            </w:sdtContent>
          </w:sdt>
        </w:tc>
      </w:tr>
      <w:tr w:rsidR="00026433" w:rsidRPr="009719F9" w:rsidTr="00026433">
        <w:trPr>
          <w:trHeight w:hRule="exact" w:val="6520"/>
        </w:trPr>
        <w:tc>
          <w:tcPr>
            <w:tcW w:w="11340" w:type="dxa"/>
            <w:shd w:val="clear" w:color="auto" w:fill="auto"/>
            <w:tcMar>
              <w:top w:w="851" w:type="dxa"/>
              <w:left w:w="851" w:type="dxa"/>
              <w:bottom w:w="0" w:type="dxa"/>
              <w:right w:w="0" w:type="dxa"/>
            </w:tcMar>
          </w:tcPr>
          <w:p w:rsidR="00026433" w:rsidRPr="0072581A" w:rsidRDefault="00026433" w:rsidP="00026433">
            <w:pPr>
              <w:pStyle w:val="Date"/>
            </w:pPr>
          </w:p>
        </w:tc>
      </w:tr>
    </w:tbl>
    <w:p w:rsidR="00026433" w:rsidRDefault="00026433" w:rsidP="00026433">
      <w:pPr>
        <w:pStyle w:val="BodyText"/>
      </w:pPr>
    </w:p>
    <w:p w:rsidR="00026433" w:rsidRDefault="00026433" w:rsidP="00026433">
      <w:pPr>
        <w:pStyle w:val="BodyText"/>
        <w:sectPr w:rsidR="00026433" w:rsidSect="003B1306">
          <w:footerReference w:type="default" r:id="rId14"/>
          <w:pgSz w:w="11907" w:h="16840" w:code="9"/>
          <w:pgMar w:top="1134" w:right="1418" w:bottom="1701" w:left="1418" w:header="567" w:footer="680" w:gutter="0"/>
          <w:cols w:space="720"/>
          <w:formProt w:val="0"/>
          <w:noEndnote/>
          <w:docGrid w:linePitch="299"/>
        </w:sectPr>
      </w:pPr>
    </w:p>
    <w:p w:rsidR="00026433" w:rsidRPr="00F973AF" w:rsidRDefault="00026433" w:rsidP="00351EA0">
      <w:pPr>
        <w:pStyle w:val="QSAnamestyleaddress"/>
      </w:pPr>
      <w:r w:rsidRPr="00F973AF">
        <w:lastRenderedPageBreak/>
        <w:t>Published September 2014</w:t>
      </w:r>
      <w:r w:rsidRPr="00F973AF">
        <w:br/>
        <w:t xml:space="preserve">© </w:t>
      </w:r>
      <w:proofErr w:type="gramStart"/>
      <w:r w:rsidRPr="00F973AF">
        <w:t>The</w:t>
      </w:r>
      <w:proofErr w:type="gramEnd"/>
      <w:r w:rsidRPr="00F973AF">
        <w:t xml:space="preserve"> State of Queensland (Queensland Curriculum &amp; Assessment Authority) 2014</w:t>
      </w:r>
      <w:r w:rsidRPr="00F973AF">
        <w:br/>
        <w:t>ISSN 2201-0580</w:t>
      </w:r>
    </w:p>
    <w:p w:rsidR="00026433" w:rsidRPr="00F973AF" w:rsidRDefault="00026433" w:rsidP="00351EA0">
      <w:pPr>
        <w:pStyle w:val="QSAnamestyleaddress"/>
      </w:pPr>
      <w:r w:rsidRPr="00F973AF">
        <w:t>Queensland Curriculum &amp; Assessment Authority</w:t>
      </w:r>
      <w:r w:rsidRPr="00F973AF">
        <w:br/>
        <w:t>PO Box 307 Spring Hill QLD</w:t>
      </w:r>
      <w:r w:rsidRPr="00F973AF">
        <w:t> </w:t>
      </w:r>
      <w:r w:rsidRPr="00F973AF">
        <w:t>4004</w:t>
      </w:r>
      <w:r w:rsidRPr="00F973AF">
        <w:t> </w:t>
      </w:r>
      <w:r w:rsidRPr="00F973AF">
        <w:t>Australia</w:t>
      </w:r>
    </w:p>
    <w:p w:rsidR="00026433" w:rsidRPr="00F973AF" w:rsidRDefault="00026433" w:rsidP="00351EA0">
      <w:pPr>
        <w:pStyle w:val="QSAnamestyleaddress"/>
      </w:pPr>
      <w:r w:rsidRPr="00F973AF">
        <w:t>Level 7, 154 Melbourne Street, South Brisbane</w:t>
      </w:r>
    </w:p>
    <w:p w:rsidR="00003BFC" w:rsidRPr="00F973AF" w:rsidRDefault="00026433" w:rsidP="00351EA0">
      <w:pPr>
        <w:pStyle w:val="QSAnamestyleaddress"/>
      </w:pPr>
      <w:r w:rsidRPr="00F973AF">
        <w:t>Phone:</w:t>
      </w:r>
      <w:r w:rsidRPr="00F973AF">
        <w:tab/>
        <w:t>+61 7 3864 0299</w:t>
      </w:r>
      <w:r w:rsidRPr="00F973AF">
        <w:br/>
        <w:t>Fax:</w:t>
      </w:r>
      <w:r w:rsidRPr="00F973AF">
        <w:tab/>
        <w:t>+61 7 3221 2553</w:t>
      </w:r>
      <w:r w:rsidRPr="00F973AF">
        <w:br/>
        <w:t>email:</w:t>
      </w:r>
      <w:r w:rsidRPr="00F973AF">
        <w:tab/>
        <w:t>office@qcaa.qld.edu.au</w:t>
      </w:r>
      <w:r w:rsidRPr="00F973AF">
        <w:br/>
        <w:t>Website:</w:t>
      </w:r>
      <w:r w:rsidRPr="00F973AF">
        <w:tab/>
        <w:t>www.qsa.qld.edu.au</w:t>
      </w:r>
    </w:p>
    <w:p w:rsidR="00AC3633" w:rsidRPr="00FC084E" w:rsidRDefault="00AC3633" w:rsidP="000C109B">
      <w:pPr>
        <w:pStyle w:val="BodyText"/>
        <w:sectPr w:rsidR="00AC3633" w:rsidRPr="00FC084E" w:rsidSect="00FD5F1B">
          <w:headerReference w:type="even" r:id="rId15"/>
          <w:headerReference w:type="default" r:id="rId16"/>
          <w:footerReference w:type="even" r:id="rId17"/>
          <w:headerReference w:type="first" r:id="rId18"/>
          <w:pgSz w:w="11907" w:h="16840" w:code="9"/>
          <w:pgMar w:top="1134" w:right="1418" w:bottom="1701" w:left="1418" w:header="567" w:footer="680" w:gutter="0"/>
          <w:cols w:space="720"/>
          <w:formProt w:val="0"/>
          <w:vAlign w:val="bottom"/>
          <w:noEndnote/>
          <w:docGrid w:linePitch="299"/>
        </w:sectPr>
      </w:pPr>
    </w:p>
    <w:bookmarkEnd w:id="0"/>
    <w:p w:rsidR="00FB085B" w:rsidRPr="00C66A5E" w:rsidRDefault="00FB085B" w:rsidP="00D3700C">
      <w:pPr>
        <w:pStyle w:val="TOCHeading"/>
      </w:pPr>
      <w:r w:rsidRPr="006A77BB">
        <w:lastRenderedPageBreak/>
        <w:t>Contents</w:t>
      </w:r>
    </w:p>
    <w:p w:rsidR="00C41AFC" w:rsidRDefault="00CA2CF2">
      <w:pPr>
        <w:pStyle w:val="TOC1"/>
        <w:rPr>
          <w:rFonts w:asciiTheme="minorHAnsi" w:eastAsiaTheme="minorEastAsia" w:hAnsiTheme="minorHAnsi" w:cstheme="minorBidi"/>
          <w:b w:val="0"/>
          <w:color w:val="auto"/>
          <w:sz w:val="22"/>
          <w:szCs w:val="22"/>
        </w:rPr>
      </w:pPr>
      <w:r>
        <w:fldChar w:fldCharType="begin"/>
      </w:r>
      <w:r>
        <w:instrText xml:space="preserve"> TOC \o "2-2" \f \h \z \t "Heading 1,1" </w:instrText>
      </w:r>
      <w:r>
        <w:fldChar w:fldCharType="separate"/>
      </w:r>
      <w:hyperlink w:anchor="_Toc397589517" w:history="1">
        <w:r w:rsidR="00C41AFC" w:rsidRPr="000F14C1">
          <w:rPr>
            <w:rStyle w:val="Hyperlink"/>
          </w:rPr>
          <w:t>Letter of compliance</w:t>
        </w:r>
        <w:r w:rsidR="00C41AFC">
          <w:rPr>
            <w:webHidden/>
          </w:rPr>
          <w:tab/>
        </w:r>
        <w:r w:rsidR="00C41AFC">
          <w:rPr>
            <w:webHidden/>
          </w:rPr>
          <w:fldChar w:fldCharType="begin"/>
        </w:r>
        <w:r w:rsidR="00C41AFC">
          <w:rPr>
            <w:webHidden/>
          </w:rPr>
          <w:instrText xml:space="preserve"> PAGEREF _Toc397589517 \h </w:instrText>
        </w:r>
        <w:r w:rsidR="00C41AFC">
          <w:rPr>
            <w:webHidden/>
          </w:rPr>
        </w:r>
        <w:r w:rsidR="00C41AFC">
          <w:rPr>
            <w:webHidden/>
          </w:rPr>
          <w:fldChar w:fldCharType="separate"/>
        </w:r>
        <w:r w:rsidR="00C41AFC">
          <w:rPr>
            <w:webHidden/>
          </w:rPr>
          <w:t>1</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18" w:history="1">
        <w:r w:rsidR="00C41AFC" w:rsidRPr="000F14C1">
          <w:rPr>
            <w:rStyle w:val="Hyperlink"/>
          </w:rPr>
          <w:t>Communication objectives</w:t>
        </w:r>
        <w:r w:rsidR="00C41AFC">
          <w:rPr>
            <w:webHidden/>
          </w:rPr>
          <w:tab/>
        </w:r>
        <w:r w:rsidR="00C41AFC">
          <w:rPr>
            <w:webHidden/>
          </w:rPr>
          <w:fldChar w:fldCharType="begin"/>
        </w:r>
        <w:r w:rsidR="00C41AFC">
          <w:rPr>
            <w:webHidden/>
          </w:rPr>
          <w:instrText xml:space="preserve"> PAGEREF _Toc397589518 \h </w:instrText>
        </w:r>
        <w:r w:rsidR="00C41AFC">
          <w:rPr>
            <w:webHidden/>
          </w:rPr>
        </w:r>
        <w:r w:rsidR="00C41AFC">
          <w:rPr>
            <w:webHidden/>
          </w:rPr>
          <w:fldChar w:fldCharType="separate"/>
        </w:r>
        <w:r w:rsidR="00C41AFC">
          <w:rPr>
            <w:webHidden/>
          </w:rPr>
          <w:t>2</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19" w:history="1">
        <w:r w:rsidR="00C41AFC" w:rsidRPr="000F14C1">
          <w:rPr>
            <w:rStyle w:val="Hyperlink"/>
          </w:rPr>
          <w:t>Highlights of 2013–14</w:t>
        </w:r>
        <w:r w:rsidR="00C41AFC">
          <w:rPr>
            <w:webHidden/>
          </w:rPr>
          <w:tab/>
        </w:r>
        <w:r w:rsidR="00C41AFC">
          <w:rPr>
            <w:webHidden/>
          </w:rPr>
          <w:fldChar w:fldCharType="begin"/>
        </w:r>
        <w:r w:rsidR="00C41AFC">
          <w:rPr>
            <w:webHidden/>
          </w:rPr>
          <w:instrText xml:space="preserve"> PAGEREF _Toc397589519 \h </w:instrText>
        </w:r>
        <w:r w:rsidR="00C41AFC">
          <w:rPr>
            <w:webHidden/>
          </w:rPr>
        </w:r>
        <w:r w:rsidR="00C41AFC">
          <w:rPr>
            <w:webHidden/>
          </w:rPr>
          <w:fldChar w:fldCharType="separate"/>
        </w:r>
        <w:r w:rsidR="00C41AFC">
          <w:rPr>
            <w:webHidden/>
          </w:rPr>
          <w:t>3</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20" w:history="1">
        <w:r w:rsidR="00C41AFC" w:rsidRPr="000F14C1">
          <w:rPr>
            <w:rStyle w:val="Hyperlink"/>
          </w:rPr>
          <w:t>Chair’s introduction</w:t>
        </w:r>
        <w:r w:rsidR="00C41AFC">
          <w:rPr>
            <w:webHidden/>
          </w:rPr>
          <w:tab/>
        </w:r>
        <w:r w:rsidR="00C41AFC">
          <w:rPr>
            <w:webHidden/>
          </w:rPr>
          <w:fldChar w:fldCharType="begin"/>
        </w:r>
        <w:r w:rsidR="00C41AFC">
          <w:rPr>
            <w:webHidden/>
          </w:rPr>
          <w:instrText xml:space="preserve"> PAGEREF _Toc397589520 \h </w:instrText>
        </w:r>
        <w:r w:rsidR="00C41AFC">
          <w:rPr>
            <w:webHidden/>
          </w:rPr>
        </w:r>
        <w:r w:rsidR="00C41AFC">
          <w:rPr>
            <w:webHidden/>
          </w:rPr>
          <w:fldChar w:fldCharType="separate"/>
        </w:r>
        <w:r w:rsidR="00C41AFC">
          <w:rPr>
            <w:webHidden/>
          </w:rPr>
          <w:t>4</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21" w:history="1">
        <w:r w:rsidR="00C41AFC" w:rsidRPr="000F14C1">
          <w:rPr>
            <w:rStyle w:val="Hyperlink"/>
          </w:rPr>
          <w:t>Financial snapshot 2013–14</w:t>
        </w:r>
        <w:r w:rsidR="00C41AFC">
          <w:rPr>
            <w:webHidden/>
          </w:rPr>
          <w:tab/>
        </w:r>
        <w:r w:rsidR="00C41AFC">
          <w:rPr>
            <w:webHidden/>
          </w:rPr>
          <w:fldChar w:fldCharType="begin"/>
        </w:r>
        <w:r w:rsidR="00C41AFC">
          <w:rPr>
            <w:webHidden/>
          </w:rPr>
          <w:instrText xml:space="preserve"> PAGEREF _Toc397589521 \h </w:instrText>
        </w:r>
        <w:r w:rsidR="00C41AFC">
          <w:rPr>
            <w:webHidden/>
          </w:rPr>
        </w:r>
        <w:r w:rsidR="00C41AFC">
          <w:rPr>
            <w:webHidden/>
          </w:rPr>
          <w:fldChar w:fldCharType="separate"/>
        </w:r>
        <w:r w:rsidR="00C41AFC">
          <w:rPr>
            <w:webHidden/>
          </w:rPr>
          <w:t>5</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22" w:history="1">
        <w:r w:rsidR="00C41AFC" w:rsidRPr="000F14C1">
          <w:rPr>
            <w:rStyle w:val="Hyperlink"/>
          </w:rPr>
          <w:t>Constitution, functions &amp; powers</w:t>
        </w:r>
        <w:r w:rsidR="00C41AFC">
          <w:rPr>
            <w:webHidden/>
          </w:rPr>
          <w:tab/>
        </w:r>
        <w:r w:rsidR="00C41AFC">
          <w:rPr>
            <w:webHidden/>
          </w:rPr>
          <w:fldChar w:fldCharType="begin"/>
        </w:r>
        <w:r w:rsidR="00C41AFC">
          <w:rPr>
            <w:webHidden/>
          </w:rPr>
          <w:instrText xml:space="preserve"> PAGEREF _Toc397589522 \h </w:instrText>
        </w:r>
        <w:r w:rsidR="00C41AFC">
          <w:rPr>
            <w:webHidden/>
          </w:rPr>
        </w:r>
        <w:r w:rsidR="00C41AFC">
          <w:rPr>
            <w:webHidden/>
          </w:rPr>
          <w:fldChar w:fldCharType="separate"/>
        </w:r>
        <w:r w:rsidR="00C41AFC">
          <w:rPr>
            <w:webHidden/>
          </w:rPr>
          <w:t>6</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23" w:history="1">
        <w:r w:rsidR="00C41AFC" w:rsidRPr="000F14C1">
          <w:rPr>
            <w:rStyle w:val="Hyperlink"/>
          </w:rPr>
          <w:t>Corporate profile</w:t>
        </w:r>
        <w:r w:rsidR="00C41AFC">
          <w:rPr>
            <w:webHidden/>
          </w:rPr>
          <w:tab/>
        </w:r>
        <w:r w:rsidR="00C41AFC">
          <w:rPr>
            <w:webHidden/>
          </w:rPr>
          <w:fldChar w:fldCharType="begin"/>
        </w:r>
        <w:r w:rsidR="00C41AFC">
          <w:rPr>
            <w:webHidden/>
          </w:rPr>
          <w:instrText xml:space="preserve"> PAGEREF _Toc397589523 \h </w:instrText>
        </w:r>
        <w:r w:rsidR="00C41AFC">
          <w:rPr>
            <w:webHidden/>
          </w:rPr>
        </w:r>
        <w:r w:rsidR="00C41AFC">
          <w:rPr>
            <w:webHidden/>
          </w:rPr>
          <w:fldChar w:fldCharType="separate"/>
        </w:r>
        <w:r w:rsidR="00C41AFC">
          <w:rPr>
            <w:webHidden/>
          </w:rPr>
          <w:t>6</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24" w:history="1">
        <w:r w:rsidR="00C41AFC" w:rsidRPr="000F14C1">
          <w:rPr>
            <w:rStyle w:val="Hyperlink"/>
          </w:rPr>
          <w:t>Authority members</w:t>
        </w:r>
        <w:r w:rsidR="00C41AFC">
          <w:rPr>
            <w:webHidden/>
          </w:rPr>
          <w:tab/>
        </w:r>
        <w:r w:rsidR="00C41AFC">
          <w:rPr>
            <w:webHidden/>
          </w:rPr>
          <w:fldChar w:fldCharType="begin"/>
        </w:r>
        <w:r w:rsidR="00C41AFC">
          <w:rPr>
            <w:webHidden/>
          </w:rPr>
          <w:instrText xml:space="preserve"> PAGEREF _Toc397589524 \h </w:instrText>
        </w:r>
        <w:r w:rsidR="00C41AFC">
          <w:rPr>
            <w:webHidden/>
          </w:rPr>
        </w:r>
        <w:r w:rsidR="00C41AFC">
          <w:rPr>
            <w:webHidden/>
          </w:rPr>
          <w:fldChar w:fldCharType="separate"/>
        </w:r>
        <w:r w:rsidR="00C41AFC">
          <w:rPr>
            <w:webHidden/>
          </w:rPr>
          <w:t>6</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25" w:history="1">
        <w:r w:rsidR="00C41AFC" w:rsidRPr="000F14C1">
          <w:rPr>
            <w:rStyle w:val="Hyperlink"/>
          </w:rPr>
          <w:t>Executive committee</w:t>
        </w:r>
        <w:r w:rsidR="00C41AFC">
          <w:rPr>
            <w:webHidden/>
          </w:rPr>
          <w:tab/>
        </w:r>
        <w:r w:rsidR="00C41AFC">
          <w:rPr>
            <w:webHidden/>
          </w:rPr>
          <w:fldChar w:fldCharType="begin"/>
        </w:r>
        <w:r w:rsidR="00C41AFC">
          <w:rPr>
            <w:webHidden/>
          </w:rPr>
          <w:instrText xml:space="preserve"> PAGEREF _Toc397589525 \h </w:instrText>
        </w:r>
        <w:r w:rsidR="00C41AFC">
          <w:rPr>
            <w:webHidden/>
          </w:rPr>
        </w:r>
        <w:r w:rsidR="00C41AFC">
          <w:rPr>
            <w:webHidden/>
          </w:rPr>
          <w:fldChar w:fldCharType="separate"/>
        </w:r>
        <w:r w:rsidR="00C41AFC">
          <w:rPr>
            <w:webHidden/>
          </w:rPr>
          <w:t>7</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26" w:history="1">
        <w:r w:rsidR="00C41AFC" w:rsidRPr="000F14C1">
          <w:rPr>
            <w:rStyle w:val="Hyperlink"/>
          </w:rPr>
          <w:t>Authority committees</w:t>
        </w:r>
        <w:r w:rsidR="00C41AFC">
          <w:rPr>
            <w:webHidden/>
          </w:rPr>
          <w:tab/>
        </w:r>
        <w:r w:rsidR="00C41AFC">
          <w:rPr>
            <w:webHidden/>
          </w:rPr>
          <w:fldChar w:fldCharType="begin"/>
        </w:r>
        <w:r w:rsidR="00C41AFC">
          <w:rPr>
            <w:webHidden/>
          </w:rPr>
          <w:instrText xml:space="preserve"> PAGEREF _Toc397589526 \h </w:instrText>
        </w:r>
        <w:r w:rsidR="00C41AFC">
          <w:rPr>
            <w:webHidden/>
          </w:rPr>
        </w:r>
        <w:r w:rsidR="00C41AFC">
          <w:rPr>
            <w:webHidden/>
          </w:rPr>
          <w:fldChar w:fldCharType="separate"/>
        </w:r>
        <w:r w:rsidR="00C41AFC">
          <w:rPr>
            <w:webHidden/>
          </w:rPr>
          <w:t>7</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27" w:history="1">
        <w:r w:rsidR="00C41AFC" w:rsidRPr="000F14C1">
          <w:rPr>
            <w:rStyle w:val="Hyperlink"/>
          </w:rPr>
          <w:t>Organisational structure</w:t>
        </w:r>
        <w:r w:rsidR="00C41AFC">
          <w:rPr>
            <w:webHidden/>
          </w:rPr>
          <w:tab/>
        </w:r>
        <w:r w:rsidR="00C41AFC">
          <w:rPr>
            <w:webHidden/>
          </w:rPr>
          <w:fldChar w:fldCharType="begin"/>
        </w:r>
        <w:r w:rsidR="00C41AFC">
          <w:rPr>
            <w:webHidden/>
          </w:rPr>
          <w:instrText xml:space="preserve"> PAGEREF _Toc397589527 \h </w:instrText>
        </w:r>
        <w:r w:rsidR="00C41AFC">
          <w:rPr>
            <w:webHidden/>
          </w:rPr>
        </w:r>
        <w:r w:rsidR="00C41AFC">
          <w:rPr>
            <w:webHidden/>
          </w:rPr>
          <w:fldChar w:fldCharType="separate"/>
        </w:r>
        <w:r w:rsidR="00C41AFC">
          <w:rPr>
            <w:webHidden/>
          </w:rPr>
          <w:t>9</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28" w:history="1">
        <w:r w:rsidR="00C41AFC" w:rsidRPr="000F14C1">
          <w:rPr>
            <w:rStyle w:val="Hyperlink"/>
          </w:rPr>
          <w:t>Strategic Plan 2013–17</w:t>
        </w:r>
        <w:r w:rsidR="00C41AFC">
          <w:rPr>
            <w:webHidden/>
          </w:rPr>
          <w:tab/>
        </w:r>
        <w:r w:rsidR="00C41AFC">
          <w:rPr>
            <w:webHidden/>
          </w:rPr>
          <w:fldChar w:fldCharType="begin"/>
        </w:r>
        <w:r w:rsidR="00C41AFC">
          <w:rPr>
            <w:webHidden/>
          </w:rPr>
          <w:instrText xml:space="preserve"> PAGEREF _Toc397589528 \h </w:instrText>
        </w:r>
        <w:r w:rsidR="00C41AFC">
          <w:rPr>
            <w:webHidden/>
          </w:rPr>
        </w:r>
        <w:r w:rsidR="00C41AFC">
          <w:rPr>
            <w:webHidden/>
          </w:rPr>
          <w:fldChar w:fldCharType="separate"/>
        </w:r>
        <w:r w:rsidR="00C41AFC">
          <w:rPr>
            <w:webHidden/>
          </w:rPr>
          <w:t>10</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29" w:history="1">
        <w:r w:rsidR="00C41AFC" w:rsidRPr="000F14C1">
          <w:rPr>
            <w:rStyle w:val="Hyperlink"/>
          </w:rPr>
          <w:t>Planning and objectives</w:t>
        </w:r>
        <w:r w:rsidR="00C41AFC">
          <w:rPr>
            <w:webHidden/>
          </w:rPr>
          <w:tab/>
        </w:r>
        <w:r w:rsidR="00C41AFC">
          <w:rPr>
            <w:webHidden/>
          </w:rPr>
          <w:fldChar w:fldCharType="begin"/>
        </w:r>
        <w:r w:rsidR="00C41AFC">
          <w:rPr>
            <w:webHidden/>
          </w:rPr>
          <w:instrText xml:space="preserve"> PAGEREF _Toc397589529 \h </w:instrText>
        </w:r>
        <w:r w:rsidR="00C41AFC">
          <w:rPr>
            <w:webHidden/>
          </w:rPr>
        </w:r>
        <w:r w:rsidR="00C41AFC">
          <w:rPr>
            <w:webHidden/>
          </w:rPr>
          <w:fldChar w:fldCharType="separate"/>
        </w:r>
        <w:r w:rsidR="00C41AFC">
          <w:rPr>
            <w:webHidden/>
          </w:rPr>
          <w:t>10</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30" w:history="1">
        <w:r w:rsidR="00C41AFC" w:rsidRPr="000F14C1">
          <w:rPr>
            <w:rStyle w:val="Hyperlink"/>
          </w:rPr>
          <w:t>Performance against objectives</w:t>
        </w:r>
        <w:r w:rsidR="00C41AFC">
          <w:rPr>
            <w:webHidden/>
          </w:rPr>
          <w:tab/>
        </w:r>
        <w:r w:rsidR="00C41AFC">
          <w:rPr>
            <w:webHidden/>
          </w:rPr>
          <w:fldChar w:fldCharType="begin"/>
        </w:r>
        <w:r w:rsidR="00C41AFC">
          <w:rPr>
            <w:webHidden/>
          </w:rPr>
          <w:instrText xml:space="preserve"> PAGEREF _Toc397589530 \h </w:instrText>
        </w:r>
        <w:r w:rsidR="00C41AFC">
          <w:rPr>
            <w:webHidden/>
          </w:rPr>
        </w:r>
        <w:r w:rsidR="00C41AFC">
          <w:rPr>
            <w:webHidden/>
          </w:rPr>
          <w:fldChar w:fldCharType="separate"/>
        </w:r>
        <w:r w:rsidR="00C41AFC">
          <w:rPr>
            <w:webHidden/>
          </w:rPr>
          <w:t>10</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31" w:history="1">
        <w:r w:rsidR="00C41AFC" w:rsidRPr="000F14C1">
          <w:rPr>
            <w:rStyle w:val="Hyperlink"/>
          </w:rPr>
          <w:t>Program review</w:t>
        </w:r>
        <w:r w:rsidR="00C41AFC">
          <w:rPr>
            <w:webHidden/>
          </w:rPr>
          <w:tab/>
        </w:r>
        <w:r w:rsidR="00C41AFC">
          <w:rPr>
            <w:webHidden/>
          </w:rPr>
          <w:fldChar w:fldCharType="begin"/>
        </w:r>
        <w:r w:rsidR="00C41AFC">
          <w:rPr>
            <w:webHidden/>
          </w:rPr>
          <w:instrText xml:space="preserve"> PAGEREF _Toc397589531 \h </w:instrText>
        </w:r>
        <w:r w:rsidR="00C41AFC">
          <w:rPr>
            <w:webHidden/>
          </w:rPr>
        </w:r>
        <w:r w:rsidR="00C41AFC">
          <w:rPr>
            <w:webHidden/>
          </w:rPr>
          <w:fldChar w:fldCharType="separate"/>
        </w:r>
        <w:r w:rsidR="00C41AFC">
          <w:rPr>
            <w:webHidden/>
          </w:rPr>
          <w:t>11</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32" w:history="1">
        <w:r w:rsidR="00C41AFC" w:rsidRPr="000F14C1">
          <w:rPr>
            <w:rStyle w:val="Hyperlink"/>
          </w:rPr>
          <w:t>Syllabus development and implementation</w:t>
        </w:r>
        <w:r w:rsidR="00C41AFC">
          <w:rPr>
            <w:webHidden/>
          </w:rPr>
          <w:tab/>
        </w:r>
        <w:r w:rsidR="00C41AFC">
          <w:rPr>
            <w:webHidden/>
          </w:rPr>
          <w:fldChar w:fldCharType="begin"/>
        </w:r>
        <w:r w:rsidR="00C41AFC">
          <w:rPr>
            <w:webHidden/>
          </w:rPr>
          <w:instrText xml:space="preserve"> PAGEREF _Toc397589532 \h </w:instrText>
        </w:r>
        <w:r w:rsidR="00C41AFC">
          <w:rPr>
            <w:webHidden/>
          </w:rPr>
        </w:r>
        <w:r w:rsidR="00C41AFC">
          <w:rPr>
            <w:webHidden/>
          </w:rPr>
          <w:fldChar w:fldCharType="separate"/>
        </w:r>
        <w:r w:rsidR="00C41AFC">
          <w:rPr>
            <w:webHidden/>
          </w:rPr>
          <w:t>11</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33" w:history="1">
        <w:r w:rsidR="00C41AFC" w:rsidRPr="000F14C1">
          <w:rPr>
            <w:rStyle w:val="Hyperlink"/>
          </w:rPr>
          <w:t>Testing and assessment</w:t>
        </w:r>
        <w:r w:rsidR="00C41AFC">
          <w:rPr>
            <w:webHidden/>
          </w:rPr>
          <w:tab/>
        </w:r>
        <w:r w:rsidR="00C41AFC">
          <w:rPr>
            <w:webHidden/>
          </w:rPr>
          <w:fldChar w:fldCharType="begin"/>
        </w:r>
        <w:r w:rsidR="00C41AFC">
          <w:rPr>
            <w:webHidden/>
          </w:rPr>
          <w:instrText xml:space="preserve"> PAGEREF _Toc397589533 \h </w:instrText>
        </w:r>
        <w:r w:rsidR="00C41AFC">
          <w:rPr>
            <w:webHidden/>
          </w:rPr>
        </w:r>
        <w:r w:rsidR="00C41AFC">
          <w:rPr>
            <w:webHidden/>
          </w:rPr>
          <w:fldChar w:fldCharType="separate"/>
        </w:r>
        <w:r w:rsidR="00C41AFC">
          <w:rPr>
            <w:webHidden/>
          </w:rPr>
          <w:t>13</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34" w:history="1">
        <w:r w:rsidR="00C41AFC" w:rsidRPr="000F14C1">
          <w:rPr>
            <w:rStyle w:val="Hyperlink"/>
          </w:rPr>
          <w:t>Certification and tertiary entrance</w:t>
        </w:r>
        <w:r w:rsidR="00C41AFC">
          <w:rPr>
            <w:webHidden/>
          </w:rPr>
          <w:tab/>
        </w:r>
        <w:r w:rsidR="00C41AFC">
          <w:rPr>
            <w:webHidden/>
          </w:rPr>
          <w:fldChar w:fldCharType="begin"/>
        </w:r>
        <w:r w:rsidR="00C41AFC">
          <w:rPr>
            <w:webHidden/>
          </w:rPr>
          <w:instrText xml:space="preserve"> PAGEREF _Toc397589534 \h </w:instrText>
        </w:r>
        <w:r w:rsidR="00C41AFC">
          <w:rPr>
            <w:webHidden/>
          </w:rPr>
        </w:r>
        <w:r w:rsidR="00C41AFC">
          <w:rPr>
            <w:webHidden/>
          </w:rPr>
          <w:fldChar w:fldCharType="separate"/>
        </w:r>
        <w:r w:rsidR="00C41AFC">
          <w:rPr>
            <w:webHidden/>
          </w:rPr>
          <w:t>15</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35" w:history="1">
        <w:r w:rsidR="00C41AFC" w:rsidRPr="000F14C1">
          <w:rPr>
            <w:rStyle w:val="Hyperlink"/>
          </w:rPr>
          <w:t>Corporate support and communication</w:t>
        </w:r>
        <w:r w:rsidR="00C41AFC">
          <w:rPr>
            <w:webHidden/>
          </w:rPr>
          <w:tab/>
        </w:r>
        <w:r w:rsidR="00C41AFC">
          <w:rPr>
            <w:webHidden/>
          </w:rPr>
          <w:fldChar w:fldCharType="begin"/>
        </w:r>
        <w:r w:rsidR="00C41AFC">
          <w:rPr>
            <w:webHidden/>
          </w:rPr>
          <w:instrText xml:space="preserve"> PAGEREF _Toc397589535 \h </w:instrText>
        </w:r>
        <w:r w:rsidR="00C41AFC">
          <w:rPr>
            <w:webHidden/>
          </w:rPr>
        </w:r>
        <w:r w:rsidR="00C41AFC">
          <w:rPr>
            <w:webHidden/>
          </w:rPr>
          <w:fldChar w:fldCharType="separate"/>
        </w:r>
        <w:r w:rsidR="00C41AFC">
          <w:rPr>
            <w:webHidden/>
          </w:rPr>
          <w:t>16</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36" w:history="1">
        <w:r w:rsidR="00C41AFC" w:rsidRPr="000F14C1">
          <w:rPr>
            <w:rStyle w:val="Hyperlink"/>
          </w:rPr>
          <w:t>Financial report 2013–14</w:t>
        </w:r>
        <w:r w:rsidR="00C41AFC">
          <w:rPr>
            <w:webHidden/>
          </w:rPr>
          <w:tab/>
        </w:r>
        <w:r w:rsidR="00C41AFC">
          <w:rPr>
            <w:webHidden/>
          </w:rPr>
          <w:fldChar w:fldCharType="begin"/>
        </w:r>
        <w:r w:rsidR="00C41AFC">
          <w:rPr>
            <w:webHidden/>
          </w:rPr>
          <w:instrText xml:space="preserve"> PAGEREF _Toc397589536 \h </w:instrText>
        </w:r>
        <w:r w:rsidR="00C41AFC">
          <w:rPr>
            <w:webHidden/>
          </w:rPr>
        </w:r>
        <w:r w:rsidR="00C41AFC">
          <w:rPr>
            <w:webHidden/>
          </w:rPr>
          <w:fldChar w:fldCharType="separate"/>
        </w:r>
        <w:r w:rsidR="00C41AFC">
          <w:rPr>
            <w:webHidden/>
          </w:rPr>
          <w:t>19</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37" w:history="1">
        <w:r w:rsidR="00C41AFC" w:rsidRPr="000F14C1">
          <w:rPr>
            <w:rStyle w:val="Hyperlink"/>
          </w:rPr>
          <w:t>Statement of comprehensive income</w:t>
        </w:r>
        <w:r w:rsidR="00C41AFC">
          <w:rPr>
            <w:webHidden/>
          </w:rPr>
          <w:tab/>
        </w:r>
        <w:r w:rsidR="00C41AFC">
          <w:rPr>
            <w:webHidden/>
          </w:rPr>
          <w:fldChar w:fldCharType="begin"/>
        </w:r>
        <w:r w:rsidR="00C41AFC">
          <w:rPr>
            <w:webHidden/>
          </w:rPr>
          <w:instrText xml:space="preserve"> PAGEREF _Toc397589537 \h </w:instrText>
        </w:r>
        <w:r w:rsidR="00C41AFC">
          <w:rPr>
            <w:webHidden/>
          </w:rPr>
        </w:r>
        <w:r w:rsidR="00C41AFC">
          <w:rPr>
            <w:webHidden/>
          </w:rPr>
          <w:fldChar w:fldCharType="separate"/>
        </w:r>
        <w:r w:rsidR="00C41AFC">
          <w:rPr>
            <w:webHidden/>
          </w:rPr>
          <w:t>20</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38" w:history="1">
        <w:r w:rsidR="00C41AFC" w:rsidRPr="000F14C1">
          <w:rPr>
            <w:rStyle w:val="Hyperlink"/>
          </w:rPr>
          <w:t>Statement of financial position</w:t>
        </w:r>
        <w:r w:rsidR="00C41AFC">
          <w:rPr>
            <w:webHidden/>
          </w:rPr>
          <w:tab/>
        </w:r>
        <w:r w:rsidR="00C41AFC">
          <w:rPr>
            <w:webHidden/>
          </w:rPr>
          <w:fldChar w:fldCharType="begin"/>
        </w:r>
        <w:r w:rsidR="00C41AFC">
          <w:rPr>
            <w:webHidden/>
          </w:rPr>
          <w:instrText xml:space="preserve"> PAGEREF _Toc397589538 \h </w:instrText>
        </w:r>
        <w:r w:rsidR="00C41AFC">
          <w:rPr>
            <w:webHidden/>
          </w:rPr>
        </w:r>
        <w:r w:rsidR="00C41AFC">
          <w:rPr>
            <w:webHidden/>
          </w:rPr>
          <w:fldChar w:fldCharType="separate"/>
        </w:r>
        <w:r w:rsidR="00C41AFC">
          <w:rPr>
            <w:webHidden/>
          </w:rPr>
          <w:t>21</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39" w:history="1">
        <w:r w:rsidR="00C41AFC" w:rsidRPr="000F14C1">
          <w:rPr>
            <w:rStyle w:val="Hyperlink"/>
          </w:rPr>
          <w:t>Statement of changes in equity</w:t>
        </w:r>
        <w:r w:rsidR="00C41AFC">
          <w:rPr>
            <w:webHidden/>
          </w:rPr>
          <w:tab/>
        </w:r>
        <w:r w:rsidR="00C41AFC">
          <w:rPr>
            <w:webHidden/>
          </w:rPr>
          <w:fldChar w:fldCharType="begin"/>
        </w:r>
        <w:r w:rsidR="00C41AFC">
          <w:rPr>
            <w:webHidden/>
          </w:rPr>
          <w:instrText xml:space="preserve"> PAGEREF _Toc397589539 \h </w:instrText>
        </w:r>
        <w:r w:rsidR="00C41AFC">
          <w:rPr>
            <w:webHidden/>
          </w:rPr>
        </w:r>
        <w:r w:rsidR="00C41AFC">
          <w:rPr>
            <w:webHidden/>
          </w:rPr>
          <w:fldChar w:fldCharType="separate"/>
        </w:r>
        <w:r w:rsidR="00C41AFC">
          <w:rPr>
            <w:webHidden/>
          </w:rPr>
          <w:t>22</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40" w:history="1">
        <w:r w:rsidR="00C41AFC" w:rsidRPr="000F14C1">
          <w:rPr>
            <w:rStyle w:val="Hyperlink"/>
          </w:rPr>
          <w:t>Statement of cash flows</w:t>
        </w:r>
        <w:r w:rsidR="00C41AFC">
          <w:rPr>
            <w:webHidden/>
          </w:rPr>
          <w:tab/>
        </w:r>
        <w:r w:rsidR="00C41AFC">
          <w:rPr>
            <w:webHidden/>
          </w:rPr>
          <w:fldChar w:fldCharType="begin"/>
        </w:r>
        <w:r w:rsidR="00C41AFC">
          <w:rPr>
            <w:webHidden/>
          </w:rPr>
          <w:instrText xml:space="preserve"> PAGEREF _Toc397589540 \h </w:instrText>
        </w:r>
        <w:r w:rsidR="00C41AFC">
          <w:rPr>
            <w:webHidden/>
          </w:rPr>
        </w:r>
        <w:r w:rsidR="00C41AFC">
          <w:rPr>
            <w:webHidden/>
          </w:rPr>
          <w:fldChar w:fldCharType="separate"/>
        </w:r>
        <w:r w:rsidR="00C41AFC">
          <w:rPr>
            <w:webHidden/>
          </w:rPr>
          <w:t>23</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41" w:history="1">
        <w:r w:rsidR="00C41AFC" w:rsidRPr="000F14C1">
          <w:rPr>
            <w:rStyle w:val="Hyperlink"/>
          </w:rPr>
          <w:t>Notes to and forming part of the financial statements</w:t>
        </w:r>
        <w:r w:rsidR="00C41AFC">
          <w:rPr>
            <w:webHidden/>
          </w:rPr>
          <w:tab/>
        </w:r>
        <w:r w:rsidR="00C41AFC">
          <w:rPr>
            <w:webHidden/>
          </w:rPr>
          <w:fldChar w:fldCharType="begin"/>
        </w:r>
        <w:r w:rsidR="00C41AFC">
          <w:rPr>
            <w:webHidden/>
          </w:rPr>
          <w:instrText xml:space="preserve"> PAGEREF _Toc397589541 \h </w:instrText>
        </w:r>
        <w:r w:rsidR="00C41AFC">
          <w:rPr>
            <w:webHidden/>
          </w:rPr>
        </w:r>
        <w:r w:rsidR="00C41AFC">
          <w:rPr>
            <w:webHidden/>
          </w:rPr>
          <w:fldChar w:fldCharType="separate"/>
        </w:r>
        <w:r w:rsidR="00C41AFC">
          <w:rPr>
            <w:webHidden/>
          </w:rPr>
          <w:t>24</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42" w:history="1">
        <w:r w:rsidR="00C41AFC" w:rsidRPr="000F14C1">
          <w:rPr>
            <w:rStyle w:val="Hyperlink"/>
          </w:rPr>
          <w:t>Certificate of the Queensland Studies Authority</w:t>
        </w:r>
        <w:r w:rsidR="00C41AFC">
          <w:rPr>
            <w:webHidden/>
          </w:rPr>
          <w:tab/>
        </w:r>
        <w:r w:rsidR="00C41AFC">
          <w:rPr>
            <w:webHidden/>
          </w:rPr>
          <w:fldChar w:fldCharType="begin"/>
        </w:r>
        <w:r w:rsidR="00C41AFC">
          <w:rPr>
            <w:webHidden/>
          </w:rPr>
          <w:instrText xml:space="preserve"> PAGEREF _Toc397589542 \h </w:instrText>
        </w:r>
        <w:r w:rsidR="00C41AFC">
          <w:rPr>
            <w:webHidden/>
          </w:rPr>
        </w:r>
        <w:r w:rsidR="00C41AFC">
          <w:rPr>
            <w:webHidden/>
          </w:rPr>
          <w:fldChar w:fldCharType="separate"/>
        </w:r>
        <w:r w:rsidR="00C41AFC">
          <w:rPr>
            <w:webHidden/>
          </w:rPr>
          <w:t>45</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43" w:history="1">
        <w:r w:rsidR="00C41AFC" w:rsidRPr="000F14C1">
          <w:rPr>
            <w:rStyle w:val="Hyperlink"/>
          </w:rPr>
          <w:t>Independent auditor’s report</w:t>
        </w:r>
        <w:r w:rsidR="00C41AFC">
          <w:rPr>
            <w:webHidden/>
          </w:rPr>
          <w:tab/>
        </w:r>
        <w:r w:rsidR="00C41AFC">
          <w:rPr>
            <w:webHidden/>
          </w:rPr>
          <w:fldChar w:fldCharType="begin"/>
        </w:r>
        <w:r w:rsidR="00C41AFC">
          <w:rPr>
            <w:webHidden/>
          </w:rPr>
          <w:instrText xml:space="preserve"> PAGEREF _Toc397589543 \h </w:instrText>
        </w:r>
        <w:r w:rsidR="00C41AFC">
          <w:rPr>
            <w:webHidden/>
          </w:rPr>
        </w:r>
        <w:r w:rsidR="00C41AFC">
          <w:rPr>
            <w:webHidden/>
          </w:rPr>
          <w:fldChar w:fldCharType="separate"/>
        </w:r>
        <w:r w:rsidR="00C41AFC">
          <w:rPr>
            <w:webHidden/>
          </w:rPr>
          <w:t>46</w:t>
        </w:r>
        <w:r w:rsidR="00C41AFC">
          <w:rPr>
            <w:webHidden/>
          </w:rPr>
          <w:fldChar w:fldCharType="end"/>
        </w:r>
      </w:hyperlink>
    </w:p>
    <w:p w:rsidR="00C41AFC" w:rsidRDefault="00297BD5">
      <w:pPr>
        <w:pStyle w:val="TOC1"/>
        <w:rPr>
          <w:rFonts w:asciiTheme="minorHAnsi" w:eastAsiaTheme="minorEastAsia" w:hAnsiTheme="minorHAnsi" w:cstheme="minorBidi"/>
          <w:b w:val="0"/>
          <w:color w:val="auto"/>
          <w:sz w:val="22"/>
          <w:szCs w:val="22"/>
        </w:rPr>
      </w:pPr>
      <w:hyperlink w:anchor="_Toc397589544" w:history="1">
        <w:r w:rsidR="00C41AFC" w:rsidRPr="000F14C1">
          <w:rPr>
            <w:rStyle w:val="Hyperlink"/>
          </w:rPr>
          <w:t>Appendixes</w:t>
        </w:r>
        <w:r w:rsidR="00C41AFC">
          <w:rPr>
            <w:webHidden/>
          </w:rPr>
          <w:tab/>
        </w:r>
        <w:r w:rsidR="00C41AFC">
          <w:rPr>
            <w:webHidden/>
          </w:rPr>
          <w:fldChar w:fldCharType="begin"/>
        </w:r>
        <w:r w:rsidR="00C41AFC">
          <w:rPr>
            <w:webHidden/>
          </w:rPr>
          <w:instrText xml:space="preserve"> PAGEREF _Toc397589544 \h </w:instrText>
        </w:r>
        <w:r w:rsidR="00C41AFC">
          <w:rPr>
            <w:webHidden/>
          </w:rPr>
        </w:r>
        <w:r w:rsidR="00C41AFC">
          <w:rPr>
            <w:webHidden/>
          </w:rPr>
          <w:fldChar w:fldCharType="separate"/>
        </w:r>
        <w:r w:rsidR="00C41AFC">
          <w:rPr>
            <w:webHidden/>
          </w:rPr>
          <w:t>48</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45" w:history="1">
        <w:r w:rsidR="00C41AFC" w:rsidRPr="000F14C1">
          <w:rPr>
            <w:rStyle w:val="Hyperlink"/>
          </w:rPr>
          <w:t>1</w:t>
        </w:r>
        <w:r w:rsidR="00C41AFC">
          <w:rPr>
            <w:rFonts w:asciiTheme="minorHAnsi" w:eastAsiaTheme="minorEastAsia" w:hAnsiTheme="minorHAnsi" w:cstheme="minorBidi"/>
            <w:color w:val="auto"/>
            <w:sz w:val="22"/>
            <w:szCs w:val="22"/>
            <w:lang w:eastAsia="en-AU"/>
          </w:rPr>
          <w:tab/>
        </w:r>
        <w:r w:rsidR="00C41AFC" w:rsidRPr="000F14C1">
          <w:rPr>
            <w:rStyle w:val="Hyperlink"/>
          </w:rPr>
          <w:t>Committees of the Authority</w:t>
        </w:r>
        <w:r w:rsidR="00C41AFC">
          <w:rPr>
            <w:webHidden/>
          </w:rPr>
          <w:tab/>
        </w:r>
        <w:r w:rsidR="00C41AFC">
          <w:rPr>
            <w:webHidden/>
          </w:rPr>
          <w:fldChar w:fldCharType="begin"/>
        </w:r>
        <w:r w:rsidR="00C41AFC">
          <w:rPr>
            <w:webHidden/>
          </w:rPr>
          <w:instrText xml:space="preserve"> PAGEREF _Toc397589545 \h </w:instrText>
        </w:r>
        <w:r w:rsidR="00C41AFC">
          <w:rPr>
            <w:webHidden/>
          </w:rPr>
        </w:r>
        <w:r w:rsidR="00C41AFC">
          <w:rPr>
            <w:webHidden/>
          </w:rPr>
          <w:fldChar w:fldCharType="separate"/>
        </w:r>
        <w:r w:rsidR="00C41AFC">
          <w:rPr>
            <w:webHidden/>
          </w:rPr>
          <w:t>48</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46" w:history="1">
        <w:r w:rsidR="00C41AFC" w:rsidRPr="000F14C1">
          <w:rPr>
            <w:rStyle w:val="Hyperlink"/>
          </w:rPr>
          <w:t>2</w:t>
        </w:r>
        <w:r w:rsidR="00C41AFC">
          <w:rPr>
            <w:rFonts w:asciiTheme="minorHAnsi" w:eastAsiaTheme="minorEastAsia" w:hAnsiTheme="minorHAnsi" w:cstheme="minorBidi"/>
            <w:color w:val="auto"/>
            <w:sz w:val="22"/>
            <w:szCs w:val="22"/>
            <w:lang w:eastAsia="en-AU"/>
          </w:rPr>
          <w:tab/>
        </w:r>
        <w:r w:rsidR="00C41AFC" w:rsidRPr="000F14C1">
          <w:rPr>
            <w:rStyle w:val="Hyperlink"/>
          </w:rPr>
          <w:t>Fees paid to Board members</w:t>
        </w:r>
        <w:r w:rsidR="00C41AFC">
          <w:rPr>
            <w:webHidden/>
          </w:rPr>
          <w:tab/>
        </w:r>
        <w:r w:rsidR="00C41AFC">
          <w:rPr>
            <w:webHidden/>
          </w:rPr>
          <w:fldChar w:fldCharType="begin"/>
        </w:r>
        <w:r w:rsidR="00C41AFC">
          <w:rPr>
            <w:webHidden/>
          </w:rPr>
          <w:instrText xml:space="preserve"> PAGEREF _Toc397589546 \h </w:instrText>
        </w:r>
        <w:r w:rsidR="00C41AFC">
          <w:rPr>
            <w:webHidden/>
          </w:rPr>
        </w:r>
        <w:r w:rsidR="00C41AFC">
          <w:rPr>
            <w:webHidden/>
          </w:rPr>
          <w:fldChar w:fldCharType="separate"/>
        </w:r>
        <w:r w:rsidR="00C41AFC">
          <w:rPr>
            <w:webHidden/>
          </w:rPr>
          <w:t>51</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47" w:history="1">
        <w:r w:rsidR="00C41AFC" w:rsidRPr="000F14C1">
          <w:rPr>
            <w:rStyle w:val="Hyperlink"/>
          </w:rPr>
          <w:t>3</w:t>
        </w:r>
        <w:r w:rsidR="00C41AFC">
          <w:rPr>
            <w:rFonts w:asciiTheme="minorHAnsi" w:eastAsiaTheme="minorEastAsia" w:hAnsiTheme="minorHAnsi" w:cstheme="minorBidi"/>
            <w:color w:val="auto"/>
            <w:sz w:val="22"/>
            <w:szCs w:val="22"/>
            <w:lang w:eastAsia="en-AU"/>
          </w:rPr>
          <w:tab/>
        </w:r>
        <w:r w:rsidR="00C41AFC" w:rsidRPr="000F14C1">
          <w:rPr>
            <w:rStyle w:val="Hyperlink"/>
          </w:rPr>
          <w:t>Early retirement, redundancy and retrenchment</w:t>
        </w:r>
        <w:r w:rsidR="00C41AFC">
          <w:rPr>
            <w:webHidden/>
          </w:rPr>
          <w:tab/>
        </w:r>
        <w:r w:rsidR="00C41AFC">
          <w:rPr>
            <w:webHidden/>
          </w:rPr>
          <w:fldChar w:fldCharType="begin"/>
        </w:r>
        <w:r w:rsidR="00C41AFC">
          <w:rPr>
            <w:webHidden/>
          </w:rPr>
          <w:instrText xml:space="preserve"> PAGEREF _Toc397589547 \h </w:instrText>
        </w:r>
        <w:r w:rsidR="00C41AFC">
          <w:rPr>
            <w:webHidden/>
          </w:rPr>
        </w:r>
        <w:r w:rsidR="00C41AFC">
          <w:rPr>
            <w:webHidden/>
          </w:rPr>
          <w:fldChar w:fldCharType="separate"/>
        </w:r>
        <w:r w:rsidR="00C41AFC">
          <w:rPr>
            <w:webHidden/>
          </w:rPr>
          <w:t>51</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48" w:history="1">
        <w:r w:rsidR="00C41AFC" w:rsidRPr="000F14C1">
          <w:rPr>
            <w:rStyle w:val="Hyperlink"/>
          </w:rPr>
          <w:t>4</w:t>
        </w:r>
        <w:r w:rsidR="00C41AFC">
          <w:rPr>
            <w:rFonts w:asciiTheme="minorHAnsi" w:eastAsiaTheme="minorEastAsia" w:hAnsiTheme="minorHAnsi" w:cstheme="minorBidi"/>
            <w:color w:val="auto"/>
            <w:sz w:val="22"/>
            <w:szCs w:val="22"/>
            <w:lang w:eastAsia="en-AU"/>
          </w:rPr>
          <w:tab/>
        </w:r>
        <w:r w:rsidR="00C41AFC" w:rsidRPr="000F14C1">
          <w:rPr>
            <w:rStyle w:val="Hyperlink"/>
          </w:rPr>
          <w:t>Key corporate governance committee of the QSA</w:t>
        </w:r>
        <w:r w:rsidR="00C41AFC">
          <w:rPr>
            <w:webHidden/>
          </w:rPr>
          <w:tab/>
        </w:r>
        <w:r w:rsidR="00C41AFC">
          <w:rPr>
            <w:webHidden/>
          </w:rPr>
          <w:fldChar w:fldCharType="begin"/>
        </w:r>
        <w:r w:rsidR="00C41AFC">
          <w:rPr>
            <w:webHidden/>
          </w:rPr>
          <w:instrText xml:space="preserve"> PAGEREF _Toc397589548 \h </w:instrText>
        </w:r>
        <w:r w:rsidR="00C41AFC">
          <w:rPr>
            <w:webHidden/>
          </w:rPr>
        </w:r>
        <w:r w:rsidR="00C41AFC">
          <w:rPr>
            <w:webHidden/>
          </w:rPr>
          <w:fldChar w:fldCharType="separate"/>
        </w:r>
        <w:r w:rsidR="00C41AFC">
          <w:rPr>
            <w:webHidden/>
          </w:rPr>
          <w:t>51</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49" w:history="1">
        <w:r w:rsidR="00C41AFC" w:rsidRPr="000F14C1">
          <w:rPr>
            <w:rStyle w:val="Hyperlink"/>
          </w:rPr>
          <w:t>5</w:t>
        </w:r>
        <w:r w:rsidR="00C41AFC">
          <w:rPr>
            <w:rFonts w:asciiTheme="minorHAnsi" w:eastAsiaTheme="minorEastAsia" w:hAnsiTheme="minorHAnsi" w:cstheme="minorBidi"/>
            <w:color w:val="auto"/>
            <w:sz w:val="22"/>
            <w:szCs w:val="22"/>
            <w:lang w:eastAsia="en-AU"/>
          </w:rPr>
          <w:tab/>
        </w:r>
        <w:r w:rsidR="00C41AFC" w:rsidRPr="000F14C1">
          <w:rPr>
            <w:rStyle w:val="Hyperlink"/>
          </w:rPr>
          <w:t>QSA district offices</w:t>
        </w:r>
        <w:r w:rsidR="00C41AFC">
          <w:rPr>
            <w:webHidden/>
          </w:rPr>
          <w:tab/>
        </w:r>
        <w:r w:rsidR="00C41AFC">
          <w:rPr>
            <w:webHidden/>
          </w:rPr>
          <w:fldChar w:fldCharType="begin"/>
        </w:r>
        <w:r w:rsidR="00C41AFC">
          <w:rPr>
            <w:webHidden/>
          </w:rPr>
          <w:instrText xml:space="preserve"> PAGEREF _Toc397589549 \h </w:instrText>
        </w:r>
        <w:r w:rsidR="00C41AFC">
          <w:rPr>
            <w:webHidden/>
          </w:rPr>
        </w:r>
        <w:r w:rsidR="00C41AFC">
          <w:rPr>
            <w:webHidden/>
          </w:rPr>
          <w:fldChar w:fldCharType="separate"/>
        </w:r>
        <w:r w:rsidR="00C41AFC">
          <w:rPr>
            <w:webHidden/>
          </w:rPr>
          <w:t>52</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50" w:history="1">
        <w:r w:rsidR="00C41AFC" w:rsidRPr="000F14C1">
          <w:rPr>
            <w:rStyle w:val="Hyperlink"/>
          </w:rPr>
          <w:t>6</w:t>
        </w:r>
        <w:r w:rsidR="00C41AFC">
          <w:rPr>
            <w:rFonts w:asciiTheme="minorHAnsi" w:eastAsiaTheme="minorEastAsia" w:hAnsiTheme="minorHAnsi" w:cstheme="minorBidi"/>
            <w:color w:val="auto"/>
            <w:sz w:val="22"/>
            <w:szCs w:val="22"/>
            <w:lang w:eastAsia="en-AU"/>
          </w:rPr>
          <w:tab/>
        </w:r>
        <w:r w:rsidR="00C41AFC" w:rsidRPr="000F14C1">
          <w:rPr>
            <w:rStyle w:val="Hyperlink"/>
          </w:rPr>
          <w:t>Reader evaluation of the Annual Report 2013–14</w:t>
        </w:r>
        <w:r w:rsidR="00C41AFC">
          <w:rPr>
            <w:webHidden/>
          </w:rPr>
          <w:tab/>
        </w:r>
        <w:r w:rsidR="00C41AFC">
          <w:rPr>
            <w:webHidden/>
          </w:rPr>
          <w:fldChar w:fldCharType="begin"/>
        </w:r>
        <w:r w:rsidR="00C41AFC">
          <w:rPr>
            <w:webHidden/>
          </w:rPr>
          <w:instrText xml:space="preserve"> PAGEREF _Toc397589550 \h </w:instrText>
        </w:r>
        <w:r w:rsidR="00C41AFC">
          <w:rPr>
            <w:webHidden/>
          </w:rPr>
        </w:r>
        <w:r w:rsidR="00C41AFC">
          <w:rPr>
            <w:webHidden/>
          </w:rPr>
          <w:fldChar w:fldCharType="separate"/>
        </w:r>
        <w:r w:rsidR="00C41AFC">
          <w:rPr>
            <w:webHidden/>
          </w:rPr>
          <w:t>53</w:t>
        </w:r>
        <w:r w:rsidR="00C41AFC">
          <w:rPr>
            <w:webHidden/>
          </w:rPr>
          <w:fldChar w:fldCharType="end"/>
        </w:r>
      </w:hyperlink>
    </w:p>
    <w:p w:rsidR="00894D26" w:rsidRDefault="00CA2CF2" w:rsidP="00894D26">
      <w:pPr>
        <w:pStyle w:val="TOC1"/>
      </w:pPr>
      <w:r>
        <w:fldChar w:fldCharType="end"/>
      </w:r>
      <w:hyperlink w:anchor="Abbreviations" w:history="1">
        <w:r w:rsidR="00894D26" w:rsidRPr="00C556AD">
          <w:rPr>
            <w:rStyle w:val="Hyperlink"/>
          </w:rPr>
          <w:t>Abbreviations and acronyms</w:t>
        </w:r>
        <w:r w:rsidR="00894D26" w:rsidRPr="00C556AD">
          <w:rPr>
            <w:rStyle w:val="Hyperlink"/>
          </w:rPr>
          <w:tab/>
          <w:t>inside back cover</w:t>
        </w:r>
      </w:hyperlink>
    </w:p>
    <w:p w:rsidR="00894D26" w:rsidRPr="00003BFC" w:rsidRDefault="00894D26" w:rsidP="000C109B">
      <w:pPr>
        <w:pStyle w:val="BodyText"/>
      </w:pPr>
    </w:p>
    <w:p w:rsidR="005D6321" w:rsidRPr="001310FB" w:rsidRDefault="005D6321" w:rsidP="000C109B">
      <w:pPr>
        <w:pStyle w:val="BodyText"/>
        <w:sectPr w:rsidR="005D6321" w:rsidRPr="001310FB" w:rsidSect="003B1306">
          <w:headerReference w:type="even" r:id="rId19"/>
          <w:headerReference w:type="default" r:id="rId20"/>
          <w:footerReference w:type="even" r:id="rId21"/>
          <w:footerReference w:type="default" r:id="rId22"/>
          <w:headerReference w:type="first" r:id="rId23"/>
          <w:pgSz w:w="11907" w:h="16840" w:code="9"/>
          <w:pgMar w:top="1134" w:right="1191" w:bottom="1418" w:left="1191" w:header="567" w:footer="680" w:gutter="0"/>
          <w:pgNumType w:fmt="lowerRoman"/>
          <w:cols w:space="720"/>
          <w:formProt w:val="0"/>
          <w:noEndnote/>
          <w:docGrid w:linePitch="299"/>
        </w:sectPr>
      </w:pPr>
    </w:p>
    <w:p w:rsidR="007108C5" w:rsidRDefault="007108C5" w:rsidP="00CD2A94">
      <w:pPr>
        <w:pStyle w:val="Heading1"/>
        <w:spacing w:before="0"/>
      </w:pPr>
      <w:bookmarkStart w:id="2" w:name="_Toc365984754"/>
      <w:bookmarkStart w:id="3" w:name="_Toc397589517"/>
      <w:r>
        <w:lastRenderedPageBreak/>
        <w:t>Letter of compliance</w:t>
      </w:r>
      <w:bookmarkEnd w:id="2"/>
      <w:bookmarkEnd w:id="3"/>
    </w:p>
    <w:p w:rsidR="007108C5" w:rsidRPr="002D63E4" w:rsidRDefault="00083A4B" w:rsidP="000C109B">
      <w:pPr>
        <w:pStyle w:val="BodyText"/>
      </w:pPr>
      <w:r w:rsidRPr="00083A4B">
        <w:t>5</w:t>
      </w:r>
      <w:r w:rsidR="001C4A42" w:rsidRPr="00083A4B">
        <w:t xml:space="preserve"> September 2014</w:t>
      </w:r>
    </w:p>
    <w:p w:rsidR="007108C5" w:rsidRPr="002D63E4" w:rsidRDefault="007108C5" w:rsidP="006A77BB">
      <w:pPr>
        <w:pStyle w:val="BodyText"/>
      </w:pPr>
      <w:r w:rsidRPr="002D63E4">
        <w:t>The Honourable John-Paul Langbroek MP</w:t>
      </w:r>
      <w:r w:rsidRPr="002D63E4">
        <w:br/>
        <w:t>Minister for Education, Traini</w:t>
      </w:r>
      <w:r w:rsidR="00974A36">
        <w:t>ng and Employment</w:t>
      </w:r>
      <w:r w:rsidR="00974A36">
        <w:br/>
        <w:t>PO Box 15033</w:t>
      </w:r>
      <w:r w:rsidR="00D37BDE">
        <w:br/>
      </w:r>
      <w:r w:rsidRPr="002D63E4">
        <w:t>CITY EAST QLD 4002</w:t>
      </w:r>
    </w:p>
    <w:p w:rsidR="007108C5" w:rsidRPr="002D63E4" w:rsidRDefault="007108C5" w:rsidP="006A77BB">
      <w:pPr>
        <w:pStyle w:val="BodyText"/>
        <w:spacing w:before="480"/>
      </w:pPr>
      <w:r w:rsidRPr="002D63E4">
        <w:t>Dear Minister</w:t>
      </w:r>
    </w:p>
    <w:p w:rsidR="007108C5" w:rsidRPr="002D63E4" w:rsidRDefault="007108C5" w:rsidP="006A77BB">
      <w:pPr>
        <w:pStyle w:val="BodyText"/>
      </w:pPr>
      <w:r w:rsidRPr="002D63E4">
        <w:t xml:space="preserve">I am pleased to present the </w:t>
      </w:r>
      <w:r w:rsidR="00165D17" w:rsidRPr="002D63E4">
        <w:t>201</w:t>
      </w:r>
      <w:r w:rsidR="002E4F3C">
        <w:t>3</w:t>
      </w:r>
      <w:r w:rsidR="00165D17" w:rsidRPr="002D63E4">
        <w:t>–1</w:t>
      </w:r>
      <w:r w:rsidR="002E4F3C">
        <w:t>4</w:t>
      </w:r>
      <w:r w:rsidR="00165D17" w:rsidRPr="002D63E4">
        <w:t xml:space="preserve"> </w:t>
      </w:r>
      <w:r w:rsidRPr="002D63E4">
        <w:t>Annual Report and financial statements for the Queensland Studies Authority.</w:t>
      </w:r>
    </w:p>
    <w:p w:rsidR="007108C5" w:rsidRPr="002D63E4" w:rsidRDefault="007108C5" w:rsidP="006A77BB">
      <w:pPr>
        <w:pStyle w:val="BodyText"/>
      </w:pPr>
      <w:r w:rsidRPr="002D63E4">
        <w:t>I certify that this Annual Report complies with:</w:t>
      </w:r>
    </w:p>
    <w:p w:rsidR="007108C5" w:rsidRPr="00C70157" w:rsidRDefault="007108C5" w:rsidP="00C716A9">
      <w:pPr>
        <w:pStyle w:val="ListBullet0"/>
      </w:pPr>
      <w:r w:rsidRPr="00C70157">
        <w:t xml:space="preserve">the prescribed requirements of the </w:t>
      </w:r>
      <w:r w:rsidRPr="00103D26">
        <w:rPr>
          <w:rStyle w:val="Emphasis"/>
        </w:rPr>
        <w:t>Financial Accountability Act 2009</w:t>
      </w:r>
      <w:r w:rsidRPr="00C70157">
        <w:t xml:space="preserve"> and the </w:t>
      </w:r>
      <w:r w:rsidRPr="005B1206">
        <w:t>Financial and Performance Management Standard 2009,</w:t>
      </w:r>
      <w:r w:rsidRPr="00C70157">
        <w:t xml:space="preserve"> and</w:t>
      </w:r>
    </w:p>
    <w:p w:rsidR="007108C5" w:rsidRPr="00C70157" w:rsidRDefault="007108C5" w:rsidP="00C716A9">
      <w:pPr>
        <w:pStyle w:val="ListBullet0"/>
      </w:pPr>
      <w:proofErr w:type="gramStart"/>
      <w:r w:rsidRPr="00C70157">
        <w:t>the</w:t>
      </w:r>
      <w:proofErr w:type="gramEnd"/>
      <w:r w:rsidRPr="00C70157">
        <w:t xml:space="preserve"> detailed requirements set out in the </w:t>
      </w:r>
      <w:r w:rsidRPr="00103D26">
        <w:rPr>
          <w:rStyle w:val="Emphasis"/>
        </w:rPr>
        <w:t>Annual report requirements for Queensland Government agencies</w:t>
      </w:r>
      <w:r w:rsidRPr="00C70157">
        <w:t>.</w:t>
      </w:r>
    </w:p>
    <w:p w:rsidR="007108C5" w:rsidRPr="002D63E4" w:rsidRDefault="007108C5" w:rsidP="006A77BB">
      <w:pPr>
        <w:pStyle w:val="BodyText"/>
      </w:pPr>
      <w:r w:rsidRPr="002D63E4">
        <w:t xml:space="preserve">A checklist outlining the annual reporting </w:t>
      </w:r>
      <w:r w:rsidR="00AD3CF7">
        <w:t>requirements can be accessed at</w:t>
      </w:r>
      <w:r w:rsidRPr="002D63E4">
        <w:t xml:space="preserve"> </w:t>
      </w:r>
      <w:hyperlink r:id="rId24" w:history="1">
        <w:r w:rsidR="001C4A42">
          <w:rPr>
            <w:rStyle w:val="Hyperlink"/>
          </w:rPr>
          <w:t>www.qcaa.qld.edu.au/624.html</w:t>
        </w:r>
      </w:hyperlink>
      <w:r w:rsidRPr="002D63E4">
        <w:t>.</w:t>
      </w:r>
    </w:p>
    <w:p w:rsidR="007108C5" w:rsidRPr="002D63E4" w:rsidRDefault="007108C5" w:rsidP="006A77BB">
      <w:pPr>
        <w:pStyle w:val="BodyText"/>
        <w:spacing w:before="480"/>
      </w:pPr>
      <w:r w:rsidRPr="002D63E4">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5A4557" w:rsidTr="005A4557">
        <w:trPr>
          <w:trHeight w:val="1448"/>
        </w:trPr>
        <w:tc>
          <w:tcPr>
            <w:tcW w:w="4870" w:type="dxa"/>
            <w:vAlign w:val="center"/>
          </w:tcPr>
          <w:p w:rsidR="005A4557" w:rsidRDefault="005A4557" w:rsidP="005A4557">
            <w:pPr>
              <w:pStyle w:val="BodyText"/>
              <w:spacing w:before="360"/>
              <w:rPr>
                <w:highlight w:val="yellow"/>
              </w:rPr>
            </w:pPr>
            <w:r>
              <w:rPr>
                <w:b/>
                <w:noProof/>
              </w:rPr>
              <w:drawing>
                <wp:inline distT="0" distB="0" distL="0" distR="0" wp14:anchorId="659A0EED" wp14:editId="623B7C2D">
                  <wp:extent cx="2607564" cy="74980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sa Jeffcoat V1 - preferred signature.tif"/>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2607564" cy="749808"/>
                          </a:xfrm>
                          <a:prstGeom prst="rect">
                            <a:avLst/>
                          </a:prstGeom>
                        </pic:spPr>
                      </pic:pic>
                    </a:graphicData>
                  </a:graphic>
                </wp:inline>
              </w:drawing>
            </w:r>
          </w:p>
        </w:tc>
        <w:tc>
          <w:tcPr>
            <w:tcW w:w="4871" w:type="dxa"/>
            <w:vAlign w:val="center"/>
          </w:tcPr>
          <w:p w:rsidR="005A4557" w:rsidRDefault="005A4557" w:rsidP="005A4557">
            <w:pPr>
              <w:pStyle w:val="BodyText"/>
              <w:spacing w:before="360"/>
              <w:rPr>
                <w:highlight w:val="yellow"/>
              </w:rPr>
            </w:pPr>
            <w:r>
              <w:rPr>
                <w:noProof/>
              </w:rPr>
              <w:drawing>
                <wp:inline distT="0" distB="0" distL="0" distR="0" wp14:anchorId="4147EC20" wp14:editId="7F3A5612">
                  <wp:extent cx="2459741" cy="6431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Short_signature.png"/>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2459741" cy="643129"/>
                          </a:xfrm>
                          <a:prstGeom prst="rect">
                            <a:avLst/>
                          </a:prstGeom>
                        </pic:spPr>
                      </pic:pic>
                    </a:graphicData>
                  </a:graphic>
                </wp:inline>
              </w:drawing>
            </w:r>
          </w:p>
        </w:tc>
      </w:tr>
      <w:tr w:rsidR="005A4557" w:rsidTr="005A4557">
        <w:trPr>
          <w:trHeight w:val="941"/>
        </w:trPr>
        <w:tc>
          <w:tcPr>
            <w:tcW w:w="4870" w:type="dxa"/>
          </w:tcPr>
          <w:p w:rsidR="005A4557" w:rsidRDefault="005A4557" w:rsidP="005A4557">
            <w:pPr>
              <w:pStyle w:val="BodyText"/>
              <w:rPr>
                <w:rStyle w:val="emphasisbold"/>
              </w:rPr>
            </w:pPr>
            <w:r w:rsidRPr="00B13F29">
              <w:rPr>
                <w:rStyle w:val="emphasisbold"/>
              </w:rPr>
              <w:t>Leesa Jeffcoat</w:t>
            </w:r>
            <w:r>
              <w:rPr>
                <w:rStyle w:val="emphasisbold"/>
              </w:rPr>
              <w:t xml:space="preserve"> AM</w:t>
            </w:r>
          </w:p>
          <w:p w:rsidR="005A4557" w:rsidRDefault="005A4557" w:rsidP="005A4557">
            <w:pPr>
              <w:pStyle w:val="BodyText"/>
              <w:rPr>
                <w:b/>
                <w:noProof/>
              </w:rPr>
            </w:pPr>
            <w:r>
              <w:rPr>
                <w:rStyle w:val="emphasisbold"/>
              </w:rPr>
              <w:t>Chair</w:t>
            </w:r>
            <w:r>
              <w:rPr>
                <w:rStyle w:val="emphasisbold"/>
              </w:rPr>
              <w:br/>
            </w:r>
            <w:r w:rsidRPr="00B13F29">
              <w:rPr>
                <w:rStyle w:val="emphasisbold"/>
              </w:rPr>
              <w:t>Queensland Studies Authority</w:t>
            </w:r>
            <w:r>
              <w:rPr>
                <w:rStyle w:val="emphasisbold"/>
              </w:rPr>
              <w:t xml:space="preserve"> </w:t>
            </w:r>
            <w:r>
              <w:rPr>
                <w:rStyle w:val="emphasisbold"/>
              </w:rPr>
              <w:br/>
            </w:r>
            <w:r w:rsidRPr="00370BED">
              <w:rPr>
                <w:rStyle w:val="emphasisbolditalic"/>
              </w:rPr>
              <w:t>(21 November 2013 – 30 June 2014)</w:t>
            </w:r>
          </w:p>
        </w:tc>
        <w:tc>
          <w:tcPr>
            <w:tcW w:w="4871" w:type="dxa"/>
          </w:tcPr>
          <w:p w:rsidR="005A4557" w:rsidRDefault="005A4557" w:rsidP="005A4557">
            <w:pPr>
              <w:pStyle w:val="BodyText"/>
              <w:rPr>
                <w:rStyle w:val="emphasisbold"/>
              </w:rPr>
            </w:pPr>
            <w:r>
              <w:rPr>
                <w:rStyle w:val="emphasisbold"/>
              </w:rPr>
              <w:t>Brian Short</w:t>
            </w:r>
          </w:p>
          <w:p w:rsidR="005A4557" w:rsidRDefault="005A4557" w:rsidP="005A4557">
            <w:pPr>
              <w:pStyle w:val="BodyText"/>
              <w:rPr>
                <w:noProof/>
              </w:rPr>
            </w:pPr>
            <w:r>
              <w:rPr>
                <w:rStyle w:val="emphasisbold"/>
              </w:rPr>
              <w:t>Chair</w:t>
            </w:r>
            <w:r>
              <w:rPr>
                <w:rStyle w:val="emphasisbold"/>
              </w:rPr>
              <w:br/>
              <w:t>Queensland Curriculum and Assessment Authority</w:t>
            </w:r>
            <w:r>
              <w:rPr>
                <w:rStyle w:val="emphasisbold"/>
              </w:rPr>
              <w:br/>
            </w:r>
            <w:r w:rsidRPr="00370BED">
              <w:rPr>
                <w:rStyle w:val="emphasisbolditalic"/>
              </w:rPr>
              <w:t>(from 1 July 2014)</w:t>
            </w:r>
          </w:p>
        </w:tc>
      </w:tr>
    </w:tbl>
    <w:p w:rsidR="007108C5" w:rsidRPr="00B13F29" w:rsidRDefault="007108C5" w:rsidP="000C109B">
      <w:pPr>
        <w:pStyle w:val="BodyText"/>
      </w:pPr>
      <w:r w:rsidRPr="00B13F29">
        <w:br w:type="page"/>
      </w:r>
    </w:p>
    <w:p w:rsidR="00CD2A94" w:rsidRDefault="00CD2A94" w:rsidP="00CD2A94">
      <w:pPr>
        <w:pStyle w:val="Heading1"/>
      </w:pPr>
      <w:bookmarkStart w:id="4" w:name="_Ref363135631"/>
      <w:bookmarkStart w:id="5" w:name="_Toc365984755"/>
      <w:bookmarkStart w:id="6" w:name="_Toc397589518"/>
      <w:bookmarkStart w:id="7" w:name="Communication_objectives"/>
      <w:r>
        <w:lastRenderedPageBreak/>
        <w:t>Communication objectives</w:t>
      </w:r>
      <w:bookmarkEnd w:id="4"/>
      <w:bookmarkEnd w:id="5"/>
      <w:bookmarkEnd w:id="6"/>
    </w:p>
    <w:bookmarkEnd w:id="7"/>
    <w:p w:rsidR="00A906A3" w:rsidRDefault="00CD2A94" w:rsidP="006A77BB">
      <w:pPr>
        <w:pStyle w:val="BodyText"/>
      </w:pPr>
      <w:r w:rsidRPr="002D63E4">
        <w:t xml:space="preserve">The Queensland Studies Authority (QSA) was established in 2002 and </w:t>
      </w:r>
      <w:r w:rsidR="002E4F3C">
        <w:t>until 30 June 2014 was</w:t>
      </w:r>
      <w:r w:rsidRPr="002D63E4">
        <w:t xml:space="preserve"> responsible for a range of functions includ</w:t>
      </w:r>
      <w:r w:rsidR="008A3A4F">
        <w:t>ing developing and accrediting k</w:t>
      </w:r>
      <w:r w:rsidRPr="002D63E4">
        <w:t>indergarten to Year 12 syllabuses and guidelines, testing, assessment, moderation, certification, vocational education and training, and tertiary entrance.</w:t>
      </w:r>
      <w:r w:rsidR="002E4F3C">
        <w:t xml:space="preserve"> </w:t>
      </w:r>
    </w:p>
    <w:p w:rsidR="00CD2A94" w:rsidRPr="002D63E4" w:rsidRDefault="002E4F3C" w:rsidP="006A77BB">
      <w:pPr>
        <w:pStyle w:val="BodyText"/>
      </w:pPr>
      <w:r>
        <w:t xml:space="preserve">The QSA was replaced by the </w:t>
      </w:r>
      <w:r w:rsidRPr="002E4F3C">
        <w:t>Queensland Curriculum and Assessment Authority (QCAA)</w:t>
      </w:r>
      <w:r>
        <w:t xml:space="preserve"> from 1 July 2014.</w:t>
      </w:r>
    </w:p>
    <w:p w:rsidR="00CD2A94" w:rsidRPr="002D63E4" w:rsidRDefault="00CD2A94" w:rsidP="006A77BB">
      <w:pPr>
        <w:pStyle w:val="BodyText"/>
      </w:pPr>
      <w:r w:rsidRPr="002D63E4">
        <w:t>This annual report shows the ways in which the QSA</w:t>
      </w:r>
      <w:r w:rsidR="008C6A52">
        <w:t xml:space="preserve"> </w:t>
      </w:r>
      <w:r w:rsidRPr="002D63E4">
        <w:t>fulfill</w:t>
      </w:r>
      <w:r w:rsidR="002E4F3C">
        <w:t>ed</w:t>
      </w:r>
      <w:r w:rsidRPr="002D63E4">
        <w:t xml:space="preserve"> its role as prescribed by the </w:t>
      </w:r>
      <w:r w:rsidRPr="0049233E">
        <w:rPr>
          <w:rStyle w:val="Emphasis"/>
        </w:rPr>
        <w:t>Education (Queensland Studies Authority) Act 2002</w:t>
      </w:r>
      <w:r w:rsidRPr="002D63E4">
        <w:t>. The report is aimed, in particular, at:</w:t>
      </w:r>
    </w:p>
    <w:p w:rsidR="00CD2A94" w:rsidRPr="00C70157" w:rsidRDefault="00CD2A94" w:rsidP="00C716A9">
      <w:pPr>
        <w:pStyle w:val="ListBullet0"/>
      </w:pPr>
      <w:r w:rsidRPr="00C70157">
        <w:t>school staff</w:t>
      </w:r>
    </w:p>
    <w:p w:rsidR="00CD2A94" w:rsidRPr="00C70157" w:rsidRDefault="00CD2A94" w:rsidP="00C716A9">
      <w:pPr>
        <w:pStyle w:val="ListBullet0"/>
      </w:pPr>
      <w:r w:rsidRPr="00C70157">
        <w:t>parents</w:t>
      </w:r>
    </w:p>
    <w:p w:rsidR="00CD2A94" w:rsidRPr="00C70157" w:rsidRDefault="00CD2A94" w:rsidP="00C716A9">
      <w:pPr>
        <w:pStyle w:val="ListBullet0"/>
      </w:pPr>
      <w:r w:rsidRPr="00C70157">
        <w:t>tertiary institutions</w:t>
      </w:r>
    </w:p>
    <w:p w:rsidR="00CD2A94" w:rsidRPr="00C70157" w:rsidRDefault="00CD2A94" w:rsidP="00C716A9">
      <w:pPr>
        <w:pStyle w:val="ListBullet0"/>
      </w:pPr>
      <w:r w:rsidRPr="00C70157">
        <w:t>unions</w:t>
      </w:r>
    </w:p>
    <w:p w:rsidR="00CD2A94" w:rsidRPr="00C70157" w:rsidRDefault="00CD2A94" w:rsidP="00C716A9">
      <w:pPr>
        <w:pStyle w:val="ListBullet0"/>
      </w:pPr>
      <w:r w:rsidRPr="00C70157">
        <w:t>employers</w:t>
      </w:r>
    </w:p>
    <w:p w:rsidR="00CD2A94" w:rsidRPr="00C70157" w:rsidRDefault="00CD2A94" w:rsidP="00C716A9">
      <w:pPr>
        <w:pStyle w:val="ListBullet0"/>
      </w:pPr>
      <w:proofErr w:type="gramStart"/>
      <w:r w:rsidRPr="00C70157">
        <w:t>the</w:t>
      </w:r>
      <w:proofErr w:type="gramEnd"/>
      <w:r w:rsidRPr="00C70157">
        <w:t xml:space="preserve"> Queensland Government.</w:t>
      </w:r>
    </w:p>
    <w:p w:rsidR="00CD2A94" w:rsidRDefault="00CD2A94" w:rsidP="001A2F8B">
      <w:pPr>
        <w:pStyle w:val="Heading3"/>
      </w:pPr>
      <w:r>
        <w:t>Report access</w:t>
      </w:r>
    </w:p>
    <w:p w:rsidR="00CD2A94" w:rsidRPr="002D63E4" w:rsidRDefault="004C1296" w:rsidP="006A77BB">
      <w:pPr>
        <w:pStyle w:val="BodyText"/>
      </w:pPr>
      <w:r>
        <w:t xml:space="preserve">This report </w:t>
      </w:r>
      <w:r w:rsidR="00CD2A94" w:rsidRPr="002D63E4">
        <w:t xml:space="preserve">is </w:t>
      </w:r>
      <w:r>
        <w:t>available</w:t>
      </w:r>
      <w:r w:rsidR="00DA7DC4">
        <w:t xml:space="preserve"> </w:t>
      </w:r>
      <w:r>
        <w:t>on</w:t>
      </w:r>
      <w:r w:rsidR="00DA7DC4">
        <w:t xml:space="preserve"> the </w:t>
      </w:r>
      <w:r w:rsidR="002E4F3C">
        <w:t xml:space="preserve">QCAA </w:t>
      </w:r>
      <w:r>
        <w:t>website</w:t>
      </w:r>
      <w:r w:rsidR="00DA7DC4">
        <w:t xml:space="preserve"> </w:t>
      </w:r>
      <w:hyperlink r:id="rId27" w:history="1">
        <w:r w:rsidR="002E4F3C" w:rsidRPr="002E4F3C">
          <w:rPr>
            <w:rStyle w:val="Hyperlink"/>
          </w:rPr>
          <w:t>www.qcaa.qld.edu.au/624.html</w:t>
        </w:r>
      </w:hyperlink>
      <w:r w:rsidR="00DA7DC4">
        <w:t>,</w:t>
      </w:r>
      <w:r w:rsidR="00726271">
        <w:t xml:space="preserve"> or</w:t>
      </w:r>
      <w:r w:rsidR="00CD2A94" w:rsidRPr="002D63E4">
        <w:t xml:space="preserve"> by contacting the Q</w:t>
      </w:r>
      <w:r w:rsidR="002E4F3C">
        <w:t>CA</w:t>
      </w:r>
      <w:r w:rsidR="00CD2A94" w:rsidRPr="002D63E4">
        <w:t>A.</w:t>
      </w:r>
    </w:p>
    <w:p w:rsidR="00CD2A94" w:rsidRPr="003717FB" w:rsidRDefault="00CD2A94" w:rsidP="003717FB">
      <w:pPr>
        <w:pStyle w:val="Heading4"/>
      </w:pPr>
      <w:r w:rsidRPr="003717FB">
        <w:t>Interpreter Service Statement</w:t>
      </w:r>
    </w:p>
    <w:tbl>
      <w:tblPr>
        <w:tblW w:w="0" w:type="auto"/>
        <w:tblCellMar>
          <w:left w:w="0" w:type="dxa"/>
          <w:right w:w="0" w:type="dxa"/>
        </w:tblCellMar>
        <w:tblLook w:val="04A0" w:firstRow="1" w:lastRow="0" w:firstColumn="1" w:lastColumn="0" w:noHBand="0" w:noVBand="1"/>
      </w:tblPr>
      <w:tblGrid>
        <w:gridCol w:w="1202"/>
        <w:gridCol w:w="8364"/>
      </w:tblGrid>
      <w:tr w:rsidR="001A2F8B" w:rsidRPr="006C4289" w:rsidTr="002D3C32">
        <w:tc>
          <w:tcPr>
            <w:tcW w:w="1202" w:type="dxa"/>
            <w:shd w:val="clear" w:color="auto" w:fill="auto"/>
            <w:tcMar>
              <w:left w:w="68" w:type="dxa"/>
              <w:right w:w="68" w:type="dxa"/>
            </w:tcMar>
            <w:vAlign w:val="center"/>
          </w:tcPr>
          <w:p w:rsidR="001A2F8B" w:rsidRPr="006C4289" w:rsidRDefault="002D3C32" w:rsidP="006A77BB">
            <w:pPr>
              <w:pStyle w:val="BodyText"/>
            </w:pPr>
            <w:r>
              <w:rPr>
                <w:noProof/>
              </w:rPr>
              <w:drawing>
                <wp:inline distT="0" distB="0" distL="0" distR="0" wp14:anchorId="68D72BC2" wp14:editId="21B69EB9">
                  <wp:extent cx="666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66750" cy="666750"/>
                          </a:xfrm>
                          <a:prstGeom prst="rect">
                            <a:avLst/>
                          </a:prstGeom>
                          <a:noFill/>
                          <a:ln>
                            <a:noFill/>
                          </a:ln>
                        </pic:spPr>
                      </pic:pic>
                    </a:graphicData>
                  </a:graphic>
                </wp:inline>
              </w:drawing>
            </w:r>
          </w:p>
        </w:tc>
        <w:tc>
          <w:tcPr>
            <w:tcW w:w="8364" w:type="dxa"/>
            <w:shd w:val="clear" w:color="auto" w:fill="auto"/>
            <w:tcMar>
              <w:left w:w="68" w:type="dxa"/>
              <w:right w:w="68" w:type="dxa"/>
            </w:tcMar>
            <w:vAlign w:val="center"/>
          </w:tcPr>
          <w:p w:rsidR="001A2F8B" w:rsidRPr="002D63E4" w:rsidRDefault="001A2F8B" w:rsidP="006A77BB">
            <w:pPr>
              <w:pStyle w:val="BodyText"/>
            </w:pPr>
            <w:r w:rsidRPr="002D63E4">
              <w:t>The Queensland Government is committed to providing accessible services to Queenslanders from all culturally and linguis</w:t>
            </w:r>
            <w:r w:rsidR="0049233E">
              <w:t xml:space="preserve">tically diverse backgrounds. If </w:t>
            </w:r>
            <w:r w:rsidRPr="002D63E4">
              <w:t>you have difficulty in understanding the annual report, you can contact the Q</w:t>
            </w:r>
            <w:r w:rsidR="002E4F3C">
              <w:t>CA</w:t>
            </w:r>
            <w:r w:rsidRPr="002D63E4">
              <w:t>A on (07) 3864 0299 and we will arrange an interpreter to effectively communicate the report to you.</w:t>
            </w:r>
          </w:p>
        </w:tc>
      </w:tr>
    </w:tbl>
    <w:p w:rsidR="002E52F9" w:rsidRDefault="002E52F9" w:rsidP="000C109B">
      <w:pPr>
        <w:pStyle w:val="BodyText"/>
      </w:pPr>
      <w:r>
        <w:br w:type="page"/>
      </w:r>
    </w:p>
    <w:p w:rsidR="001A2F8B" w:rsidRDefault="001A2F8B" w:rsidP="009C3369">
      <w:pPr>
        <w:pStyle w:val="Heading1"/>
      </w:pPr>
      <w:bookmarkStart w:id="8" w:name="_Toc274045235"/>
      <w:bookmarkStart w:id="9" w:name="_Toc300136462"/>
      <w:bookmarkStart w:id="10" w:name="_Ref331756884"/>
      <w:bookmarkStart w:id="11" w:name="_Ref331756901"/>
      <w:bookmarkStart w:id="12" w:name="_Toc362947445"/>
      <w:bookmarkStart w:id="13" w:name="_Toc365984756"/>
      <w:bookmarkStart w:id="14" w:name="_Toc397589519"/>
      <w:r w:rsidRPr="009C3369">
        <w:lastRenderedPageBreak/>
        <w:t>Highlights of 201</w:t>
      </w:r>
      <w:r w:rsidR="002E4F3C" w:rsidRPr="009C3369">
        <w:t>3</w:t>
      </w:r>
      <w:r w:rsidRPr="009C3369">
        <w:t>–1</w:t>
      </w:r>
      <w:bookmarkEnd w:id="8"/>
      <w:bookmarkEnd w:id="9"/>
      <w:r w:rsidR="002E4F3C" w:rsidRPr="009C3369">
        <w:t>4</w:t>
      </w:r>
      <w:bookmarkEnd w:id="10"/>
      <w:bookmarkEnd w:id="11"/>
      <w:bookmarkEnd w:id="12"/>
      <w:bookmarkEnd w:id="13"/>
      <w:bookmarkEnd w:id="14"/>
    </w:p>
    <w:tbl>
      <w:tblPr>
        <w:tblW w:w="9524" w:type="dxa"/>
        <w:tblCellSpacing w:w="85" w:type="dxa"/>
        <w:tblInd w:w="113" w:type="dxa"/>
        <w:tblLayout w:type="fixed"/>
        <w:tblCellMar>
          <w:top w:w="113" w:type="dxa"/>
          <w:left w:w="113" w:type="dxa"/>
          <w:bottom w:w="113" w:type="dxa"/>
          <w:right w:w="113" w:type="dxa"/>
        </w:tblCellMar>
        <w:tblLook w:val="01E0" w:firstRow="1" w:lastRow="1" w:firstColumn="1" w:lastColumn="1" w:noHBand="0" w:noVBand="0"/>
      </w:tblPr>
      <w:tblGrid>
        <w:gridCol w:w="3174"/>
        <w:gridCol w:w="3175"/>
        <w:gridCol w:w="3175"/>
      </w:tblGrid>
      <w:tr w:rsidR="001A2F8B" w:rsidRPr="006C4289" w:rsidTr="00B13F29">
        <w:trPr>
          <w:trHeight w:val="1160"/>
          <w:tblCellSpacing w:w="85" w:type="dxa"/>
        </w:trPr>
        <w:tc>
          <w:tcPr>
            <w:tcW w:w="2919" w:type="dxa"/>
            <w:shd w:val="clear" w:color="auto" w:fill="D9D9D9"/>
            <w:tcMar>
              <w:left w:w="68" w:type="dxa"/>
              <w:right w:w="68" w:type="dxa"/>
            </w:tcMar>
            <w:vAlign w:val="center"/>
          </w:tcPr>
          <w:p w:rsidR="001A2F8B" w:rsidRPr="00911193" w:rsidRDefault="001A2F8B" w:rsidP="009044EE">
            <w:pPr>
              <w:pStyle w:val="Highlightstables"/>
            </w:pPr>
            <w:r w:rsidRPr="00911193">
              <w:t xml:space="preserve">Senior Education Profiles issued to </w:t>
            </w:r>
            <w:r>
              <w:t>48</w:t>
            </w:r>
            <w:r w:rsidR="00051F8E">
              <w:rPr>
                <w:rFonts w:ascii="Arial" w:hAnsi="Arial" w:cs="Arial"/>
              </w:rPr>
              <w:t> </w:t>
            </w:r>
            <w:r w:rsidR="00B72E49">
              <w:t>874</w:t>
            </w:r>
            <w:r w:rsidR="009044EE">
              <w:t xml:space="preserve"> Year 12 </w:t>
            </w:r>
            <w:r w:rsidRPr="00911193">
              <w:t>students</w:t>
            </w:r>
          </w:p>
        </w:tc>
        <w:tc>
          <w:tcPr>
            <w:tcW w:w="3005" w:type="dxa"/>
            <w:shd w:val="clear" w:color="auto" w:fill="D9D9D9"/>
            <w:tcMar>
              <w:left w:w="68" w:type="dxa"/>
              <w:right w:w="68" w:type="dxa"/>
            </w:tcMar>
            <w:vAlign w:val="center"/>
          </w:tcPr>
          <w:p w:rsidR="001A2F8B" w:rsidRPr="00911193" w:rsidRDefault="00282B0E" w:rsidP="009044EE">
            <w:pPr>
              <w:pStyle w:val="Highlightstables"/>
            </w:pPr>
            <w:r w:rsidRPr="001C4A42">
              <w:rPr>
                <w:rFonts w:ascii="MetaBookLF-Italic" w:hAnsi="MetaBookLF-Italic"/>
              </w:rPr>
              <w:t>Australian Curriculum</w:t>
            </w:r>
            <w:r w:rsidR="00975686">
              <w:rPr>
                <w:rFonts w:ascii="MetaBookLF-Italic" w:hAnsi="MetaBookLF-Italic"/>
              </w:rPr>
              <w:t xml:space="preserve">: </w:t>
            </w:r>
            <w:r w:rsidRPr="001C4A42">
              <w:rPr>
                <w:rFonts w:ascii="MetaBookLF-Italic" w:hAnsi="MetaBookLF-Italic"/>
              </w:rPr>
              <w:t>Aligning</w:t>
            </w:r>
            <w:r w:rsidR="009044EE">
              <w:rPr>
                <w:rFonts w:ascii="MetaBookLF-Italic" w:hAnsi="MetaBookLF-Italic"/>
              </w:rPr>
              <w:t> </w:t>
            </w:r>
            <w:r w:rsidRPr="001C4A42">
              <w:rPr>
                <w:rFonts w:ascii="MetaBookLF-Italic" w:hAnsi="MetaBookLF-Italic"/>
              </w:rPr>
              <w:t>Learning Areas</w:t>
            </w:r>
            <w:r w:rsidR="009044EE">
              <w:rPr>
                <w:rFonts w:ascii="MetaBookLF-Italic" w:hAnsi="MetaBookLF-Italic"/>
              </w:rPr>
              <w:br/>
            </w:r>
            <w:r w:rsidR="009044EE" w:rsidRPr="009044EE">
              <w:t>mini-</w:t>
            </w:r>
            <w:r w:rsidR="001A2F8B">
              <w:t>conference</w:t>
            </w:r>
          </w:p>
        </w:tc>
        <w:tc>
          <w:tcPr>
            <w:tcW w:w="2920" w:type="dxa"/>
            <w:shd w:val="clear" w:color="auto" w:fill="D9D9D9"/>
            <w:tcMar>
              <w:left w:w="68" w:type="dxa"/>
              <w:right w:w="68" w:type="dxa"/>
            </w:tcMar>
            <w:vAlign w:val="center"/>
          </w:tcPr>
          <w:p w:rsidR="001A2F8B" w:rsidRPr="00911193" w:rsidRDefault="001A2F8B" w:rsidP="009044EE">
            <w:pPr>
              <w:pStyle w:val="Highlightstables"/>
            </w:pPr>
            <w:r>
              <w:t>Tailored professional development for schools implementing the</w:t>
            </w:r>
            <w:r w:rsidR="009044EE">
              <w:t xml:space="preserve"> </w:t>
            </w:r>
            <w:r w:rsidRPr="00911193">
              <w:t>Australi</w:t>
            </w:r>
            <w:r w:rsidR="009044EE">
              <w:t>an Curriculum</w:t>
            </w:r>
          </w:p>
        </w:tc>
      </w:tr>
      <w:tr w:rsidR="001A2F8B" w:rsidRPr="006C4289" w:rsidTr="00B13F29">
        <w:trPr>
          <w:trHeight w:val="1160"/>
          <w:tblCellSpacing w:w="85" w:type="dxa"/>
        </w:trPr>
        <w:tc>
          <w:tcPr>
            <w:tcW w:w="2919" w:type="dxa"/>
            <w:shd w:val="clear" w:color="auto" w:fill="D9D9D9"/>
            <w:tcMar>
              <w:left w:w="68" w:type="dxa"/>
              <w:right w:w="68" w:type="dxa"/>
            </w:tcMar>
            <w:vAlign w:val="center"/>
          </w:tcPr>
          <w:p w:rsidR="001A2F8B" w:rsidRPr="00911193" w:rsidRDefault="001A2F8B" w:rsidP="00D34CFC">
            <w:pPr>
              <w:pStyle w:val="Highlightstables"/>
            </w:pPr>
            <w:r w:rsidRPr="00911193">
              <w:t>Queensland Certific</w:t>
            </w:r>
            <w:r>
              <w:t xml:space="preserve">ates of Education awarded to </w:t>
            </w:r>
            <w:r>
              <w:br/>
              <w:t>4</w:t>
            </w:r>
            <w:r w:rsidR="00B72E49">
              <w:t>3</w:t>
            </w:r>
            <w:r w:rsidR="00D34CFC">
              <w:t> </w:t>
            </w:r>
            <w:r w:rsidR="00B72E49">
              <w:t>244</w:t>
            </w:r>
            <w:r w:rsidRPr="00911193">
              <w:t xml:space="preserve"> students</w:t>
            </w:r>
          </w:p>
        </w:tc>
        <w:tc>
          <w:tcPr>
            <w:tcW w:w="3005" w:type="dxa"/>
            <w:shd w:val="clear" w:color="auto" w:fill="D9D9D9"/>
            <w:tcMar>
              <w:left w:w="68" w:type="dxa"/>
              <w:right w:w="68" w:type="dxa"/>
            </w:tcMar>
            <w:vAlign w:val="center"/>
          </w:tcPr>
          <w:p w:rsidR="001A2F8B" w:rsidRPr="00911193" w:rsidRDefault="001A2F8B" w:rsidP="00051F8E">
            <w:pPr>
              <w:pStyle w:val="Highlightstables"/>
            </w:pPr>
            <w:r w:rsidRPr="00911193">
              <w:t xml:space="preserve">Administration of </w:t>
            </w:r>
            <w:r w:rsidR="00051F8E">
              <w:br/>
            </w:r>
            <w:r w:rsidRPr="00911193">
              <w:t>201</w:t>
            </w:r>
            <w:r w:rsidR="00282B0E">
              <w:t>4</w:t>
            </w:r>
            <w:r w:rsidRPr="00911193">
              <w:t> NAPLAN</w:t>
            </w:r>
          </w:p>
        </w:tc>
        <w:tc>
          <w:tcPr>
            <w:tcW w:w="2920" w:type="dxa"/>
            <w:shd w:val="clear" w:color="auto" w:fill="D9D9D9"/>
            <w:tcMar>
              <w:left w:w="68" w:type="dxa"/>
              <w:right w:w="68" w:type="dxa"/>
            </w:tcMar>
            <w:vAlign w:val="center"/>
          </w:tcPr>
          <w:p w:rsidR="001A2F8B" w:rsidRPr="00911193" w:rsidRDefault="001A2F8B" w:rsidP="009044EE">
            <w:pPr>
              <w:pStyle w:val="Highlightstables"/>
            </w:pPr>
            <w:r w:rsidRPr="00911193">
              <w:t xml:space="preserve">Moderation of </w:t>
            </w:r>
            <w:r w:rsidR="009044EE">
              <w:t xml:space="preserve">over </w:t>
            </w:r>
            <w:r w:rsidRPr="00911193">
              <w:t>110</w:t>
            </w:r>
            <w:r w:rsidR="00D34CFC">
              <w:rPr>
                <w:rFonts w:ascii="Arial" w:hAnsi="Arial" w:cs="Arial"/>
              </w:rPr>
              <w:t> </w:t>
            </w:r>
            <w:r w:rsidRPr="00911193">
              <w:t>000 senior</w:t>
            </w:r>
            <w:r w:rsidR="009044EE">
              <w:t> </w:t>
            </w:r>
            <w:r w:rsidRPr="00911193">
              <w:t>student assessment</w:t>
            </w:r>
            <w:r w:rsidR="009044EE">
              <w:t> </w:t>
            </w:r>
            <w:r w:rsidRPr="00911193">
              <w:t xml:space="preserve">folios </w:t>
            </w:r>
          </w:p>
        </w:tc>
      </w:tr>
      <w:tr w:rsidR="001A2F8B" w:rsidRPr="006C4289" w:rsidTr="00B13F29">
        <w:trPr>
          <w:trHeight w:val="1160"/>
          <w:tblCellSpacing w:w="85" w:type="dxa"/>
        </w:trPr>
        <w:tc>
          <w:tcPr>
            <w:tcW w:w="2919" w:type="dxa"/>
            <w:shd w:val="clear" w:color="auto" w:fill="D9D9D9"/>
            <w:tcMar>
              <w:left w:w="68" w:type="dxa"/>
              <w:right w:w="68" w:type="dxa"/>
            </w:tcMar>
            <w:vAlign w:val="center"/>
          </w:tcPr>
          <w:p w:rsidR="001A2F8B" w:rsidRPr="00911193" w:rsidRDefault="001A2F8B" w:rsidP="001A2F8B">
            <w:pPr>
              <w:pStyle w:val="Highlightstables"/>
            </w:pPr>
            <w:r w:rsidRPr="00911193">
              <w:t>Public release of 201</w:t>
            </w:r>
            <w:r w:rsidR="00B72E49">
              <w:t>3</w:t>
            </w:r>
            <w:r w:rsidRPr="00911193">
              <w:t xml:space="preserve"> </w:t>
            </w:r>
            <w:r>
              <w:br/>
            </w:r>
            <w:r w:rsidRPr="00587F3E">
              <w:rPr>
                <w:rFonts w:ascii="MetaBookLF-Italic" w:hAnsi="MetaBookLF-Italic"/>
              </w:rPr>
              <w:t>NAPLAN</w:t>
            </w:r>
            <w:r w:rsidRPr="00911193">
              <w:t xml:space="preserve"> and </w:t>
            </w:r>
            <w:r w:rsidRPr="00911193">
              <w:br/>
            </w:r>
            <w:r w:rsidRPr="00587F3E">
              <w:rPr>
                <w:rFonts w:ascii="MetaBookLF-Italic" w:hAnsi="MetaBookLF-Italic"/>
              </w:rPr>
              <w:t>Year 12 outcomes</w:t>
            </w:r>
            <w:r w:rsidRPr="00911193">
              <w:t xml:space="preserve"> reports</w:t>
            </w:r>
          </w:p>
        </w:tc>
        <w:tc>
          <w:tcPr>
            <w:tcW w:w="3005" w:type="dxa"/>
            <w:shd w:val="clear" w:color="auto" w:fill="D9D9D9"/>
            <w:tcMar>
              <w:left w:w="68" w:type="dxa"/>
              <w:right w:w="68" w:type="dxa"/>
            </w:tcMar>
            <w:vAlign w:val="center"/>
          </w:tcPr>
          <w:p w:rsidR="001A2F8B" w:rsidRPr="00911193" w:rsidRDefault="001A2F8B" w:rsidP="00B13F29">
            <w:pPr>
              <w:pStyle w:val="Highlightstables"/>
            </w:pPr>
            <w:r w:rsidRPr="00911193">
              <w:t>Administration of 201</w:t>
            </w:r>
            <w:r w:rsidR="00B72E49">
              <w:t>3</w:t>
            </w:r>
            <w:r w:rsidRPr="00911193">
              <w:t xml:space="preserve"> and</w:t>
            </w:r>
            <w:r w:rsidR="00B13F29">
              <w:t> </w:t>
            </w:r>
            <w:r w:rsidRPr="00911193">
              <w:t>development of 201</w:t>
            </w:r>
            <w:r w:rsidR="00B72E49">
              <w:t>4</w:t>
            </w:r>
            <w:r w:rsidRPr="00911193">
              <w:t xml:space="preserve"> </w:t>
            </w:r>
            <w:r w:rsidRPr="00911193">
              <w:br/>
              <w:t>QCS Test</w:t>
            </w:r>
          </w:p>
        </w:tc>
        <w:tc>
          <w:tcPr>
            <w:tcW w:w="2920" w:type="dxa"/>
            <w:shd w:val="clear" w:color="auto" w:fill="D9D9D9"/>
            <w:tcMar>
              <w:left w:w="68" w:type="dxa"/>
              <w:right w:w="68" w:type="dxa"/>
            </w:tcMar>
            <w:vAlign w:val="center"/>
          </w:tcPr>
          <w:p w:rsidR="001A2F8B" w:rsidRPr="00911193" w:rsidRDefault="009044EE" w:rsidP="009044EE">
            <w:pPr>
              <w:pStyle w:val="Highlightstables"/>
            </w:pPr>
            <w:r>
              <w:t>Delivery of</w:t>
            </w:r>
            <w:r w:rsidR="00CC6E6B">
              <w:t xml:space="preserve"> 175 workshops to</w:t>
            </w:r>
            <w:r>
              <w:t xml:space="preserve"> over </w:t>
            </w:r>
            <w:r w:rsidR="00CC6E6B">
              <w:t>5500 educators</w:t>
            </w:r>
          </w:p>
        </w:tc>
      </w:tr>
    </w:tbl>
    <w:p w:rsidR="00CD2A94" w:rsidRPr="008E479D" w:rsidRDefault="00CD2A94" w:rsidP="000C109B">
      <w:pPr>
        <w:pStyle w:val="BodyText"/>
      </w:pPr>
      <w:r w:rsidRPr="008E479D">
        <w:br w:type="page"/>
      </w:r>
    </w:p>
    <w:p w:rsidR="008C6A52" w:rsidRDefault="007108C5" w:rsidP="00B72E49">
      <w:pPr>
        <w:pStyle w:val="Heading1"/>
      </w:pPr>
      <w:bookmarkStart w:id="15" w:name="_Toc365984757"/>
      <w:bookmarkStart w:id="16" w:name="_Toc397589520"/>
      <w:r w:rsidRPr="00CD2A94">
        <w:lastRenderedPageBreak/>
        <w:t>Chair’s introduction</w:t>
      </w:r>
      <w:bookmarkEnd w:id="15"/>
      <w:bookmarkEnd w:id="16"/>
    </w:p>
    <w:p w:rsidR="008C6A52" w:rsidRDefault="00C47C47" w:rsidP="00DA76B6">
      <w:pPr>
        <w:pStyle w:val="BodyText"/>
      </w:pPr>
      <w:r>
        <w:t xml:space="preserve">In its final year </w:t>
      </w:r>
      <w:r w:rsidR="000C2615">
        <w:t>of operati</w:t>
      </w:r>
      <w:r w:rsidR="008F7332">
        <w:t>o</w:t>
      </w:r>
      <w:r w:rsidR="000C2615">
        <w:t>n, the Queen</w:t>
      </w:r>
      <w:r w:rsidR="00E441EF">
        <w:t>s</w:t>
      </w:r>
      <w:r w:rsidR="000C2615">
        <w:t>land</w:t>
      </w:r>
      <w:r>
        <w:t xml:space="preserve"> Studies A</w:t>
      </w:r>
      <w:r w:rsidR="000C2615">
        <w:t>uthority</w:t>
      </w:r>
      <w:r>
        <w:t xml:space="preserve"> (QSA) successfully delivered its core curriculum and assessment functions</w:t>
      </w:r>
      <w:r w:rsidR="00E441EF">
        <w:t xml:space="preserve"> and supported </w:t>
      </w:r>
      <w:r>
        <w:t>schools to</w:t>
      </w:r>
      <w:r w:rsidR="00D00BAB">
        <w:t xml:space="preserve"> </w:t>
      </w:r>
      <w:r>
        <w:t xml:space="preserve">deliver the best outcomes for students across </w:t>
      </w:r>
      <w:r w:rsidR="008A3A4F">
        <w:t>k</w:t>
      </w:r>
      <w:r>
        <w:t xml:space="preserve">indergarten to Year 12. In the process, it ensured </w:t>
      </w:r>
      <w:r w:rsidRPr="00C47C47">
        <w:t xml:space="preserve">a seamless transition to the </w:t>
      </w:r>
      <w:r>
        <w:t xml:space="preserve">Queensland Curriculum and Assessment Authority </w:t>
      </w:r>
      <w:r w:rsidR="004B520D">
        <w:t>(QCAA) which</w:t>
      </w:r>
      <w:r w:rsidR="009044EE">
        <w:t> </w:t>
      </w:r>
      <w:r w:rsidR="004B520D">
        <w:t>replaced the QSA</w:t>
      </w:r>
      <w:r w:rsidR="00E441EF">
        <w:t xml:space="preserve"> f</w:t>
      </w:r>
      <w:r>
        <w:t>r</w:t>
      </w:r>
      <w:r w:rsidR="00E441EF">
        <w:t>o</w:t>
      </w:r>
      <w:r>
        <w:t>m 1 July 2014.</w:t>
      </w:r>
    </w:p>
    <w:p w:rsidR="008C6A52" w:rsidRDefault="00C47C47" w:rsidP="00DA76B6">
      <w:pPr>
        <w:pStyle w:val="BodyText"/>
      </w:pPr>
      <w:r>
        <w:t>While the establishment of the QCAA is an exciting opportunity for increased engagement with schools and responsiveness to the needs of teachers and students, it is appropriate to acknowledge</w:t>
      </w:r>
      <w:r w:rsidR="00DA76B6" w:rsidRPr="00DA76B6">
        <w:t xml:space="preserve"> the QSA’s</w:t>
      </w:r>
      <w:r w:rsidR="008C6A52">
        <w:t xml:space="preserve"> </w:t>
      </w:r>
      <w:r w:rsidR="00DA76B6" w:rsidRPr="00DA76B6">
        <w:t>many achievements over the past</w:t>
      </w:r>
      <w:r w:rsidR="008C6A52">
        <w:t xml:space="preserve"> </w:t>
      </w:r>
      <w:r w:rsidR="00DA76B6" w:rsidRPr="00DA76B6">
        <w:t>12 years</w:t>
      </w:r>
      <w:r w:rsidR="00E441EF">
        <w:t>.</w:t>
      </w:r>
    </w:p>
    <w:p w:rsidR="008C6A52" w:rsidRDefault="00DA76B6" w:rsidP="00DA76B6">
      <w:pPr>
        <w:pStyle w:val="BodyText"/>
      </w:pPr>
      <w:r w:rsidRPr="00DA76B6">
        <w:t>I believe that the organisation delivered on its vision to provide quality, innovative and future-focused products and services to assist all Queensland educational communities. It was at the forefront of significant initiatives that changed the way curriculum and assessment is delivered in schools and how student achievement is reported. As well as successfully delivering its core functions</w:t>
      </w:r>
      <w:r w:rsidR="00C47C47">
        <w:t>,</w:t>
      </w:r>
      <w:r w:rsidRPr="00DA76B6">
        <w:t xml:space="preserve"> </w:t>
      </w:r>
      <w:r w:rsidR="00083A4B">
        <w:t xml:space="preserve">which included delivering professional development, </w:t>
      </w:r>
      <w:r w:rsidRPr="00DA76B6">
        <w:t xml:space="preserve">overseeing </w:t>
      </w:r>
      <w:r w:rsidR="00240611">
        <w:t>Queensland’s</w:t>
      </w:r>
      <w:r w:rsidRPr="00DA76B6">
        <w:t xml:space="preserve"> system of externally moderated school-based assessment,</w:t>
      </w:r>
      <w:r w:rsidR="00240611" w:rsidRPr="00240611">
        <w:t xml:space="preserve"> </w:t>
      </w:r>
      <w:r w:rsidR="00240611">
        <w:t>conducting the</w:t>
      </w:r>
      <w:r w:rsidR="00240611" w:rsidRPr="00DA76B6">
        <w:t xml:space="preserve"> Q</w:t>
      </w:r>
      <w:r w:rsidR="00240611">
        <w:t xml:space="preserve">ueensland </w:t>
      </w:r>
      <w:r w:rsidR="00240611" w:rsidRPr="00DA76B6">
        <w:t>C</w:t>
      </w:r>
      <w:r w:rsidR="00240611">
        <w:t xml:space="preserve">ore </w:t>
      </w:r>
      <w:r w:rsidR="00240611" w:rsidRPr="00DA76B6">
        <w:t>S</w:t>
      </w:r>
      <w:r w:rsidR="001D0C0C">
        <w:t>kills T</w:t>
      </w:r>
      <w:r w:rsidR="00240611">
        <w:t>est</w:t>
      </w:r>
      <w:r w:rsidR="00083A4B">
        <w:t xml:space="preserve"> and calculating </w:t>
      </w:r>
      <w:r w:rsidR="00083A4B" w:rsidRPr="002D63E4">
        <w:t>Overall Positions (OPs)</w:t>
      </w:r>
      <w:r w:rsidR="00240611">
        <w:t xml:space="preserve">, </w:t>
      </w:r>
      <w:r w:rsidRPr="00DA76B6">
        <w:t>the QSA</w:t>
      </w:r>
      <w:r w:rsidR="008C6A52">
        <w:t xml:space="preserve"> </w:t>
      </w:r>
      <w:r w:rsidRPr="00DA76B6">
        <w:t>developed</w:t>
      </w:r>
      <w:r w:rsidR="00240611">
        <w:t xml:space="preserve"> and implemented</w:t>
      </w:r>
      <w:r w:rsidRPr="00DA76B6">
        <w:t xml:space="preserve"> the:</w:t>
      </w:r>
    </w:p>
    <w:p w:rsidR="00DA76B6" w:rsidRPr="00C7212B" w:rsidRDefault="00DA76B6" w:rsidP="00682196">
      <w:pPr>
        <w:pStyle w:val="ListBullet0"/>
      </w:pPr>
      <w:r w:rsidRPr="00C7212B">
        <w:t xml:space="preserve">Queensland kindergarten </w:t>
      </w:r>
      <w:r w:rsidR="000F5BEB" w:rsidRPr="00C7212B">
        <w:t xml:space="preserve">learning </w:t>
      </w:r>
      <w:r w:rsidRPr="00C7212B">
        <w:t>guideline</w:t>
      </w:r>
    </w:p>
    <w:p w:rsidR="00DA76B6" w:rsidRPr="00C7212B" w:rsidRDefault="00DA76B6" w:rsidP="00682196">
      <w:pPr>
        <w:pStyle w:val="ListBullet0"/>
      </w:pPr>
      <w:r w:rsidRPr="00C7212B">
        <w:t>Early Years Curriculum Guidelines</w:t>
      </w:r>
    </w:p>
    <w:p w:rsidR="008C6A52" w:rsidRPr="00C7212B" w:rsidRDefault="00DA76B6" w:rsidP="00682196">
      <w:pPr>
        <w:pStyle w:val="ListBullet0"/>
      </w:pPr>
      <w:r w:rsidRPr="00C7212B">
        <w:t>Queensland Curriculum, Assessment and Reporting Framework</w:t>
      </w:r>
    </w:p>
    <w:p w:rsidR="008C6A52" w:rsidRDefault="00DA76B6" w:rsidP="00682196">
      <w:pPr>
        <w:pStyle w:val="ListBullet0"/>
      </w:pPr>
      <w:r w:rsidRPr="00DA76B6">
        <w:t>Queensland Certificate of Education</w:t>
      </w:r>
    </w:p>
    <w:p w:rsidR="00DA76B6" w:rsidRPr="00DA76B6" w:rsidRDefault="00DA76B6" w:rsidP="00682196">
      <w:pPr>
        <w:pStyle w:val="ListBullet0"/>
      </w:pPr>
      <w:r w:rsidRPr="00DA76B6">
        <w:t>Queensland Certificate of Individual Achievement.</w:t>
      </w:r>
    </w:p>
    <w:p w:rsidR="00DA41FE" w:rsidRDefault="00DA76B6" w:rsidP="00DA76B6">
      <w:pPr>
        <w:pStyle w:val="BodyText"/>
      </w:pPr>
      <w:r w:rsidRPr="00DA76B6">
        <w:t xml:space="preserve">Additionally, the QSA </w:t>
      </w:r>
      <w:r w:rsidR="005917DD">
        <w:t>contributed to</w:t>
      </w:r>
      <w:r w:rsidRPr="00DA76B6">
        <w:t xml:space="preserve"> the successful implementation of national projects through its administration of NAPLAN and </w:t>
      </w:r>
      <w:r w:rsidR="000F5BEB">
        <w:t xml:space="preserve">provision of </w:t>
      </w:r>
      <w:r w:rsidRPr="00DA76B6">
        <w:t xml:space="preserve">resources to support schools to transition to </w:t>
      </w:r>
      <w:r w:rsidR="005917DD">
        <w:t>the Australian Curriculum. And i</w:t>
      </w:r>
      <w:r w:rsidRPr="00DA76B6">
        <w:t>n</w:t>
      </w:r>
      <w:r w:rsidR="005917DD">
        <w:t> </w:t>
      </w:r>
      <w:r w:rsidRPr="00DA76B6">
        <w:t xml:space="preserve">all its work across </w:t>
      </w:r>
      <w:r w:rsidR="008A3A4F">
        <w:t>kindergarten to Year 12</w:t>
      </w:r>
      <w:r w:rsidRPr="00DA76B6">
        <w:t>, the QSA recognised the importance of incorporating Aboriginal and Torres Strait Islander perspectives.</w:t>
      </w:r>
      <w:r w:rsidR="00B01BB1">
        <w:t xml:space="preserve"> I sincerely thank</w:t>
      </w:r>
      <w:r w:rsidR="00DA41FE" w:rsidRPr="00DA41FE">
        <w:t xml:space="preserve"> the dedicated staff of the QSA for their contribution </w:t>
      </w:r>
      <w:r w:rsidR="00B01BB1">
        <w:t>to</w:t>
      </w:r>
      <w:r w:rsidR="00DA41FE" w:rsidRPr="00DA41FE">
        <w:t xml:space="preserve"> the </w:t>
      </w:r>
      <w:r w:rsidR="00DA41FE">
        <w:t>education of young people</w:t>
      </w:r>
      <w:r w:rsidR="00B01BB1">
        <w:t xml:space="preserve"> in our State</w:t>
      </w:r>
      <w:r w:rsidR="00DA41FE">
        <w:t>.</w:t>
      </w:r>
    </w:p>
    <w:p w:rsidR="00DA76B6" w:rsidRPr="00DA76B6" w:rsidRDefault="00E441EF" w:rsidP="00DA76B6">
      <w:pPr>
        <w:pStyle w:val="BodyText"/>
      </w:pPr>
      <w:r>
        <w:t xml:space="preserve">Finally, I wish to pay tribute to the many people who </w:t>
      </w:r>
      <w:r w:rsidR="00DA41FE">
        <w:t>so generously shared their professional expertise while serving</w:t>
      </w:r>
      <w:r>
        <w:t xml:space="preserve"> on the QSA Governing Body and representative committees. Their support, guidance </w:t>
      </w:r>
      <w:r w:rsidR="00864BBF">
        <w:t xml:space="preserve">and </w:t>
      </w:r>
      <w:r>
        <w:t xml:space="preserve">policy advice made a major contribution to the quality education </w:t>
      </w:r>
      <w:r w:rsidR="00864BBF">
        <w:t xml:space="preserve">that is </w:t>
      </w:r>
      <w:r>
        <w:t>delivered in schools throughout Queensland.</w:t>
      </w:r>
    </w:p>
    <w:p w:rsidR="00370BED" w:rsidRDefault="005A4557" w:rsidP="005A4557">
      <w:pPr>
        <w:pStyle w:val="BodyText"/>
        <w:spacing w:before="360"/>
        <w:rPr>
          <w:rStyle w:val="emphasisbold"/>
        </w:rPr>
      </w:pPr>
      <w:r>
        <w:rPr>
          <w:b/>
          <w:noProof/>
        </w:rPr>
        <w:drawing>
          <wp:inline distT="0" distB="0" distL="0" distR="0">
            <wp:extent cx="2607564" cy="74980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sa Jeffcoat V1 - preferred signature.tif"/>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2607564" cy="749808"/>
                    </a:xfrm>
                    <a:prstGeom prst="rect">
                      <a:avLst/>
                    </a:prstGeom>
                  </pic:spPr>
                </pic:pic>
              </a:graphicData>
            </a:graphic>
          </wp:inline>
        </w:drawing>
      </w:r>
    </w:p>
    <w:p w:rsidR="009446AC" w:rsidRDefault="007108C5" w:rsidP="000C109B">
      <w:pPr>
        <w:pStyle w:val="BodyText"/>
        <w:rPr>
          <w:rStyle w:val="emphasisbold"/>
        </w:rPr>
      </w:pPr>
      <w:r w:rsidRPr="00B13F29">
        <w:rPr>
          <w:rStyle w:val="emphasisbold"/>
        </w:rPr>
        <w:t>Chair</w:t>
      </w:r>
      <w:r w:rsidR="001C6E03">
        <w:rPr>
          <w:rStyle w:val="emphasisbold"/>
        </w:rPr>
        <w:br/>
      </w:r>
      <w:r w:rsidRPr="00B13F29">
        <w:rPr>
          <w:rStyle w:val="emphasisbold"/>
        </w:rPr>
        <w:t>Queensland Studies Authority</w:t>
      </w:r>
      <w:r w:rsidR="00ED3B32">
        <w:rPr>
          <w:rStyle w:val="emphasisbold"/>
        </w:rPr>
        <w:t xml:space="preserve"> </w:t>
      </w:r>
      <w:r w:rsidR="001E2E23">
        <w:rPr>
          <w:rStyle w:val="emphasisbold"/>
        </w:rPr>
        <w:br/>
      </w:r>
      <w:r w:rsidR="001E2E23" w:rsidRPr="00370BED">
        <w:rPr>
          <w:rStyle w:val="emphasisbolditalic"/>
        </w:rPr>
        <w:t>(21 November 2013 – 30 June 2014)</w:t>
      </w:r>
      <w:r w:rsidR="001E2E23">
        <w:rPr>
          <w:rStyle w:val="emphasisbold"/>
        </w:rPr>
        <w:t xml:space="preserve"> </w:t>
      </w:r>
      <w:r w:rsidR="009446AC">
        <w:rPr>
          <w:rStyle w:val="emphasisbold"/>
        </w:rPr>
        <w:br w:type="page"/>
      </w:r>
    </w:p>
    <w:p w:rsidR="004E2D68" w:rsidRDefault="001A2F8B" w:rsidP="001A2F8B">
      <w:pPr>
        <w:pStyle w:val="Heading1"/>
      </w:pPr>
      <w:bookmarkStart w:id="17" w:name="_Toc365984758"/>
      <w:bookmarkStart w:id="18" w:name="_Toc397589521"/>
      <w:r w:rsidRPr="001A2F8B">
        <w:lastRenderedPageBreak/>
        <w:t>Financial snapshot 201</w:t>
      </w:r>
      <w:r w:rsidR="009446AC">
        <w:t>3</w:t>
      </w:r>
      <w:r w:rsidRPr="001A2F8B">
        <w:t>–1</w:t>
      </w:r>
      <w:r w:rsidR="009446AC">
        <w:t>4</w:t>
      </w:r>
      <w:bookmarkEnd w:id="17"/>
      <w:bookmarkEnd w:id="18"/>
    </w:p>
    <w:p w:rsidR="004E2D68" w:rsidRPr="002D63E4" w:rsidRDefault="001A2F8B" w:rsidP="006A77BB">
      <w:pPr>
        <w:pStyle w:val="BodyText"/>
      </w:pPr>
      <w:r w:rsidRPr="002D63E4">
        <w:t>In 201</w:t>
      </w:r>
      <w:r w:rsidR="009446AC">
        <w:t>3</w:t>
      </w:r>
      <w:r w:rsidRPr="002D63E4">
        <w:t>–1</w:t>
      </w:r>
      <w:r w:rsidR="009446AC">
        <w:t>4</w:t>
      </w:r>
      <w:r w:rsidRPr="002D63E4">
        <w:t>, the QSA r</w:t>
      </w:r>
      <w:r w:rsidRPr="007E26FB">
        <w:t>eceived $</w:t>
      </w:r>
      <w:r w:rsidR="006901A8">
        <w:t>37</w:t>
      </w:r>
      <w:r w:rsidR="00012ABC" w:rsidRPr="006901A8">
        <w:rPr>
          <w:rFonts w:ascii="Times New Roman" w:hAnsi="Times New Roman"/>
        </w:rPr>
        <w:t> </w:t>
      </w:r>
      <w:r w:rsidR="006901A8">
        <w:t>233</w:t>
      </w:r>
      <w:r w:rsidRPr="007E26FB">
        <w:t xml:space="preserve"> million</w:t>
      </w:r>
      <w:r w:rsidRPr="002D63E4">
        <w:t xml:space="preserve"> in grant revenue from the Department of Education, Training and Employment (DETE) and rais</w:t>
      </w:r>
      <w:r w:rsidRPr="004268A7">
        <w:t xml:space="preserve">ed </w:t>
      </w:r>
      <w:r w:rsidR="004268A7" w:rsidRPr="004268A7">
        <w:t>$</w:t>
      </w:r>
      <w:r w:rsidR="006901A8">
        <w:t>2</w:t>
      </w:r>
      <w:r w:rsidR="00012ABC" w:rsidRPr="006901A8">
        <w:rPr>
          <w:rFonts w:ascii="Times New Roman" w:hAnsi="Times New Roman"/>
        </w:rPr>
        <w:t> </w:t>
      </w:r>
      <w:r w:rsidR="006901A8">
        <w:t>277</w:t>
      </w:r>
      <w:r w:rsidRPr="004268A7">
        <w:t xml:space="preserve"> m</w:t>
      </w:r>
      <w:r w:rsidRPr="002D63E4">
        <w:t xml:space="preserve">illion from the curriculum and professional development products and services it delivered to approximately 1800 state </w:t>
      </w:r>
      <w:r w:rsidR="000B6ECF" w:rsidRPr="002D63E4">
        <w:t>and non-</w:t>
      </w:r>
      <w:r w:rsidRPr="002D63E4">
        <w:t>state schools.</w:t>
      </w:r>
    </w:p>
    <w:p w:rsidR="004E2D68" w:rsidRDefault="001A2F8B" w:rsidP="00CD06CF">
      <w:pPr>
        <w:pStyle w:val="Caption"/>
      </w:pPr>
      <w:r w:rsidRPr="001A2F8B">
        <w:t>Table 1</w:t>
      </w:r>
      <w:r w:rsidR="00811F32">
        <w:t xml:space="preserve">: </w:t>
      </w:r>
      <w:r w:rsidRPr="001A2F8B">
        <w:t>Summary of QSA finances 201</w:t>
      </w:r>
      <w:r w:rsidR="009446AC">
        <w:t>3</w:t>
      </w:r>
      <w:r w:rsidRPr="001A2F8B">
        <w:t>–1</w:t>
      </w:r>
      <w:r w:rsidR="009446AC">
        <w:t>4</w:t>
      </w:r>
    </w:p>
    <w:tbl>
      <w:tblPr>
        <w:tblW w:w="4900" w:type="pct"/>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2671"/>
        <w:gridCol w:w="1375"/>
        <w:gridCol w:w="1375"/>
        <w:gridCol w:w="1375"/>
        <w:gridCol w:w="1375"/>
        <w:gridCol w:w="1375"/>
      </w:tblGrid>
      <w:tr w:rsidR="001A2F8B" w:rsidRPr="00587F3E" w:rsidTr="001A2F8B">
        <w:trPr>
          <w:tblHeader/>
        </w:trPr>
        <w:tc>
          <w:tcPr>
            <w:tcW w:w="2546" w:type="dxa"/>
            <w:vMerge w:val="restart"/>
            <w:tcBorders>
              <w:top w:val="nil"/>
              <w:left w:val="nil"/>
              <w:bottom w:val="single" w:sz="4" w:space="0" w:color="auto"/>
              <w:right w:val="single" w:sz="4" w:space="0" w:color="auto"/>
            </w:tcBorders>
            <w:shd w:val="clear" w:color="auto" w:fill="auto"/>
          </w:tcPr>
          <w:p w:rsidR="001A2F8B" w:rsidRPr="00587F3E" w:rsidRDefault="001A2F8B" w:rsidP="000C109B">
            <w:pPr>
              <w:pStyle w:val="BodyText"/>
            </w:pPr>
          </w:p>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BC5554" w:rsidRDefault="0066080B" w:rsidP="001A2F8B">
            <w:pPr>
              <w:pStyle w:val="Tablehead"/>
              <w:tabs>
                <w:tab w:val="left" w:pos="882"/>
              </w:tabs>
              <w:ind w:right="114"/>
              <w:jc w:val="right"/>
              <w:rPr>
                <w:sz w:val="20"/>
                <w:szCs w:val="20"/>
              </w:rPr>
            </w:pPr>
            <w:r w:rsidRPr="00BC5554">
              <w:rPr>
                <w:sz w:val="20"/>
                <w:szCs w:val="20"/>
              </w:rPr>
              <w:t>2013–14</w:t>
            </w:r>
          </w:p>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BC5554" w:rsidRDefault="0066080B" w:rsidP="001A2F8B">
            <w:pPr>
              <w:pStyle w:val="Tablehead"/>
              <w:tabs>
                <w:tab w:val="left" w:pos="882"/>
              </w:tabs>
              <w:ind w:right="114"/>
              <w:jc w:val="right"/>
              <w:rPr>
                <w:sz w:val="20"/>
                <w:szCs w:val="20"/>
              </w:rPr>
            </w:pPr>
            <w:r w:rsidRPr="00BC5554">
              <w:rPr>
                <w:sz w:val="20"/>
                <w:szCs w:val="20"/>
              </w:rPr>
              <w:t>2012–13</w:t>
            </w:r>
          </w:p>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BC5554" w:rsidRDefault="00813CC2" w:rsidP="001A2F8B">
            <w:pPr>
              <w:pStyle w:val="Tablehead"/>
              <w:tabs>
                <w:tab w:val="left" w:pos="882"/>
              </w:tabs>
              <w:ind w:right="114"/>
              <w:jc w:val="right"/>
              <w:rPr>
                <w:sz w:val="20"/>
                <w:szCs w:val="20"/>
              </w:rPr>
            </w:pPr>
            <w:r w:rsidRPr="00BC5554">
              <w:rPr>
                <w:sz w:val="20"/>
                <w:szCs w:val="20"/>
              </w:rPr>
              <w:t>2011–12</w:t>
            </w:r>
          </w:p>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BC5554" w:rsidRDefault="009446AC" w:rsidP="001A2F8B">
            <w:pPr>
              <w:pStyle w:val="Tablehead"/>
              <w:tabs>
                <w:tab w:val="left" w:pos="882"/>
              </w:tabs>
              <w:ind w:right="114"/>
              <w:jc w:val="right"/>
              <w:rPr>
                <w:sz w:val="20"/>
                <w:szCs w:val="20"/>
              </w:rPr>
            </w:pPr>
            <w:r w:rsidRPr="00BC5554">
              <w:rPr>
                <w:sz w:val="20"/>
                <w:szCs w:val="20"/>
              </w:rPr>
              <w:t>2010–11</w:t>
            </w:r>
          </w:p>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BC5554" w:rsidRDefault="009446AC" w:rsidP="001A2F8B">
            <w:pPr>
              <w:pStyle w:val="Tablehead"/>
              <w:tabs>
                <w:tab w:val="left" w:pos="882"/>
              </w:tabs>
              <w:ind w:right="114"/>
              <w:jc w:val="right"/>
              <w:rPr>
                <w:sz w:val="20"/>
                <w:szCs w:val="20"/>
              </w:rPr>
            </w:pPr>
            <w:r w:rsidRPr="00BC5554">
              <w:rPr>
                <w:sz w:val="20"/>
                <w:szCs w:val="20"/>
              </w:rPr>
              <w:t>2009–10</w:t>
            </w:r>
          </w:p>
        </w:tc>
      </w:tr>
      <w:tr w:rsidR="001A2F8B" w:rsidRPr="00587F3E" w:rsidTr="00026433">
        <w:tc>
          <w:tcPr>
            <w:tcW w:w="2546" w:type="dxa"/>
            <w:vMerge/>
            <w:tcBorders>
              <w:top w:val="single" w:sz="4" w:space="0" w:color="auto"/>
              <w:left w:val="nil"/>
              <w:bottom w:val="single" w:sz="4" w:space="0" w:color="auto"/>
              <w:right w:val="single" w:sz="4" w:space="0" w:color="auto"/>
            </w:tcBorders>
            <w:shd w:val="clear" w:color="auto" w:fill="auto"/>
          </w:tcPr>
          <w:p w:rsidR="001A2F8B" w:rsidRPr="00587F3E" w:rsidRDefault="001A2F8B" w:rsidP="001A2F8B">
            <w:pPr>
              <w:rPr>
                <w:rFonts w:ascii="MetaBookLF-Roman" w:hAnsi="MetaBookLF-Roman"/>
              </w:rPr>
            </w:pP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BC5554" w:rsidRDefault="001A2F8B" w:rsidP="00026433">
            <w:pPr>
              <w:pStyle w:val="BodyText"/>
              <w:ind w:right="57"/>
              <w:jc w:val="right"/>
              <w:rPr>
                <w:sz w:val="20"/>
                <w:szCs w:val="20"/>
              </w:rPr>
            </w:pPr>
            <w:r w:rsidRPr="00BC5554">
              <w:rPr>
                <w:rFonts w:ascii="MetaBookLF-Roman" w:hAnsi="MetaBookLF-Roman"/>
                <w:sz w:val="20"/>
                <w:szCs w:val="20"/>
              </w:rPr>
              <w:t>$(000)</w:t>
            </w: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BC5554" w:rsidRDefault="001A2F8B" w:rsidP="00026433">
            <w:pPr>
              <w:pStyle w:val="BodyText"/>
              <w:ind w:right="57"/>
              <w:jc w:val="right"/>
              <w:rPr>
                <w:sz w:val="20"/>
                <w:szCs w:val="20"/>
              </w:rPr>
            </w:pPr>
            <w:r w:rsidRPr="00BC5554">
              <w:rPr>
                <w:rFonts w:ascii="MetaBookLF-Roman" w:hAnsi="MetaBookLF-Roman"/>
                <w:sz w:val="20"/>
                <w:szCs w:val="20"/>
              </w:rPr>
              <w:t>$(000)</w:t>
            </w: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BC5554" w:rsidRDefault="001A2F8B" w:rsidP="00026433">
            <w:pPr>
              <w:pStyle w:val="BodyText"/>
              <w:ind w:right="57"/>
              <w:jc w:val="right"/>
              <w:rPr>
                <w:sz w:val="20"/>
                <w:szCs w:val="20"/>
              </w:rPr>
            </w:pPr>
            <w:r w:rsidRPr="00BC5554">
              <w:rPr>
                <w:rFonts w:ascii="MetaBookLF-Roman" w:hAnsi="MetaBookLF-Roman"/>
                <w:sz w:val="20"/>
                <w:szCs w:val="20"/>
              </w:rPr>
              <w:t>$(000)</w:t>
            </w: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BC5554" w:rsidRDefault="001A2F8B" w:rsidP="00026433">
            <w:pPr>
              <w:pStyle w:val="BodyText"/>
              <w:ind w:right="57"/>
              <w:jc w:val="right"/>
              <w:rPr>
                <w:sz w:val="20"/>
                <w:szCs w:val="20"/>
              </w:rPr>
            </w:pPr>
            <w:r w:rsidRPr="00BC5554">
              <w:rPr>
                <w:rFonts w:ascii="MetaBookLF-Roman" w:hAnsi="MetaBookLF-Roman"/>
                <w:sz w:val="20"/>
                <w:szCs w:val="20"/>
              </w:rPr>
              <w:t>$(000)</w:t>
            </w: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BC5554" w:rsidRDefault="001A2F8B" w:rsidP="00026433">
            <w:pPr>
              <w:pStyle w:val="BodyText"/>
              <w:ind w:right="57"/>
              <w:jc w:val="right"/>
              <w:rPr>
                <w:sz w:val="20"/>
                <w:szCs w:val="20"/>
              </w:rPr>
            </w:pPr>
            <w:r w:rsidRPr="00BC5554">
              <w:rPr>
                <w:rFonts w:ascii="MetaBookLF-Roman" w:hAnsi="MetaBookLF-Roman"/>
                <w:sz w:val="20"/>
                <w:szCs w:val="20"/>
              </w:rPr>
              <w:t>$(000)</w:t>
            </w:r>
          </w:p>
        </w:tc>
      </w:tr>
      <w:tr w:rsidR="001A2F8B" w:rsidRPr="00587F3E" w:rsidTr="001A2F8B">
        <w:tc>
          <w:tcPr>
            <w:tcW w:w="910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0C109B">
            <w:pPr>
              <w:pStyle w:val="BodyText"/>
            </w:pPr>
            <w:r w:rsidRPr="00587F3E">
              <w:rPr>
                <w:rFonts w:ascii="MetaBookLF-Roman" w:hAnsi="MetaBookLF-Roman"/>
              </w:rPr>
              <w:t>Revenue</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Grant revenue</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424CBE" w:rsidRDefault="00424CBE" w:rsidP="00943831">
            <w:pPr>
              <w:pStyle w:val="TableofFigures"/>
              <w:rPr>
                <w:rFonts w:ascii="MetaBookLF-Roman" w:hAnsi="MetaBookLF-Roman"/>
              </w:rPr>
            </w:pPr>
            <w:r w:rsidRPr="006901A8">
              <w:rPr>
                <w:rFonts w:ascii="MetaBookLF-Roman" w:hAnsi="MetaBookLF-Roman"/>
              </w:rPr>
              <w:t>37 233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38 527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41 223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41 423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38 276</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Other revenue</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424CBE" w:rsidRDefault="00424CBE" w:rsidP="00943831">
            <w:pPr>
              <w:pStyle w:val="TableofFigures"/>
              <w:rPr>
                <w:rFonts w:ascii="MetaBookLF-Roman" w:hAnsi="MetaBookLF-Roman"/>
              </w:rPr>
            </w:pPr>
            <w:r w:rsidRPr="00424CBE">
              <w:rPr>
                <w:rFonts w:ascii="MetaBookLF-Roman" w:hAnsi="MetaBookLF-Roman"/>
              </w:rPr>
              <w:t>2 277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2 760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3 259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3 963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3 653</w:t>
            </w:r>
          </w:p>
        </w:tc>
      </w:tr>
      <w:tr w:rsidR="001A2F8B" w:rsidRPr="00587F3E" w:rsidTr="001A2F8B">
        <w:tc>
          <w:tcPr>
            <w:tcW w:w="910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0C109B">
            <w:pPr>
              <w:pStyle w:val="BodyText"/>
            </w:pPr>
            <w:r w:rsidRPr="00587F3E">
              <w:rPr>
                <w:rFonts w:ascii="MetaBookLF-Roman" w:hAnsi="MetaBookLF-Roman"/>
              </w:rPr>
              <w:t>Expenses</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Employee expenses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24CBE" w:rsidP="00943831">
            <w:pPr>
              <w:pStyle w:val="TableofFigures"/>
              <w:rPr>
                <w:rFonts w:ascii="MetaBookLF-Roman" w:hAnsi="MetaBookLF-Roman"/>
              </w:rPr>
            </w:pPr>
            <w:r w:rsidRPr="00424CBE">
              <w:rPr>
                <w:rFonts w:ascii="MetaBookLF-Roman" w:hAnsi="MetaBookLF-Roman"/>
              </w:rPr>
              <w:t>25 982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26 906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29 033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28 804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26 636</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Other expenses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24CBE" w:rsidP="00943831">
            <w:pPr>
              <w:pStyle w:val="TableofFigures"/>
              <w:rPr>
                <w:rFonts w:ascii="MetaBookLF-Roman" w:hAnsi="MetaBookLF-Roman"/>
              </w:rPr>
            </w:pPr>
            <w:r w:rsidRPr="00424CBE">
              <w:rPr>
                <w:rFonts w:ascii="MetaBookLF-Roman" w:hAnsi="MetaBookLF-Roman"/>
              </w:rPr>
              <w:t>13 499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14 108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14 924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16 579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16 182</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Operating surplus/(deficit)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24CBE" w:rsidP="00943831">
            <w:pPr>
              <w:pStyle w:val="TableofFigures"/>
              <w:rPr>
                <w:rFonts w:ascii="MetaBookLF-Roman" w:hAnsi="MetaBookLF-Roman"/>
              </w:rPr>
            </w:pPr>
            <w:r w:rsidRPr="00424CBE">
              <w:rPr>
                <w:rFonts w:ascii="MetaBookLF-Roman" w:hAnsi="MetaBookLF-Roman"/>
              </w:rPr>
              <w:t>29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273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525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BC5554">
            <w:pPr>
              <w:pStyle w:val="TableofFigures"/>
              <w:ind w:right="57"/>
              <w:rPr>
                <w:rFonts w:ascii="MetaBookLF-Roman" w:hAnsi="MetaBookLF-Roman"/>
              </w:rPr>
            </w:pPr>
            <w:r w:rsidRPr="009446AC">
              <w:rPr>
                <w:rFonts w:ascii="MetaBookLF-Roman" w:hAnsi="MetaBookLF-Roman"/>
              </w:rPr>
              <w:t>(889)</w:t>
            </w:r>
          </w:p>
        </w:tc>
      </w:tr>
      <w:tr w:rsidR="001A2F8B" w:rsidRPr="00587F3E" w:rsidTr="001A2F8B">
        <w:tc>
          <w:tcPr>
            <w:tcW w:w="910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0C109B">
            <w:pPr>
              <w:pStyle w:val="BodyText"/>
            </w:pPr>
            <w:r w:rsidRPr="00587F3E">
              <w:rPr>
                <w:rFonts w:ascii="MetaBookLF-Roman" w:hAnsi="MetaBookLF-Roman"/>
              </w:rPr>
              <w:t>Capital outlays</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Plant and equipment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24CBE" w:rsidP="00943831">
            <w:pPr>
              <w:pStyle w:val="TableofFigures"/>
              <w:rPr>
                <w:rFonts w:ascii="MetaBookLF-Roman" w:hAnsi="MetaBookLF-Roman"/>
              </w:rPr>
            </w:pPr>
            <w:r w:rsidRPr="00424CBE">
              <w:rPr>
                <w:rFonts w:ascii="MetaBookLF-Roman" w:hAnsi="MetaBookLF-Roman"/>
              </w:rPr>
              <w:t>650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65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107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297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211</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Software</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24CBE" w:rsidP="00943831">
            <w:pPr>
              <w:pStyle w:val="TableofFigures"/>
              <w:rPr>
                <w:rFonts w:ascii="MetaBookLF-Roman" w:hAnsi="MetaBookLF-Roman"/>
              </w:rPr>
            </w:pPr>
            <w:r w:rsidRPr="00424CBE">
              <w:rPr>
                <w:rFonts w:ascii="MetaBookLF-Roman" w:hAnsi="MetaBookLF-Roman"/>
              </w:rPr>
              <w:t>841</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89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182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839</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Total assets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24CBE" w:rsidP="00943831">
            <w:pPr>
              <w:pStyle w:val="TableofFigures"/>
              <w:rPr>
                <w:rFonts w:ascii="MetaBookLF-Roman" w:hAnsi="MetaBookLF-Roman"/>
              </w:rPr>
            </w:pPr>
            <w:r w:rsidRPr="00424CBE">
              <w:rPr>
                <w:rFonts w:ascii="MetaBookLF-Roman" w:hAnsi="MetaBookLF-Roman"/>
              </w:rPr>
              <w:t>18 080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18 125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17 919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17 068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17 823</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Total liabilities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24CBE" w:rsidP="00943831">
            <w:pPr>
              <w:pStyle w:val="TableofFigures"/>
              <w:rPr>
                <w:rFonts w:ascii="MetaBookLF-Roman" w:hAnsi="MetaBookLF-Roman"/>
              </w:rPr>
            </w:pPr>
            <w:r w:rsidRPr="00424CBE">
              <w:rPr>
                <w:rFonts w:ascii="MetaBookLF-Roman" w:hAnsi="MetaBookLF-Roman"/>
              </w:rPr>
              <w:t>5 714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5 788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5 855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5 529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6 287</w:t>
            </w:r>
          </w:p>
        </w:tc>
      </w:tr>
      <w:tr w:rsidR="003C43CF" w:rsidRPr="00587F3E" w:rsidTr="006901A8">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Net assets/(liabilities)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24CBE" w:rsidP="00943831">
            <w:pPr>
              <w:pStyle w:val="TableofFigures"/>
              <w:rPr>
                <w:rFonts w:ascii="MetaBookLF-Roman" w:hAnsi="MetaBookLF-Roman"/>
              </w:rPr>
            </w:pPr>
            <w:r w:rsidRPr="00424CBE">
              <w:rPr>
                <w:rFonts w:ascii="MetaBookLF-Roman" w:hAnsi="MetaBookLF-Roman"/>
              </w:rPr>
              <w:t>12 366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66080B" w:rsidP="00943831">
            <w:pPr>
              <w:pStyle w:val="TableofFigures"/>
              <w:rPr>
                <w:rFonts w:ascii="MetaBookLF-Roman" w:hAnsi="MetaBookLF-Roman"/>
              </w:rPr>
            </w:pPr>
            <w:r w:rsidRPr="0066080B">
              <w:rPr>
                <w:rFonts w:ascii="MetaBookLF-Roman" w:hAnsi="MetaBookLF-Roman"/>
              </w:rPr>
              <w:t>12 337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3F58BE" w:rsidP="00943831">
            <w:pPr>
              <w:pStyle w:val="TableofFigures"/>
              <w:rPr>
                <w:rFonts w:ascii="MetaBookLF-Roman" w:hAnsi="MetaBookLF-Roman"/>
              </w:rPr>
            </w:pPr>
            <w:r w:rsidRPr="003F58BE">
              <w:rPr>
                <w:rFonts w:ascii="MetaBookLF-Roman" w:hAnsi="MetaBookLF-Roman"/>
              </w:rPr>
              <w:t>12 064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11 539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9446AC" w:rsidP="00943831">
            <w:pPr>
              <w:pStyle w:val="TableofFigures"/>
              <w:rPr>
                <w:rFonts w:ascii="MetaBookLF-Roman" w:hAnsi="MetaBookLF-Roman"/>
              </w:rPr>
            </w:pPr>
            <w:r w:rsidRPr="009446AC">
              <w:rPr>
                <w:rFonts w:ascii="MetaBookLF-Roman" w:hAnsi="MetaBookLF-Roman"/>
              </w:rPr>
              <w:t>11 536</w:t>
            </w:r>
          </w:p>
        </w:tc>
      </w:tr>
    </w:tbl>
    <w:p w:rsidR="004E2D68" w:rsidRDefault="001A2F8B" w:rsidP="00CD06CF">
      <w:pPr>
        <w:pStyle w:val="Caption"/>
      </w:pPr>
      <w:r w:rsidRPr="001A2F8B">
        <w:t>Table 2</w:t>
      </w:r>
      <w:r w:rsidR="00811F32">
        <w:t xml:space="preserve">: </w:t>
      </w:r>
      <w:r w:rsidRPr="001A2F8B">
        <w:t>QSA employees 201</w:t>
      </w:r>
      <w:r w:rsidR="004932C6">
        <w:t>3</w:t>
      </w:r>
      <w:r w:rsidRPr="001A2F8B">
        <w:t>–</w:t>
      </w:r>
      <w:r w:rsidR="004932C6" w:rsidRPr="001A2F8B">
        <w:t>1</w:t>
      </w:r>
      <w:r w:rsidR="004932C6">
        <w:t>4</w:t>
      </w:r>
    </w:p>
    <w:tbl>
      <w:tblPr>
        <w:tblW w:w="4900" w:type="pct"/>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2681"/>
        <w:gridCol w:w="1373"/>
        <w:gridCol w:w="1373"/>
        <w:gridCol w:w="1373"/>
        <w:gridCol w:w="1373"/>
        <w:gridCol w:w="1373"/>
      </w:tblGrid>
      <w:tr w:rsidR="00F44113" w:rsidRPr="00C40D3A" w:rsidTr="00F44113">
        <w:trPr>
          <w:tblHeader/>
        </w:trPr>
        <w:tc>
          <w:tcPr>
            <w:tcW w:w="2681" w:type="dxa"/>
            <w:tcBorders>
              <w:top w:val="nil"/>
              <w:left w:val="nil"/>
              <w:bottom w:val="single" w:sz="4" w:space="0" w:color="auto"/>
              <w:right w:val="single" w:sz="4" w:space="0" w:color="auto"/>
            </w:tcBorders>
            <w:shd w:val="clear" w:color="auto" w:fill="auto"/>
          </w:tcPr>
          <w:p w:rsidR="00F44113" w:rsidRPr="00C40D3A" w:rsidRDefault="00F44113" w:rsidP="000C109B">
            <w:pPr>
              <w:pStyle w:val="BodyText"/>
            </w:pP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F44113" w:rsidRPr="00BC5554" w:rsidRDefault="00F44113" w:rsidP="00BC5554">
            <w:pPr>
              <w:pStyle w:val="Tablehead"/>
              <w:tabs>
                <w:tab w:val="left" w:pos="882"/>
              </w:tabs>
              <w:ind w:right="114"/>
              <w:jc w:val="right"/>
              <w:rPr>
                <w:sz w:val="20"/>
                <w:szCs w:val="20"/>
              </w:rPr>
            </w:pPr>
            <w:r w:rsidRPr="00BC5554">
              <w:rPr>
                <w:sz w:val="20"/>
                <w:szCs w:val="20"/>
              </w:rPr>
              <w:t>2013–14</w:t>
            </w: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F44113" w:rsidRPr="00BC5554" w:rsidRDefault="00F44113" w:rsidP="00BC5554">
            <w:pPr>
              <w:pStyle w:val="Tablehead"/>
              <w:tabs>
                <w:tab w:val="left" w:pos="882"/>
              </w:tabs>
              <w:ind w:right="114"/>
              <w:jc w:val="right"/>
              <w:rPr>
                <w:sz w:val="20"/>
                <w:szCs w:val="20"/>
              </w:rPr>
            </w:pPr>
            <w:r w:rsidRPr="00BC5554">
              <w:rPr>
                <w:sz w:val="20"/>
                <w:szCs w:val="20"/>
              </w:rPr>
              <w:t>2012–13</w:t>
            </w: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F44113" w:rsidRPr="00BC5554" w:rsidRDefault="00F44113" w:rsidP="00BC5554">
            <w:pPr>
              <w:pStyle w:val="Tablehead"/>
              <w:tabs>
                <w:tab w:val="left" w:pos="882"/>
              </w:tabs>
              <w:ind w:right="114"/>
              <w:jc w:val="right"/>
              <w:rPr>
                <w:sz w:val="20"/>
                <w:szCs w:val="20"/>
              </w:rPr>
            </w:pPr>
            <w:r w:rsidRPr="00BC5554">
              <w:rPr>
                <w:sz w:val="20"/>
                <w:szCs w:val="20"/>
              </w:rPr>
              <w:t>2011–12</w:t>
            </w: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F44113" w:rsidRPr="00BC5554" w:rsidRDefault="00F44113" w:rsidP="00BC5554">
            <w:pPr>
              <w:pStyle w:val="Tablehead"/>
              <w:tabs>
                <w:tab w:val="left" w:pos="882"/>
              </w:tabs>
              <w:ind w:right="114"/>
              <w:jc w:val="right"/>
              <w:rPr>
                <w:sz w:val="20"/>
                <w:szCs w:val="20"/>
              </w:rPr>
            </w:pPr>
            <w:r w:rsidRPr="00BC5554">
              <w:rPr>
                <w:sz w:val="20"/>
                <w:szCs w:val="20"/>
              </w:rPr>
              <w:t>2010–11</w:t>
            </w: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F44113" w:rsidRPr="00BC5554" w:rsidRDefault="00F44113" w:rsidP="00BC5554">
            <w:pPr>
              <w:pStyle w:val="Tablehead"/>
              <w:tabs>
                <w:tab w:val="left" w:pos="882"/>
              </w:tabs>
              <w:ind w:right="114"/>
              <w:jc w:val="right"/>
              <w:rPr>
                <w:sz w:val="20"/>
                <w:szCs w:val="20"/>
              </w:rPr>
            </w:pPr>
            <w:r w:rsidRPr="00BC5554">
              <w:rPr>
                <w:sz w:val="20"/>
                <w:szCs w:val="20"/>
              </w:rPr>
              <w:t>2009–10</w:t>
            </w:r>
          </w:p>
        </w:tc>
      </w:tr>
      <w:tr w:rsidR="00F44113" w:rsidRPr="00587F3E" w:rsidTr="00F44113">
        <w:tc>
          <w:tcPr>
            <w:tcW w:w="2681" w:type="dxa"/>
            <w:tcBorders>
              <w:top w:val="single" w:sz="4" w:space="0" w:color="auto"/>
              <w:left w:val="single" w:sz="4" w:space="0" w:color="auto"/>
              <w:bottom w:val="single" w:sz="4" w:space="0" w:color="auto"/>
              <w:right w:val="single" w:sz="4" w:space="0" w:color="auto"/>
            </w:tcBorders>
            <w:shd w:val="clear" w:color="auto" w:fill="D9D9D9"/>
            <w:vAlign w:val="center"/>
          </w:tcPr>
          <w:p w:rsidR="00F44113" w:rsidRPr="00587F3E" w:rsidRDefault="00F44113" w:rsidP="000C109B">
            <w:pPr>
              <w:pStyle w:val="BodyText"/>
            </w:pPr>
            <w:r w:rsidRPr="00587F3E">
              <w:rPr>
                <w:rFonts w:ascii="MetaBookLF-Roman" w:hAnsi="MetaBookLF-Roman"/>
                <w:sz w:val="20"/>
                <w:szCs w:val="20"/>
              </w:rPr>
              <w:t xml:space="preserve">Number of employees </w:t>
            </w:r>
            <w:r w:rsidRPr="00587F3E">
              <w:rPr>
                <w:rFonts w:ascii="MetaBookLF-Roman" w:hAnsi="MetaBookLF-Roman"/>
                <w:sz w:val="20"/>
                <w:szCs w:val="20"/>
              </w:rPr>
              <w:br/>
              <w:t>at 30 June 201</w:t>
            </w:r>
            <w:r w:rsidR="004932C6">
              <w:rPr>
                <w:rFonts w:ascii="MetaBookLF-Roman" w:hAnsi="MetaBookLF-Roman"/>
                <w:sz w:val="20"/>
                <w:szCs w:val="20"/>
              </w:rPr>
              <w:t>4</w:t>
            </w:r>
            <w:r>
              <w:rPr>
                <w:rFonts w:ascii="MetaBookLF-Roman" w:hAnsi="MetaBookLF-Roman"/>
                <w:sz w:val="20"/>
                <w:szCs w:val="20"/>
              </w:rPr>
              <w:br/>
            </w:r>
            <w:r w:rsidRPr="00587F3E">
              <w:rPr>
                <w:rFonts w:ascii="MetaBookLF-Roman" w:hAnsi="MetaBookLF-Roman"/>
              </w:rPr>
              <w:t>(full</w:t>
            </w:r>
            <w:r w:rsidRPr="00587F3E">
              <w:rPr>
                <w:rFonts w:ascii="MetaBookLF-Roman" w:eastAsia="MS Mincho" w:hAnsi="MetaBookLF-Roman" w:cs="MS Mincho"/>
              </w:rPr>
              <w:t>-</w:t>
            </w:r>
            <w:r w:rsidRPr="00587F3E">
              <w:rPr>
                <w:rFonts w:ascii="MetaBookLF-Roman" w:hAnsi="MetaBookLF-Roman"/>
              </w:rPr>
              <w:t>time equivalent)</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4113" w:rsidRPr="00587F3E" w:rsidRDefault="00F44113" w:rsidP="00943831">
            <w:pPr>
              <w:pStyle w:val="TableofFigures"/>
              <w:rPr>
                <w:rFonts w:ascii="MetaBookLF-Roman" w:hAnsi="MetaBookLF-Roman"/>
              </w:rPr>
            </w:pPr>
            <w:r w:rsidRPr="00587F3E">
              <w:rPr>
                <w:rFonts w:ascii="MetaBookLF-Roman" w:hAnsi="MetaBookLF-Roman"/>
              </w:rPr>
              <w:t>21</w:t>
            </w:r>
            <w:r>
              <w:rPr>
                <w:rFonts w:ascii="MetaBookLF-Roman" w:hAnsi="MetaBookLF-Roman"/>
              </w:rPr>
              <w:t>3</w:t>
            </w:r>
            <w:r w:rsidR="00240611">
              <w:rPr>
                <w:rFonts w:ascii="MetaBookLF-Roman" w:hAnsi="MetaBookLF-Roman"/>
              </w:rPr>
              <w:t>.0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4113" w:rsidRPr="00587F3E" w:rsidRDefault="00F44113" w:rsidP="00943831">
            <w:pPr>
              <w:pStyle w:val="TableofFigures"/>
              <w:rPr>
                <w:rFonts w:ascii="MetaBookLF-Roman" w:hAnsi="MetaBookLF-Roman"/>
              </w:rPr>
            </w:pPr>
            <w:r w:rsidRPr="00587F3E">
              <w:rPr>
                <w:rFonts w:ascii="MetaBookLF-Roman" w:hAnsi="MetaBookLF-Roman"/>
              </w:rPr>
              <w:t>217</w:t>
            </w:r>
            <w:r w:rsidR="00240611">
              <w:rPr>
                <w:rFonts w:ascii="MetaBookLF-Roman" w:hAnsi="MetaBookLF-Roman"/>
              </w:rPr>
              <w:t>.0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4113" w:rsidRPr="00587F3E" w:rsidRDefault="00F44113" w:rsidP="00943831">
            <w:pPr>
              <w:pStyle w:val="TableofFigures"/>
              <w:rPr>
                <w:rFonts w:ascii="MetaBookLF-Roman" w:hAnsi="MetaBookLF-Roman"/>
              </w:rPr>
            </w:pPr>
            <w:r w:rsidRPr="00587F3E">
              <w:rPr>
                <w:rFonts w:ascii="MetaBookLF-Roman" w:hAnsi="MetaBookLF-Roman"/>
              </w:rPr>
              <w:t>247.2</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4113" w:rsidRPr="00587F3E" w:rsidRDefault="00F44113" w:rsidP="00943831">
            <w:pPr>
              <w:pStyle w:val="TableofFigures"/>
              <w:rPr>
                <w:rFonts w:ascii="MetaBookLF-Roman" w:hAnsi="MetaBookLF-Roman"/>
              </w:rPr>
            </w:pPr>
            <w:r w:rsidRPr="00587F3E">
              <w:rPr>
                <w:rFonts w:ascii="MetaBookLF-Roman" w:hAnsi="MetaBookLF-Roman"/>
              </w:rPr>
              <w:t>248.5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4113" w:rsidRPr="00587F3E" w:rsidRDefault="00F44113" w:rsidP="00943831">
            <w:pPr>
              <w:pStyle w:val="TableofFigures"/>
              <w:rPr>
                <w:rFonts w:ascii="MetaBookLF-Roman" w:hAnsi="MetaBookLF-Roman"/>
              </w:rPr>
            </w:pPr>
            <w:r w:rsidRPr="00587F3E">
              <w:rPr>
                <w:rFonts w:ascii="MetaBookLF-Roman" w:hAnsi="MetaBookLF-Roman"/>
              </w:rPr>
              <w:t>239.8</w:t>
            </w:r>
          </w:p>
        </w:tc>
      </w:tr>
    </w:tbl>
    <w:p w:rsidR="001A2F8B" w:rsidRPr="000A7DE6" w:rsidRDefault="001A2F8B" w:rsidP="000C109B">
      <w:pPr>
        <w:pStyle w:val="BodyText"/>
      </w:pPr>
      <w:r w:rsidRPr="000A7DE6">
        <w:rPr>
          <w:spacing w:val="-1"/>
        </w:rPr>
        <w:t>A comprehensive set of financial statements covering all aspects o</w:t>
      </w:r>
      <w:r w:rsidR="00C7212B">
        <w:rPr>
          <w:spacing w:val="-1"/>
        </w:rPr>
        <w:t>f the QSA’s activities starts on</w:t>
      </w:r>
      <w:r w:rsidRPr="000A7DE6">
        <w:rPr>
          <w:spacing w:val="-1"/>
        </w:rPr>
        <w:t xml:space="preserve"> page</w:t>
      </w:r>
      <w:r w:rsidR="00115A86">
        <w:rPr>
          <w:spacing w:val="-1"/>
        </w:rPr>
        <w:t xml:space="preserve"> </w:t>
      </w:r>
      <w:r w:rsidR="00240611">
        <w:rPr>
          <w:spacing w:val="-1"/>
          <w:highlight w:val="yellow"/>
        </w:rPr>
        <w:fldChar w:fldCharType="begin"/>
      </w:r>
      <w:r w:rsidR="00240611">
        <w:rPr>
          <w:spacing w:val="-1"/>
        </w:rPr>
        <w:instrText xml:space="preserve"> PAGEREF _Ref363040595 \h </w:instrText>
      </w:r>
      <w:r w:rsidR="00240611">
        <w:rPr>
          <w:spacing w:val="-1"/>
          <w:highlight w:val="yellow"/>
        </w:rPr>
      </w:r>
      <w:r w:rsidR="00240611">
        <w:rPr>
          <w:spacing w:val="-1"/>
          <w:highlight w:val="yellow"/>
        </w:rPr>
        <w:fldChar w:fldCharType="separate"/>
      </w:r>
      <w:r w:rsidR="00C41AFC">
        <w:rPr>
          <w:noProof/>
          <w:spacing w:val="-1"/>
        </w:rPr>
        <w:t>19</w:t>
      </w:r>
      <w:r w:rsidR="00240611">
        <w:rPr>
          <w:spacing w:val="-1"/>
          <w:highlight w:val="yellow"/>
        </w:rPr>
        <w:fldChar w:fldCharType="end"/>
      </w:r>
      <w:r w:rsidRPr="000A7DE6">
        <w:rPr>
          <w:spacing w:val="-1"/>
        </w:rPr>
        <w:t xml:space="preserve"> of this report.</w:t>
      </w:r>
      <w:r w:rsidRPr="000A7DE6">
        <w:rPr>
          <w:spacing w:val="-1"/>
        </w:rPr>
        <w:br w:type="page"/>
      </w:r>
    </w:p>
    <w:p w:rsidR="001A2F8B" w:rsidRDefault="001A2F8B" w:rsidP="001A2F8B">
      <w:pPr>
        <w:pStyle w:val="Heading1"/>
      </w:pPr>
      <w:bookmarkStart w:id="19" w:name="_Toc365984759"/>
      <w:bookmarkStart w:id="20" w:name="_Toc397589522"/>
      <w:r>
        <w:lastRenderedPageBreak/>
        <w:t>Constitution, functions &amp; powers</w:t>
      </w:r>
      <w:bookmarkEnd w:id="19"/>
      <w:bookmarkEnd w:id="20"/>
    </w:p>
    <w:p w:rsidR="00B710AF" w:rsidRPr="002D63E4" w:rsidRDefault="00B710AF" w:rsidP="000C109B">
      <w:pPr>
        <w:pStyle w:val="BodyText"/>
        <w:sectPr w:rsidR="00B710AF" w:rsidRPr="002D63E4" w:rsidSect="00FD5F1B">
          <w:headerReference w:type="even" r:id="rId29"/>
          <w:headerReference w:type="default" r:id="rId30"/>
          <w:footerReference w:type="even" r:id="rId31"/>
          <w:footerReference w:type="default" r:id="rId32"/>
          <w:headerReference w:type="first" r:id="rId33"/>
          <w:pgSz w:w="11907" w:h="16840" w:code="9"/>
          <w:pgMar w:top="1134" w:right="1191" w:bottom="1418" w:left="1191" w:header="567" w:footer="680" w:gutter="0"/>
          <w:pgNumType w:start="1"/>
          <w:cols w:space="720"/>
          <w:formProt w:val="0"/>
          <w:noEndnote/>
          <w:docGrid w:linePitch="299"/>
        </w:sectPr>
      </w:pPr>
    </w:p>
    <w:p w:rsidR="0049233E" w:rsidRPr="002D63E4" w:rsidRDefault="0049233E" w:rsidP="006A77BB">
      <w:pPr>
        <w:pStyle w:val="BodyText"/>
      </w:pPr>
      <w:r w:rsidRPr="002D63E4">
        <w:lastRenderedPageBreak/>
        <w:t xml:space="preserve">The QSA </w:t>
      </w:r>
      <w:r w:rsidR="002067BC">
        <w:t>was</w:t>
      </w:r>
      <w:r w:rsidRPr="002D63E4">
        <w:t xml:space="preserve"> a statutory body established under the provisions of the </w:t>
      </w:r>
      <w:r w:rsidRPr="0049233E">
        <w:rPr>
          <w:rStyle w:val="Emphasis"/>
        </w:rPr>
        <w:t>Education (Queensland Studies Authority) Act 2002</w:t>
      </w:r>
      <w:r w:rsidRPr="002D63E4">
        <w:t>.</w:t>
      </w:r>
    </w:p>
    <w:p w:rsidR="001A2F8B" w:rsidRPr="002D63E4" w:rsidRDefault="001A2F8B" w:rsidP="006A77BB">
      <w:pPr>
        <w:pStyle w:val="BodyText"/>
      </w:pPr>
      <w:r w:rsidRPr="002D63E4">
        <w:t xml:space="preserve">The main functions of the QSA </w:t>
      </w:r>
      <w:r w:rsidR="002067BC">
        <w:t>were</w:t>
      </w:r>
      <w:r w:rsidR="002067BC" w:rsidRPr="002D63E4">
        <w:t xml:space="preserve"> </w:t>
      </w:r>
      <w:r w:rsidRPr="002D63E4">
        <w:t>to:</w:t>
      </w:r>
    </w:p>
    <w:p w:rsidR="001A2F8B" w:rsidRPr="00C70157" w:rsidRDefault="001A2F8B" w:rsidP="00C716A9">
      <w:pPr>
        <w:pStyle w:val="ListBullet0"/>
      </w:pPr>
      <w:r w:rsidRPr="00C70157">
        <w:t xml:space="preserve">develop and implement </w:t>
      </w:r>
      <w:r w:rsidR="008A3A4F">
        <w:t>syllabuses and guidelines from k</w:t>
      </w:r>
      <w:r w:rsidRPr="00C70157">
        <w:t>indergarten to Year 12, and accredit syllabuses and guidelines prepared outside of the</w:t>
      </w:r>
      <w:r w:rsidR="00A318BA">
        <w:t> </w:t>
      </w:r>
      <w:r w:rsidRPr="00C70157">
        <w:t>QSA</w:t>
      </w:r>
    </w:p>
    <w:p w:rsidR="001A2F8B" w:rsidRPr="00C70157" w:rsidRDefault="001A2F8B" w:rsidP="00C716A9">
      <w:pPr>
        <w:pStyle w:val="ListBullet0"/>
      </w:pPr>
      <w:r w:rsidRPr="00C70157">
        <w:t>undertake assessment and testing programs that help students demonstrate and improve their learning achievements and plan for their future, and that benchmark Queensland students against national standards and support school improvement processes</w:t>
      </w:r>
    </w:p>
    <w:p w:rsidR="008C6A52" w:rsidRDefault="001A2F8B" w:rsidP="00C716A9">
      <w:pPr>
        <w:pStyle w:val="ListBullet0"/>
      </w:pPr>
      <w:r w:rsidRPr="00C70157">
        <w:t>determine procedures for and quality assure Queensland's system of continuous school-based assessment in the senior phase of learning</w:t>
      </w:r>
    </w:p>
    <w:p w:rsidR="001A2F8B" w:rsidRPr="00C70157" w:rsidRDefault="001A2F8B" w:rsidP="00C70157">
      <w:pPr>
        <w:pStyle w:val="ListBullet0"/>
        <w:keepLines/>
      </w:pPr>
      <w:r w:rsidRPr="00C70157">
        <w:t>manage certification and reporting processes that reflect student learning across the range of their school experiences, capture student achievement in their various endeavours, and provide personalised, up-to-date information to students and parents</w:t>
      </w:r>
    </w:p>
    <w:p w:rsidR="001A2F8B" w:rsidRPr="00C70157" w:rsidRDefault="001A2F8B" w:rsidP="00C716A9">
      <w:pPr>
        <w:pStyle w:val="ListBullet0"/>
      </w:pPr>
      <w:r w:rsidRPr="00C70157">
        <w:lastRenderedPageBreak/>
        <w:t>register schools as registered training organisations (RTOs), and accredit and recognise vocational education and training courses</w:t>
      </w:r>
    </w:p>
    <w:p w:rsidR="001A2F8B" w:rsidRPr="00C70157" w:rsidRDefault="001A2F8B" w:rsidP="00C716A9">
      <w:pPr>
        <w:pStyle w:val="ListBullet0"/>
      </w:pPr>
      <w:r w:rsidRPr="00C70157">
        <w:t>develop tertiary entrance procedures, issue tertiary entrance statements and provide information to the public about tertiary entrance procedures and requirements</w:t>
      </w:r>
    </w:p>
    <w:p w:rsidR="001A2F8B" w:rsidRPr="00C70157" w:rsidRDefault="001A2F8B" w:rsidP="00C716A9">
      <w:pPr>
        <w:pStyle w:val="ListBullet0"/>
      </w:pPr>
      <w:proofErr w:type="gramStart"/>
      <w:r w:rsidRPr="00C70157">
        <w:t>undertake</w:t>
      </w:r>
      <w:proofErr w:type="gramEnd"/>
      <w:r w:rsidRPr="00C70157">
        <w:t xml:space="preserve"> research in relation to the aforementioned functions.</w:t>
      </w:r>
    </w:p>
    <w:p w:rsidR="001A2F8B" w:rsidRPr="002D63E4" w:rsidRDefault="001A2F8B" w:rsidP="006A77BB">
      <w:pPr>
        <w:pStyle w:val="BodyText"/>
      </w:pPr>
      <w:r w:rsidRPr="002D63E4">
        <w:t>In performing its functions, the QSA also provide</w:t>
      </w:r>
      <w:r w:rsidR="002067BC">
        <w:t>d</w:t>
      </w:r>
      <w:r w:rsidRPr="002D63E4">
        <w:t xml:space="preserve"> the three schooling sectors with a range of professional development activities to support:</w:t>
      </w:r>
    </w:p>
    <w:p w:rsidR="001A2F8B" w:rsidRPr="00C70157" w:rsidRDefault="001A2F8B" w:rsidP="00C716A9">
      <w:pPr>
        <w:pStyle w:val="ListBullet0"/>
      </w:pPr>
      <w:r w:rsidRPr="00C70157">
        <w:t>implementation of syllabuses, associated materials and processes</w:t>
      </w:r>
    </w:p>
    <w:p w:rsidR="00B710AF" w:rsidRPr="0049233E" w:rsidRDefault="001A2F8B" w:rsidP="0049233E">
      <w:pPr>
        <w:pStyle w:val="ListBullet0"/>
      </w:pPr>
      <w:r w:rsidRPr="00C70157">
        <w:t>QSA business processes of assessment, moderation, certification and accreditation.</w:t>
      </w:r>
    </w:p>
    <w:p w:rsidR="0049233E" w:rsidRPr="0049233E" w:rsidRDefault="0049233E" w:rsidP="0049233E">
      <w:pPr>
        <w:pStyle w:val="BodyText"/>
        <w:sectPr w:rsidR="0049233E" w:rsidRPr="0049233E" w:rsidSect="00FD5F1B">
          <w:type w:val="continuous"/>
          <w:pgSz w:w="11907" w:h="16840" w:code="9"/>
          <w:pgMar w:top="1134" w:right="1191" w:bottom="1418" w:left="1191" w:header="567" w:footer="680" w:gutter="0"/>
          <w:cols w:num="2" w:space="567"/>
          <w:formProt w:val="0"/>
          <w:noEndnote/>
          <w:docGrid w:linePitch="299"/>
        </w:sectPr>
      </w:pPr>
    </w:p>
    <w:p w:rsidR="001A2F8B" w:rsidRPr="00D435AF" w:rsidRDefault="001A2F8B" w:rsidP="00D435AF">
      <w:pPr>
        <w:pStyle w:val="Heading1"/>
      </w:pPr>
      <w:bookmarkStart w:id="24" w:name="_Toc365984760"/>
      <w:bookmarkStart w:id="25" w:name="_Toc397589523"/>
      <w:r w:rsidRPr="00D435AF">
        <w:lastRenderedPageBreak/>
        <w:t>Corporate profile</w:t>
      </w:r>
      <w:bookmarkEnd w:id="24"/>
      <w:bookmarkEnd w:id="25"/>
    </w:p>
    <w:p w:rsidR="00B710AF" w:rsidRPr="00C70157" w:rsidRDefault="00B710AF" w:rsidP="00C716A9">
      <w:pPr>
        <w:pStyle w:val="ListBullet0"/>
        <w:sectPr w:rsidR="00B710AF" w:rsidRPr="00C70157" w:rsidSect="005E1AC4">
          <w:type w:val="continuous"/>
          <w:pgSz w:w="11907" w:h="16840" w:code="9"/>
          <w:pgMar w:top="1134" w:right="1191" w:bottom="1418" w:left="1191" w:header="567" w:footer="680" w:gutter="0"/>
          <w:cols w:space="720"/>
          <w:formProt w:val="0"/>
          <w:noEndnote/>
          <w:docGrid w:linePitch="299"/>
        </w:sectPr>
      </w:pPr>
      <w:bookmarkStart w:id="26" w:name="_Toc274045241"/>
      <w:bookmarkStart w:id="27" w:name="_Toc300136468"/>
    </w:p>
    <w:p w:rsidR="0049233E" w:rsidRPr="00D435AF" w:rsidRDefault="0049233E" w:rsidP="0049233E">
      <w:pPr>
        <w:pStyle w:val="Heading2"/>
        <w:spacing w:before="0"/>
      </w:pPr>
      <w:bookmarkStart w:id="28" w:name="_Toc365984761"/>
      <w:bookmarkStart w:id="29" w:name="_Toc397589524"/>
      <w:r w:rsidRPr="00D435AF">
        <w:lastRenderedPageBreak/>
        <w:t>Authority members</w:t>
      </w:r>
      <w:bookmarkEnd w:id="28"/>
      <w:bookmarkEnd w:id="29"/>
    </w:p>
    <w:p w:rsidR="00B72E49" w:rsidRPr="00B72E49" w:rsidRDefault="00B72E49" w:rsidP="006A77BB">
      <w:pPr>
        <w:pStyle w:val="BodyText"/>
      </w:pPr>
      <w:r w:rsidRPr="00B72E49">
        <w:t xml:space="preserve">The constitution of the Authority </w:t>
      </w:r>
      <w:r w:rsidR="003D7892">
        <w:t>is</w:t>
      </w:r>
      <w:r w:rsidR="002067BC" w:rsidRPr="00B72E49">
        <w:t xml:space="preserve"> </w:t>
      </w:r>
      <w:r w:rsidRPr="00B72E49">
        <w:t>specified in Section 25 of the Act. It comprise</w:t>
      </w:r>
      <w:r w:rsidR="002067BC">
        <w:t>d</w:t>
      </w:r>
      <w:r w:rsidRPr="00B72E49">
        <w:t xml:space="preserve"> representatives of primary and secondary schools, special and tertiary education sectors (including practising teachers), the vocational education sector, parent groups, unions and industry.</w:t>
      </w:r>
    </w:p>
    <w:p w:rsidR="00B72E49" w:rsidRPr="00B72E49" w:rsidRDefault="00B72E49" w:rsidP="006A77BB">
      <w:pPr>
        <w:pStyle w:val="BodyText"/>
      </w:pPr>
      <w:r w:rsidRPr="00B72E49">
        <w:t xml:space="preserve">The Authority held seven meetings during the 2013–14 financial </w:t>
      </w:r>
      <w:proofErr w:type="gramStart"/>
      <w:r w:rsidRPr="00B72E49">
        <w:t>year</w:t>
      </w:r>
      <w:proofErr w:type="gramEnd"/>
      <w:r w:rsidRPr="00B72E49">
        <w:t>. Its membership over the period is outlined below:</w:t>
      </w:r>
    </w:p>
    <w:p w:rsidR="00B72E49" w:rsidRPr="00B72E49" w:rsidRDefault="00B72E49" w:rsidP="00240611">
      <w:pPr>
        <w:pStyle w:val="ListBullet0"/>
      </w:pPr>
      <w:r w:rsidRPr="00B72E49">
        <w:t>one nominee of the Minister for Education, Training and Employment (chair)</w:t>
      </w:r>
    </w:p>
    <w:p w:rsidR="00B72E49" w:rsidRPr="00B72E49" w:rsidRDefault="00B72E49" w:rsidP="00240611">
      <w:pPr>
        <w:pStyle w:val="Authoritymember"/>
      </w:pPr>
      <w:r w:rsidRPr="00B72E49">
        <w:t>Leesa Jeffcoat (appointed until June 2014)</w:t>
      </w:r>
    </w:p>
    <w:p w:rsidR="00B72E49" w:rsidRPr="00B72E49" w:rsidRDefault="00B72E49" w:rsidP="00240611">
      <w:pPr>
        <w:pStyle w:val="ListBullet0"/>
      </w:pPr>
      <w:r w:rsidRPr="00B72E49">
        <w:t>the chief executive (Director-General) of the education department, whose nominee is</w:t>
      </w:r>
    </w:p>
    <w:p w:rsidR="008C6A52" w:rsidRDefault="00B72E49" w:rsidP="00240611">
      <w:pPr>
        <w:pStyle w:val="Authoritymember"/>
      </w:pPr>
      <w:r w:rsidRPr="00B72E49">
        <w:t>Patrea Walton</w:t>
      </w:r>
    </w:p>
    <w:p w:rsidR="00B72E49" w:rsidRPr="00B72E49" w:rsidRDefault="00B72E49" w:rsidP="00240611">
      <w:pPr>
        <w:pStyle w:val="ListBullet0"/>
      </w:pPr>
      <w:r w:rsidRPr="00B72E49">
        <w:t>the chief executive (Director-General) of the vocational education and training department, whose nominee is</w:t>
      </w:r>
    </w:p>
    <w:p w:rsidR="008C6A52" w:rsidRDefault="00B72E49" w:rsidP="00240611">
      <w:pPr>
        <w:pStyle w:val="Authoritymember"/>
      </w:pPr>
      <w:r w:rsidRPr="00B72E49">
        <w:t xml:space="preserve">Trevor </w:t>
      </w:r>
      <w:proofErr w:type="spellStart"/>
      <w:r w:rsidRPr="00B72E49">
        <w:t>Schwenke</w:t>
      </w:r>
      <w:proofErr w:type="spellEnd"/>
    </w:p>
    <w:p w:rsidR="00B72E49" w:rsidRPr="00B72E49" w:rsidRDefault="00B72E49" w:rsidP="00240611">
      <w:pPr>
        <w:pStyle w:val="ListBullet0"/>
      </w:pPr>
      <w:r w:rsidRPr="00B72E49">
        <w:lastRenderedPageBreak/>
        <w:t>one nominee of Inde</w:t>
      </w:r>
      <w:r w:rsidR="00FC69C6">
        <w:t>pendent Schools Queensland (ISQ)</w:t>
      </w:r>
    </w:p>
    <w:p w:rsidR="00B72E49" w:rsidRPr="00B72E49" w:rsidRDefault="00B72E49" w:rsidP="00240611">
      <w:pPr>
        <w:pStyle w:val="Authoritymember"/>
      </w:pPr>
      <w:r w:rsidRPr="00B72E49">
        <w:t>David Robertson (appointed until June 2014)</w:t>
      </w:r>
    </w:p>
    <w:p w:rsidR="00B72E49" w:rsidRPr="00B72E49" w:rsidRDefault="00B72E49" w:rsidP="00240611">
      <w:pPr>
        <w:pStyle w:val="ListBullet0"/>
      </w:pPr>
      <w:r w:rsidRPr="00B72E49">
        <w:t>one nominee of the Queensland Catholic Education Commission (QCEC)</w:t>
      </w:r>
    </w:p>
    <w:p w:rsidR="00B72E49" w:rsidRPr="00B72E49" w:rsidRDefault="00B72E49" w:rsidP="00240611">
      <w:pPr>
        <w:pStyle w:val="Authoritymember"/>
      </w:pPr>
      <w:r w:rsidRPr="00B72E49">
        <w:t>Pam Betts (appointed until June 2014)</w:t>
      </w:r>
    </w:p>
    <w:p w:rsidR="00B72E49" w:rsidRPr="00B72E49" w:rsidRDefault="00B72E49" w:rsidP="00240611">
      <w:pPr>
        <w:pStyle w:val="ListBullet0"/>
      </w:pPr>
      <w:r w:rsidRPr="00B72E49">
        <w:t xml:space="preserve">two nominees of the Higher Education Forum </w:t>
      </w:r>
      <w:r w:rsidRPr="00B72E49">
        <w:br/>
        <w:t>(at least one of whom must have expertise relating to tertiary entrance)</w:t>
      </w:r>
    </w:p>
    <w:p w:rsidR="00B72E49" w:rsidRPr="00B72E49" w:rsidRDefault="00B72E49" w:rsidP="00240611">
      <w:pPr>
        <w:pStyle w:val="Authoritymember"/>
      </w:pPr>
      <w:r w:rsidRPr="00B72E49">
        <w:t>Professor Bob Lingard (appointed until June 2014)</w:t>
      </w:r>
    </w:p>
    <w:p w:rsidR="00B72E49" w:rsidRPr="00B72E49" w:rsidRDefault="00B72E49" w:rsidP="00240611">
      <w:pPr>
        <w:pStyle w:val="Authoritymember"/>
      </w:pPr>
      <w:r w:rsidRPr="00B72E49">
        <w:t>Alan Finch (appointed until June 2014)</w:t>
      </w:r>
    </w:p>
    <w:p w:rsidR="00B72E49" w:rsidRDefault="00B72E49" w:rsidP="00B72E49">
      <w:pPr>
        <w:pStyle w:val="ListBullet0"/>
      </w:pPr>
      <w:r>
        <w:t>two persons who, at the time of appointment, are parents or guardians of students enrolled at a school, of whom</w:t>
      </w:r>
    </w:p>
    <w:p w:rsidR="00B72E49" w:rsidRDefault="00B72E49" w:rsidP="00240611">
      <w:pPr>
        <w:pStyle w:val="ListBullet2"/>
      </w:pPr>
      <w:r>
        <w:t>one is to be nominated jointly by the Federation of Parents and Friends Associations of Catholic Schools, Qld, and the Queensland Independent Schools Parents Council</w:t>
      </w:r>
    </w:p>
    <w:p w:rsidR="00B72E49" w:rsidRDefault="00B72E49" w:rsidP="00240611">
      <w:pPr>
        <w:pStyle w:val="ListBullet2"/>
      </w:pPr>
      <w:r>
        <w:t>one is to be nominated by P&amp;Cs Qld</w:t>
      </w:r>
    </w:p>
    <w:p w:rsidR="00B72E49" w:rsidRDefault="00B72E49" w:rsidP="00240611">
      <w:pPr>
        <w:pStyle w:val="Authoritymember"/>
      </w:pPr>
      <w:r>
        <w:t>Matthew Campbell (appointed until June 2014)</w:t>
      </w:r>
    </w:p>
    <w:p w:rsidR="008C6A52" w:rsidRDefault="00B72E49" w:rsidP="00240611">
      <w:pPr>
        <w:pStyle w:val="Authoritymember"/>
      </w:pPr>
      <w:r>
        <w:t>Margaret Leary (appointed until June 2014)</w:t>
      </w:r>
    </w:p>
    <w:p w:rsidR="00B72E49" w:rsidRDefault="00B72E49" w:rsidP="006846EF">
      <w:pPr>
        <w:pStyle w:val="ListBullet0"/>
        <w:spacing w:before="120"/>
      </w:pPr>
      <w:r>
        <w:lastRenderedPageBreak/>
        <w:t xml:space="preserve">one primary </w:t>
      </w:r>
      <w:r w:rsidRPr="00240611">
        <w:t xml:space="preserve">school </w:t>
      </w:r>
      <w:r>
        <w:t>principal and one secondary school principal, of whom</w:t>
      </w:r>
    </w:p>
    <w:p w:rsidR="00B72E49" w:rsidRDefault="00B72E49" w:rsidP="00240611">
      <w:pPr>
        <w:pStyle w:val="ListBullet2"/>
      </w:pPr>
      <w:r>
        <w:t>one is to be nominated by the chief executive</w:t>
      </w:r>
    </w:p>
    <w:p w:rsidR="00B72E49" w:rsidRDefault="00B72E49" w:rsidP="00240611">
      <w:pPr>
        <w:pStyle w:val="ListBullet2"/>
      </w:pPr>
      <w:r>
        <w:t>one is to be nominated jointly by ISQ and QCEC</w:t>
      </w:r>
    </w:p>
    <w:p w:rsidR="00B72E49" w:rsidRDefault="00B72E49" w:rsidP="00240611">
      <w:pPr>
        <w:pStyle w:val="Authoritymember"/>
      </w:pPr>
      <w:r>
        <w:t>Patricia Neate (appointed until June 2014)</w:t>
      </w:r>
    </w:p>
    <w:p w:rsidR="00B72E49" w:rsidRDefault="00B72E49" w:rsidP="00240611">
      <w:pPr>
        <w:pStyle w:val="Authoritymember"/>
      </w:pPr>
      <w:r>
        <w:t xml:space="preserve">Daryl </w:t>
      </w:r>
      <w:proofErr w:type="spellStart"/>
      <w:r>
        <w:t>Hanly</w:t>
      </w:r>
      <w:proofErr w:type="spellEnd"/>
      <w:r>
        <w:t xml:space="preserve"> (appointed until June 2014)</w:t>
      </w:r>
    </w:p>
    <w:p w:rsidR="00B72E49" w:rsidRDefault="00B72E49" w:rsidP="00B72E49">
      <w:pPr>
        <w:pStyle w:val="ListBullet0"/>
      </w:pPr>
      <w:r>
        <w:t>one teacher of primary education and one teacher of secondary education, neither of whom is a school principal, of whom</w:t>
      </w:r>
    </w:p>
    <w:p w:rsidR="00B72E49" w:rsidRDefault="00B72E49" w:rsidP="00240611">
      <w:pPr>
        <w:pStyle w:val="ListBullet2"/>
      </w:pPr>
      <w:r>
        <w:t>one is to be nominated by the chief executive</w:t>
      </w:r>
    </w:p>
    <w:p w:rsidR="00B72E49" w:rsidRDefault="00B72E49" w:rsidP="00240611">
      <w:pPr>
        <w:pStyle w:val="ListBullet2"/>
      </w:pPr>
      <w:r>
        <w:t>one is to be nominated jointly by ISQ and QCEC</w:t>
      </w:r>
    </w:p>
    <w:p w:rsidR="00B72E49" w:rsidRDefault="00B72E49" w:rsidP="00240611">
      <w:pPr>
        <w:pStyle w:val="Authoritymember"/>
      </w:pPr>
      <w:r>
        <w:t>Gail Young (appointed until June 2014)</w:t>
      </w:r>
    </w:p>
    <w:p w:rsidR="00B72E49" w:rsidRDefault="00B72E49" w:rsidP="00240611">
      <w:pPr>
        <w:pStyle w:val="Authoritymember"/>
      </w:pPr>
      <w:r>
        <w:t>Kyle Thompson (appointed until June 2014)</w:t>
      </w:r>
    </w:p>
    <w:p w:rsidR="00B72E49" w:rsidRDefault="00B72E49" w:rsidP="00B72E49">
      <w:pPr>
        <w:pStyle w:val="ListBullet0"/>
      </w:pPr>
      <w:r>
        <w:t>one nominee of the Queensland Teachers’ Union</w:t>
      </w:r>
    </w:p>
    <w:p w:rsidR="00B72E49" w:rsidRDefault="00B72E49" w:rsidP="00240611">
      <w:pPr>
        <w:pStyle w:val="Authoritymember"/>
      </w:pPr>
      <w:r>
        <w:t xml:space="preserve">Samantha </w:t>
      </w:r>
      <w:proofErr w:type="spellStart"/>
      <w:r>
        <w:t>Pidgeon</w:t>
      </w:r>
      <w:proofErr w:type="spellEnd"/>
      <w:r>
        <w:t xml:space="preserve"> (appointed until June 2014)</w:t>
      </w:r>
    </w:p>
    <w:p w:rsidR="00B72E49" w:rsidRDefault="00B72E49" w:rsidP="00B72E49">
      <w:pPr>
        <w:pStyle w:val="ListBullet0"/>
      </w:pPr>
      <w:r>
        <w:t>one nominee of the Independent Education Union of Australia — Queensland and Northern Territory Branch (IEUA–QNT)</w:t>
      </w:r>
    </w:p>
    <w:p w:rsidR="00B72E49" w:rsidRDefault="00B72E49" w:rsidP="00240611">
      <w:pPr>
        <w:pStyle w:val="Authoritymember"/>
      </w:pPr>
      <w:r>
        <w:t>Dr Paul Giles (appointed until June 2014)</w:t>
      </w:r>
    </w:p>
    <w:p w:rsidR="00B72E49" w:rsidRDefault="00B72E49" w:rsidP="00B72E49">
      <w:pPr>
        <w:pStyle w:val="ListBullet0"/>
      </w:pPr>
      <w:r>
        <w:t>one nominee of the Minister administering the vocational education and training department</w:t>
      </w:r>
    </w:p>
    <w:p w:rsidR="00B72E49" w:rsidRDefault="00B72E49" w:rsidP="00240611">
      <w:pPr>
        <w:pStyle w:val="Authoritymember"/>
      </w:pPr>
      <w:r>
        <w:t>Deidre Stein</w:t>
      </w:r>
      <w:r w:rsidR="008C6A52">
        <w:t xml:space="preserve"> </w:t>
      </w:r>
      <w:r>
        <w:t>(to October 2013)</w:t>
      </w:r>
    </w:p>
    <w:p w:rsidR="00B72E49" w:rsidRDefault="00B72E49" w:rsidP="00B72E49">
      <w:pPr>
        <w:pStyle w:val="ListBullet0"/>
      </w:pPr>
      <w:r>
        <w:t>three nominees of the Minister for Education, Training and Employment, of whom</w:t>
      </w:r>
    </w:p>
    <w:p w:rsidR="00B72E49" w:rsidRDefault="00B72E49" w:rsidP="00240611">
      <w:pPr>
        <w:pStyle w:val="ListBullet2"/>
      </w:pPr>
      <w:r>
        <w:t>one is to have expertise in the provision of special education</w:t>
      </w:r>
    </w:p>
    <w:p w:rsidR="00B72E49" w:rsidRDefault="00B72E49" w:rsidP="00240611">
      <w:pPr>
        <w:pStyle w:val="ListBullet2"/>
      </w:pPr>
      <w:r>
        <w:t>one is to have expertise in the education of Aboriginal peoples or Torres Strait Islander peoples</w:t>
      </w:r>
    </w:p>
    <w:p w:rsidR="00B72E49" w:rsidRDefault="00B72E49" w:rsidP="00240611">
      <w:pPr>
        <w:pStyle w:val="ListBullet2"/>
      </w:pPr>
      <w:r>
        <w:t>one is to be representative of industry</w:t>
      </w:r>
    </w:p>
    <w:p w:rsidR="00B72E49" w:rsidRDefault="00B72E49" w:rsidP="00240611">
      <w:pPr>
        <w:pStyle w:val="Authoritymember"/>
      </w:pPr>
      <w:r>
        <w:t>David Rogers (appointed until June 2014)</w:t>
      </w:r>
    </w:p>
    <w:p w:rsidR="00B72E49" w:rsidRDefault="00B72E49" w:rsidP="00240611">
      <w:pPr>
        <w:pStyle w:val="Authoritymember"/>
      </w:pPr>
      <w:r>
        <w:t xml:space="preserve">Elizabeth </w:t>
      </w:r>
      <w:proofErr w:type="spellStart"/>
      <w:r>
        <w:t>Kupsch</w:t>
      </w:r>
      <w:proofErr w:type="spellEnd"/>
      <w:r w:rsidR="008C6A52">
        <w:t xml:space="preserve"> </w:t>
      </w:r>
      <w:r>
        <w:t>(to July 2013)</w:t>
      </w:r>
    </w:p>
    <w:p w:rsidR="00B72E49" w:rsidRDefault="00B72E49" w:rsidP="00240611">
      <w:pPr>
        <w:pStyle w:val="Authoritymember"/>
      </w:pPr>
      <w:r>
        <w:t>Alan Waldron (appointed until June 2014)</w:t>
      </w:r>
    </w:p>
    <w:p w:rsidR="00B72E49" w:rsidRDefault="00B72E49" w:rsidP="00B72E49">
      <w:pPr>
        <w:pStyle w:val="ListBullet0"/>
      </w:pPr>
      <w:r>
        <w:t>one other person who may be nominated by the Minister for Education, Training and Employment</w:t>
      </w:r>
    </w:p>
    <w:p w:rsidR="003D7892" w:rsidRDefault="00B72E49" w:rsidP="00240611">
      <w:pPr>
        <w:pStyle w:val="Authoritymember"/>
      </w:pPr>
      <w:r>
        <w:t>Professor Claire Wyatt-Smith</w:t>
      </w:r>
      <w:r w:rsidR="00240611">
        <w:t xml:space="preserve"> </w:t>
      </w:r>
      <w:r>
        <w:t>(to July</w:t>
      </w:r>
      <w:r w:rsidR="00E31920">
        <w:t xml:space="preserve"> </w:t>
      </w:r>
      <w:r>
        <w:t>2013).</w:t>
      </w:r>
    </w:p>
    <w:p w:rsidR="00D435AF" w:rsidRPr="005511FC" w:rsidRDefault="006846EF" w:rsidP="006846EF">
      <w:pPr>
        <w:pStyle w:val="Heading2"/>
        <w:spacing w:before="0"/>
      </w:pPr>
      <w:bookmarkStart w:id="30" w:name="_Toc362947451"/>
      <w:bookmarkStart w:id="31" w:name="_Toc365984762"/>
      <w:r>
        <w:br w:type="column"/>
      </w:r>
      <w:bookmarkStart w:id="32" w:name="_Toc397589525"/>
      <w:r w:rsidR="00D435AF" w:rsidRPr="005511FC">
        <w:lastRenderedPageBreak/>
        <w:t>Executive committee</w:t>
      </w:r>
      <w:bookmarkEnd w:id="26"/>
      <w:bookmarkEnd w:id="27"/>
      <w:bookmarkEnd w:id="30"/>
      <w:bookmarkEnd w:id="31"/>
      <w:bookmarkEnd w:id="32"/>
    </w:p>
    <w:p w:rsidR="00D435AF" w:rsidRPr="006C4289" w:rsidRDefault="00D435AF" w:rsidP="006A77BB">
      <w:pPr>
        <w:pStyle w:val="BodyText"/>
      </w:pPr>
      <w:r w:rsidRPr="006C4289">
        <w:t xml:space="preserve">In accordance with Section 45 of the </w:t>
      </w:r>
      <w:r w:rsidRPr="000C7AD2">
        <w:t>Act</w:t>
      </w:r>
      <w:r w:rsidRPr="006C4289">
        <w:t>, an executive committee me</w:t>
      </w:r>
      <w:r w:rsidR="002067BC">
        <w:t>t</w:t>
      </w:r>
      <w:r w:rsidRPr="006C4289">
        <w:t xml:space="preserve"> before each Authority meeting to set the agenda.</w:t>
      </w:r>
      <w:r>
        <w:t xml:space="preserve"> </w:t>
      </w:r>
      <w:r w:rsidRPr="006C4289">
        <w:t>The</w:t>
      </w:r>
      <w:r>
        <w:t xml:space="preserve"> </w:t>
      </w:r>
      <w:r w:rsidRPr="005511FC">
        <w:t>executive</w:t>
      </w:r>
      <w:r w:rsidRPr="006C4289">
        <w:t xml:space="preserve"> committee comprise</w:t>
      </w:r>
      <w:r w:rsidR="002067BC">
        <w:t>d</w:t>
      </w:r>
      <w:r w:rsidRPr="006C4289">
        <w:t>:</w:t>
      </w:r>
    </w:p>
    <w:p w:rsidR="00D435AF" w:rsidRPr="00C70157" w:rsidRDefault="00D435AF" w:rsidP="00C70157">
      <w:pPr>
        <w:pStyle w:val="ListBullet0"/>
      </w:pPr>
      <w:r w:rsidRPr="00C70157">
        <w:t>chair</w:t>
      </w:r>
      <w:r w:rsidR="00EC7820">
        <w:t xml:space="preserve"> of the Authority</w:t>
      </w:r>
    </w:p>
    <w:p w:rsidR="00D435AF" w:rsidRPr="00407052" w:rsidRDefault="00D435AF" w:rsidP="00407052">
      <w:pPr>
        <w:pStyle w:val="ListBullet0"/>
        <w:ind w:right="-170"/>
      </w:pPr>
      <w:r w:rsidRPr="00407052">
        <w:t xml:space="preserve">one nominee of </w:t>
      </w:r>
      <w:r w:rsidRPr="00407052">
        <w:rPr>
          <w:noProof/>
        </w:rPr>
        <w:t>the</w:t>
      </w:r>
      <w:r w:rsidRPr="00407052">
        <w:t xml:space="preserve"> chief executive (Director-General) of</w:t>
      </w:r>
      <w:r w:rsidR="00240611">
        <w:t> </w:t>
      </w:r>
      <w:r w:rsidRPr="00407052">
        <w:t>education</w:t>
      </w:r>
    </w:p>
    <w:p w:rsidR="00D435AF" w:rsidRPr="00C70157" w:rsidRDefault="00D435AF" w:rsidP="00407052">
      <w:pPr>
        <w:pStyle w:val="ListBullet0"/>
        <w:ind w:right="-170"/>
      </w:pPr>
      <w:r w:rsidRPr="00C70157">
        <w:t>one nominee of the chief executive (Director-General) of</w:t>
      </w:r>
      <w:r w:rsidR="00240611">
        <w:t> </w:t>
      </w:r>
      <w:r w:rsidRPr="00C70157">
        <w:t>vocational education and training</w:t>
      </w:r>
    </w:p>
    <w:p w:rsidR="00D435AF" w:rsidRPr="00C70157" w:rsidRDefault="00D435AF" w:rsidP="00C70157">
      <w:pPr>
        <w:pStyle w:val="ListBullet0"/>
      </w:pPr>
      <w:r w:rsidRPr="00C70157">
        <w:t>one nominee of the Queensland Catholic Education Commission</w:t>
      </w:r>
    </w:p>
    <w:p w:rsidR="00D435AF" w:rsidRPr="00C70157" w:rsidRDefault="00D435AF" w:rsidP="00C70157">
      <w:pPr>
        <w:pStyle w:val="ListBullet0"/>
      </w:pPr>
      <w:proofErr w:type="gramStart"/>
      <w:r w:rsidRPr="00C70157">
        <w:t>one</w:t>
      </w:r>
      <w:proofErr w:type="gramEnd"/>
      <w:r w:rsidRPr="00C70157">
        <w:t xml:space="preserve"> nominee of Independent Schools Queensland.</w:t>
      </w:r>
    </w:p>
    <w:p w:rsidR="00D435AF" w:rsidRPr="006C4289" w:rsidRDefault="005357FC" w:rsidP="006A77BB">
      <w:pPr>
        <w:pStyle w:val="BodyText"/>
      </w:pPr>
      <w:r w:rsidRPr="005357FC">
        <w:t>The Chief Executive Officer of the QSA also participate</w:t>
      </w:r>
      <w:r w:rsidR="002067BC">
        <w:t>d</w:t>
      </w:r>
      <w:r w:rsidRPr="005357FC">
        <w:t xml:space="preserve"> in executive committee meetings as outlined in Section</w:t>
      </w:r>
      <w:r w:rsidR="00FC69C6">
        <w:t> </w:t>
      </w:r>
      <w:r w:rsidRPr="005357FC">
        <w:t>46 of the Act, but ha</w:t>
      </w:r>
      <w:r w:rsidR="002067BC">
        <w:t>d</w:t>
      </w:r>
      <w:r w:rsidRPr="005357FC">
        <w:t xml:space="preserve"> no voting rights.</w:t>
      </w:r>
    </w:p>
    <w:p w:rsidR="00240611" w:rsidRDefault="00D435AF" w:rsidP="006A77BB">
      <w:pPr>
        <w:pStyle w:val="BodyText"/>
      </w:pPr>
      <w:r w:rsidRPr="006C4289">
        <w:t>The executive committee also perform</w:t>
      </w:r>
      <w:r w:rsidR="002067BC">
        <w:t>ed</w:t>
      </w:r>
      <w:r w:rsidRPr="006C4289">
        <w:t xml:space="preserve"> any other functions conferred on it by the Authority and report</w:t>
      </w:r>
      <w:r w:rsidR="002067BC">
        <w:t>ed</w:t>
      </w:r>
      <w:r w:rsidRPr="006C4289">
        <w:t xml:space="preserve"> to the Authority as required.</w:t>
      </w:r>
    </w:p>
    <w:p w:rsidR="00D435AF" w:rsidRPr="006C4289" w:rsidRDefault="00D435AF" w:rsidP="00240611">
      <w:pPr>
        <w:pStyle w:val="Heading2"/>
      </w:pPr>
      <w:bookmarkStart w:id="33" w:name="_Toc365984763"/>
      <w:bookmarkStart w:id="34" w:name="_Toc274045242"/>
      <w:bookmarkStart w:id="35" w:name="_Toc300136469"/>
      <w:bookmarkStart w:id="36" w:name="_Toc362947452"/>
      <w:bookmarkStart w:id="37" w:name="_Toc397589526"/>
      <w:r w:rsidRPr="006C4289">
        <w:t xml:space="preserve">Authority </w:t>
      </w:r>
      <w:bookmarkEnd w:id="33"/>
      <w:r w:rsidRPr="006C4289">
        <w:t>committee</w:t>
      </w:r>
      <w:r w:rsidR="003D7892">
        <w:t>s</w:t>
      </w:r>
      <w:bookmarkEnd w:id="34"/>
      <w:bookmarkEnd w:id="35"/>
      <w:bookmarkEnd w:id="36"/>
      <w:bookmarkEnd w:id="37"/>
    </w:p>
    <w:p w:rsidR="00D435AF" w:rsidRPr="006C4289" w:rsidRDefault="00D435AF" w:rsidP="006A77BB">
      <w:pPr>
        <w:pStyle w:val="BodyText"/>
      </w:pPr>
      <w:r w:rsidRPr="006C4289">
        <w:t xml:space="preserve">A number of committees of the Authority </w:t>
      </w:r>
      <w:r w:rsidR="002067BC">
        <w:t>were</w:t>
      </w:r>
      <w:r w:rsidRPr="006C4289">
        <w:t xml:space="preserve"> est</w:t>
      </w:r>
      <w:r>
        <w:t xml:space="preserve">ablished, as set out in Section </w:t>
      </w:r>
      <w:r w:rsidRPr="006C4289">
        <w:t>47 of</w:t>
      </w:r>
      <w:r>
        <w:t xml:space="preserve"> </w:t>
      </w:r>
      <w:r w:rsidR="00407052">
        <w:t xml:space="preserve">the </w:t>
      </w:r>
      <w:r w:rsidRPr="000C7AD2">
        <w:t>Act</w:t>
      </w:r>
      <w:r w:rsidRPr="006C4289">
        <w:t>, to:</w:t>
      </w:r>
    </w:p>
    <w:p w:rsidR="00D435AF" w:rsidRPr="00C70157" w:rsidRDefault="00D435AF" w:rsidP="00C70157">
      <w:pPr>
        <w:pStyle w:val="ListBullet0"/>
      </w:pPr>
      <w:r w:rsidRPr="00C70157">
        <w:t>develop policy proposals (for referral to the Authority)</w:t>
      </w:r>
    </w:p>
    <w:p w:rsidR="00D435AF" w:rsidRPr="00C70157" w:rsidRDefault="00D435AF" w:rsidP="00C70157">
      <w:pPr>
        <w:pStyle w:val="ListBullet0"/>
      </w:pPr>
      <w:r w:rsidRPr="00C70157">
        <w:t>identify issues that require policy development by the committee</w:t>
      </w:r>
    </w:p>
    <w:p w:rsidR="00D435AF" w:rsidRPr="00C70157" w:rsidRDefault="00D435AF" w:rsidP="00C70157">
      <w:pPr>
        <w:pStyle w:val="ListBullet0"/>
      </w:pPr>
      <w:r w:rsidRPr="00C70157">
        <w:t>provide advice to the Authority on matters referred to the committee by the Authority</w:t>
      </w:r>
    </w:p>
    <w:p w:rsidR="00D435AF" w:rsidRPr="00C70157" w:rsidRDefault="00D435AF" w:rsidP="00C70157">
      <w:pPr>
        <w:pStyle w:val="ListBullet0"/>
      </w:pPr>
      <w:r w:rsidRPr="00C70157">
        <w:t>provide advice to the Authority on matters identified by the committee as warranting such advice</w:t>
      </w:r>
    </w:p>
    <w:p w:rsidR="00D435AF" w:rsidRPr="00C70157" w:rsidRDefault="00D435AF" w:rsidP="00C70157">
      <w:pPr>
        <w:pStyle w:val="ListBullet0"/>
      </w:pPr>
      <w:r w:rsidRPr="00C70157">
        <w:t>keep the Authority informed about current and expected issues requiring its attention</w:t>
      </w:r>
    </w:p>
    <w:p w:rsidR="00D435AF" w:rsidRPr="00C70157" w:rsidRDefault="00D435AF" w:rsidP="00C70157">
      <w:pPr>
        <w:pStyle w:val="ListBullet0"/>
      </w:pPr>
      <w:r w:rsidRPr="00C70157">
        <w:t>consider and approve plans and procedures that provide mechanisms for the implementation and endorsement of Authority policy</w:t>
      </w:r>
    </w:p>
    <w:p w:rsidR="00D435AF" w:rsidRPr="00C70157" w:rsidRDefault="00D435AF" w:rsidP="00C70157">
      <w:pPr>
        <w:pStyle w:val="ListBullet0"/>
      </w:pPr>
      <w:r w:rsidRPr="00C70157">
        <w:t>advise and assist the Office of the Authority in policy implementation</w:t>
      </w:r>
    </w:p>
    <w:p w:rsidR="00D435AF" w:rsidRPr="00C70157" w:rsidRDefault="00D435AF" w:rsidP="00C70157">
      <w:pPr>
        <w:pStyle w:val="ListBullet0"/>
      </w:pPr>
      <w:r w:rsidRPr="00C70157">
        <w:t>consider advice from the Office of the Authority on relevant issues</w:t>
      </w:r>
    </w:p>
    <w:p w:rsidR="00D435AF" w:rsidRPr="00C70157" w:rsidRDefault="00D435AF" w:rsidP="00C70157">
      <w:pPr>
        <w:pStyle w:val="ListBullet0"/>
      </w:pPr>
      <w:proofErr w:type="gramStart"/>
      <w:r w:rsidRPr="00C70157">
        <w:t>maintain</w:t>
      </w:r>
      <w:proofErr w:type="gramEnd"/>
      <w:r w:rsidRPr="00C70157">
        <w:t xml:space="preserve"> and strengthen communication links between the Authority and its stakeholders.</w:t>
      </w:r>
    </w:p>
    <w:p w:rsidR="00476042" w:rsidRDefault="00476042" w:rsidP="006A77BB">
      <w:pPr>
        <w:pStyle w:val="BodyText"/>
      </w:pPr>
      <w:r>
        <w:t>The relationship between the Authority and its commit</w:t>
      </w:r>
      <w:r w:rsidR="000770A9">
        <w:t>t</w:t>
      </w:r>
      <w:r>
        <w:t xml:space="preserve">ees is shown in the diagram overleaf. </w:t>
      </w:r>
    </w:p>
    <w:p w:rsidR="00687F0A" w:rsidRDefault="00D435AF" w:rsidP="00296046">
      <w:pPr>
        <w:pStyle w:val="BodyText"/>
      </w:pPr>
      <w:r w:rsidRPr="006C4289">
        <w:t xml:space="preserve">Details of the functions and membership of each committee are given in Appendix </w:t>
      </w:r>
      <w:r w:rsidR="0049233E">
        <w:fldChar w:fldCharType="begin"/>
      </w:r>
      <w:r w:rsidR="0049233E">
        <w:instrText xml:space="preserve"> REF _Ref363111740 \w \h </w:instrText>
      </w:r>
      <w:r w:rsidR="00802EBC">
        <w:instrText xml:space="preserve"> \* MERGEFORMAT </w:instrText>
      </w:r>
      <w:r w:rsidR="0049233E">
        <w:fldChar w:fldCharType="separate"/>
      </w:r>
      <w:r w:rsidR="00C41AFC">
        <w:t>1</w:t>
      </w:r>
      <w:r w:rsidR="0049233E">
        <w:fldChar w:fldCharType="end"/>
      </w:r>
      <w:r>
        <w:t>.</w:t>
      </w:r>
      <w:bookmarkStart w:id="38" w:name="_Toc365984764"/>
    </w:p>
    <w:p w:rsidR="00687F0A" w:rsidRDefault="00687F0A" w:rsidP="006A77BB">
      <w:pPr>
        <w:pStyle w:val="BodyText"/>
      </w:pPr>
    </w:p>
    <w:p w:rsidR="00687F0A" w:rsidRDefault="00687F0A" w:rsidP="006A77BB">
      <w:pPr>
        <w:pStyle w:val="BodyText"/>
        <w:sectPr w:rsidR="00687F0A" w:rsidSect="003D7892">
          <w:type w:val="continuous"/>
          <w:pgSz w:w="11907" w:h="16840" w:code="9"/>
          <w:pgMar w:top="1134" w:right="1191" w:bottom="1418" w:left="1191" w:header="567" w:footer="680" w:gutter="0"/>
          <w:cols w:num="2" w:space="567"/>
          <w:formProt w:val="0"/>
          <w:noEndnote/>
          <w:docGrid w:linePitch="299"/>
        </w:sectPr>
      </w:pPr>
    </w:p>
    <w:p w:rsidR="001A2F8B" w:rsidRDefault="00476042" w:rsidP="00E21BA0">
      <w:pPr>
        <w:pStyle w:val="Caption"/>
        <w:spacing w:before="0"/>
      </w:pPr>
      <w:r>
        <w:lastRenderedPageBreak/>
        <w:t>Diagram 1</w:t>
      </w:r>
      <w:r w:rsidR="00975686">
        <w:t xml:space="preserve">: </w:t>
      </w:r>
      <w:r>
        <w:t xml:space="preserve">The </w:t>
      </w:r>
      <w:r w:rsidR="00382DD6">
        <w:t xml:space="preserve">QSA </w:t>
      </w:r>
      <w:r>
        <w:t xml:space="preserve">and its </w:t>
      </w:r>
      <w:r w:rsidR="00DC7CDE" w:rsidRPr="00DC7CDE">
        <w:t>committees</w:t>
      </w:r>
      <w:bookmarkEnd w:id="38"/>
    </w:p>
    <w:p w:rsidR="001133CA" w:rsidRDefault="001133CA" w:rsidP="000C109B">
      <w:pPr>
        <w:pStyle w:val="BodyText"/>
        <w:rPr>
          <w:noProof/>
        </w:rPr>
      </w:pPr>
      <w:r>
        <w:rPr>
          <w:noProof/>
        </w:rPr>
        <w:drawing>
          <wp:inline distT="0" distB="0" distL="0" distR="0" wp14:anchorId="75F3F299" wp14:editId="2AAEDE28">
            <wp:extent cx="4501905" cy="8418593"/>
            <wp:effectExtent l="0" t="0" r="0" b="1905"/>
            <wp:docPr id="4" name="Picture 4" descr="Graphical depiction of the authority committees of the QSA" title="Authority com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ty_committee August 2013_v3_mg.png"/>
                    <pic:cNvPicPr/>
                  </pic:nvPicPr>
                  <pic:blipFill>
                    <a:blip r:embed="rId34" cstate="print">
                      <a:extLst>
                        <a:ext uri="{28A0092B-C50C-407E-A947-70E740481C1C}">
                          <a14:useLocalDpi xmlns:a14="http://schemas.microsoft.com/office/drawing/2010/main"/>
                        </a:ext>
                      </a:extLst>
                    </a:blip>
                    <a:stretch>
                      <a:fillRect/>
                    </a:stretch>
                  </pic:blipFill>
                  <pic:spPr>
                    <a:xfrm>
                      <a:off x="0" y="0"/>
                      <a:ext cx="4501905" cy="8418593"/>
                    </a:xfrm>
                    <a:prstGeom prst="rect">
                      <a:avLst/>
                    </a:prstGeom>
                  </pic:spPr>
                </pic:pic>
              </a:graphicData>
            </a:graphic>
          </wp:inline>
        </w:drawing>
      </w:r>
    </w:p>
    <w:p w:rsidR="0065657E" w:rsidRDefault="0065657E" w:rsidP="001133CA">
      <w:pPr>
        <w:pStyle w:val="Heading2"/>
        <w:spacing w:before="0"/>
      </w:pPr>
      <w:bookmarkStart w:id="39" w:name="_Toc365984765"/>
      <w:bookmarkStart w:id="40" w:name="_Toc397589527"/>
      <w:r>
        <w:lastRenderedPageBreak/>
        <w:t>Organisational structure</w:t>
      </w:r>
      <w:bookmarkEnd w:id="39"/>
      <w:bookmarkEnd w:id="40"/>
    </w:p>
    <w:p w:rsidR="0065657E" w:rsidRPr="002D63E4" w:rsidRDefault="0065657E" w:rsidP="006A77BB">
      <w:pPr>
        <w:pStyle w:val="BodyText"/>
      </w:pPr>
      <w:r w:rsidRPr="002D63E4">
        <w:t>The orga</w:t>
      </w:r>
      <w:r w:rsidR="00EB3C55">
        <w:t>nisational structure of the QSA</w:t>
      </w:r>
      <w:r w:rsidRPr="002D63E4">
        <w:t xml:space="preserve"> as at June 201</w:t>
      </w:r>
      <w:r w:rsidR="00F44113">
        <w:t>4</w:t>
      </w:r>
      <w:r w:rsidRPr="002D63E4">
        <w:t xml:space="preserve"> is shown </w:t>
      </w:r>
      <w:r w:rsidR="00476042">
        <w:t xml:space="preserve">in the diagram </w:t>
      </w:r>
      <w:r w:rsidRPr="002D63E4">
        <w:t>below. Members of the key corporate governance committee of the QSA are listed in Appendix</w:t>
      </w:r>
      <w:r w:rsidR="0049233E">
        <w:t xml:space="preserve"> </w:t>
      </w:r>
      <w:r w:rsidR="0049233E">
        <w:fldChar w:fldCharType="begin"/>
      </w:r>
      <w:r w:rsidR="0049233E">
        <w:instrText xml:space="preserve"> REF _Ref363111331 \w \h </w:instrText>
      </w:r>
      <w:r w:rsidR="00802EBC">
        <w:instrText xml:space="preserve"> \* MERGEFORMAT </w:instrText>
      </w:r>
      <w:r w:rsidR="0049233E">
        <w:fldChar w:fldCharType="separate"/>
      </w:r>
      <w:r w:rsidR="00C41AFC">
        <w:t>4</w:t>
      </w:r>
      <w:r w:rsidR="0049233E">
        <w:fldChar w:fldCharType="end"/>
      </w:r>
      <w:r w:rsidRPr="002D63E4">
        <w:t>.</w:t>
      </w:r>
    </w:p>
    <w:p w:rsidR="008C6A52" w:rsidRDefault="0065657E" w:rsidP="006A77BB">
      <w:pPr>
        <w:pStyle w:val="BodyText"/>
      </w:pPr>
      <w:r w:rsidRPr="002D63E4">
        <w:t xml:space="preserve">QSA’s central office </w:t>
      </w:r>
      <w:r w:rsidR="002067BC">
        <w:t>was</w:t>
      </w:r>
      <w:r w:rsidR="002067BC" w:rsidRPr="002D63E4">
        <w:t xml:space="preserve"> </w:t>
      </w:r>
      <w:r w:rsidRPr="002D63E4">
        <w:t>located at 154 Melbourne Street, South Brisbane. The QSA had 21</w:t>
      </w:r>
      <w:r w:rsidR="00F44113">
        <w:t>3</w:t>
      </w:r>
      <w:r w:rsidRPr="002D63E4">
        <w:t xml:space="preserve"> full-time equivalent staff as at June 201</w:t>
      </w:r>
      <w:r w:rsidR="00F17F87">
        <w:t>4</w:t>
      </w:r>
      <w:r w:rsidRPr="002D63E4">
        <w:t>, based mostly at the central office. The remainder work</w:t>
      </w:r>
      <w:r w:rsidR="002067BC">
        <w:t>ed</w:t>
      </w:r>
      <w:r w:rsidRPr="002D63E4">
        <w:t xml:space="preserve"> in 13 district offices across Queensland (district office contact details are listed in Appendix</w:t>
      </w:r>
      <w:r w:rsidR="004A2B64">
        <w:t xml:space="preserve"> </w:t>
      </w:r>
      <w:r w:rsidR="00EB3C55">
        <w:fldChar w:fldCharType="begin"/>
      </w:r>
      <w:r w:rsidR="00EB3C55">
        <w:instrText xml:space="preserve"> REF _Ref396835260 \n \h </w:instrText>
      </w:r>
      <w:r w:rsidR="00EB3C55">
        <w:fldChar w:fldCharType="separate"/>
      </w:r>
      <w:r w:rsidR="00C41AFC">
        <w:t>5</w:t>
      </w:r>
      <w:r w:rsidR="00EB3C55">
        <w:fldChar w:fldCharType="end"/>
      </w:r>
      <w:r w:rsidR="008754BB">
        <w:t>)</w:t>
      </w:r>
      <w:r w:rsidRPr="002D63E4">
        <w:t xml:space="preserve">. Positions </w:t>
      </w:r>
      <w:r w:rsidR="0008606B">
        <w:t>were</w:t>
      </w:r>
      <w:r w:rsidR="0008606B" w:rsidRPr="002D63E4">
        <w:t xml:space="preserve"> </w:t>
      </w:r>
      <w:r w:rsidRPr="002D63E4">
        <w:t>filled through a mix of perma</w:t>
      </w:r>
      <w:r w:rsidR="004E235F">
        <w:t>nent and temporary appointments</w:t>
      </w:r>
      <w:r w:rsidRPr="002D63E4">
        <w:t xml:space="preserve"> and secondments. </w:t>
      </w:r>
      <w:proofErr w:type="gramStart"/>
      <w:r w:rsidRPr="002D63E4">
        <w:t xml:space="preserve">Staff </w:t>
      </w:r>
      <w:r w:rsidR="0008606B">
        <w:t>were</w:t>
      </w:r>
      <w:proofErr w:type="gramEnd"/>
      <w:r w:rsidR="0008606B" w:rsidRPr="002D63E4">
        <w:t xml:space="preserve"> </w:t>
      </w:r>
      <w:r w:rsidRPr="002D63E4">
        <w:t>employed directly by the Authority as part of the Education, Training and Employment portfolio.</w:t>
      </w:r>
    </w:p>
    <w:p w:rsidR="00476042" w:rsidRDefault="00476042" w:rsidP="00476042">
      <w:pPr>
        <w:pStyle w:val="Caption"/>
      </w:pPr>
      <w:r>
        <w:t>Diagram 2</w:t>
      </w:r>
      <w:r w:rsidR="00975686">
        <w:t xml:space="preserve">: </w:t>
      </w:r>
      <w:r>
        <w:t>The QSA organisational structure</w:t>
      </w:r>
    </w:p>
    <w:p w:rsidR="0065657E" w:rsidRDefault="00727C51" w:rsidP="000C109B">
      <w:pPr>
        <w:pStyle w:val="BodyText"/>
      </w:pPr>
      <w:r>
        <w:rPr>
          <w:noProof/>
        </w:rPr>
        <w:drawing>
          <wp:inline distT="0" distB="0" distL="0" distR="0" wp14:anchorId="118D60B4" wp14:editId="77C38765">
            <wp:extent cx="5307995" cy="5370777"/>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screen">
                      <a:extLst>
                        <a:ext uri="{28A0092B-C50C-407E-A947-70E740481C1C}">
                          <a14:useLocalDpi xmlns:a14="http://schemas.microsoft.com/office/drawing/2010/main" val="0"/>
                        </a:ext>
                      </a:extLst>
                    </a:blip>
                    <a:stretch>
                      <a:fillRect/>
                    </a:stretch>
                  </pic:blipFill>
                  <pic:spPr bwMode="auto">
                    <a:xfrm>
                      <a:off x="0" y="0"/>
                      <a:ext cx="5307995" cy="5370777"/>
                    </a:xfrm>
                    <a:prstGeom prst="rect">
                      <a:avLst/>
                    </a:prstGeom>
                    <a:noFill/>
                  </pic:spPr>
                </pic:pic>
              </a:graphicData>
            </a:graphic>
          </wp:inline>
        </w:drawing>
      </w:r>
      <w:r w:rsidR="0065657E">
        <w:br w:type="page"/>
      </w:r>
    </w:p>
    <w:p w:rsidR="00DC7CDE" w:rsidRDefault="007403D9" w:rsidP="0065657E">
      <w:pPr>
        <w:pStyle w:val="Heading1"/>
      </w:pPr>
      <w:bookmarkStart w:id="41" w:name="_Toc365984766"/>
      <w:bookmarkStart w:id="42" w:name="_Toc397589528"/>
      <w:r>
        <w:lastRenderedPageBreak/>
        <w:t xml:space="preserve">Strategic Plan </w:t>
      </w:r>
      <w:r w:rsidR="001D63D5">
        <w:t>2013</w:t>
      </w:r>
      <w:r w:rsidR="00B50924">
        <w:t>–</w:t>
      </w:r>
      <w:r w:rsidR="0065657E" w:rsidRPr="0065657E">
        <w:t>1</w:t>
      </w:r>
      <w:r w:rsidR="001D63D5">
        <w:t>7</w:t>
      </w:r>
      <w:bookmarkEnd w:id="41"/>
      <w:bookmarkEnd w:id="42"/>
    </w:p>
    <w:p w:rsidR="00FD500E" w:rsidRPr="007E65F4" w:rsidRDefault="00FD500E" w:rsidP="000C109B">
      <w:pPr>
        <w:pStyle w:val="BodyText"/>
        <w:sectPr w:rsidR="00FD500E" w:rsidRPr="007E65F4" w:rsidSect="00FD5F1B">
          <w:type w:val="continuous"/>
          <w:pgSz w:w="11907" w:h="16840" w:code="9"/>
          <w:pgMar w:top="1134" w:right="1191" w:bottom="1418" w:left="1191" w:header="567" w:footer="680" w:gutter="0"/>
          <w:cols w:space="720"/>
          <w:formProt w:val="0"/>
          <w:noEndnote/>
          <w:docGrid w:linePitch="299"/>
        </w:sectPr>
      </w:pPr>
      <w:bookmarkStart w:id="43" w:name="_Toc362947456"/>
    </w:p>
    <w:p w:rsidR="0065657E" w:rsidRPr="00B32CBA" w:rsidRDefault="0065657E" w:rsidP="00B85913">
      <w:pPr>
        <w:pStyle w:val="Heading2"/>
        <w:spacing w:before="0"/>
      </w:pPr>
      <w:bookmarkStart w:id="44" w:name="_Toc365984767"/>
      <w:bookmarkStart w:id="45" w:name="_Toc397589529"/>
      <w:r w:rsidRPr="00B32CBA">
        <w:lastRenderedPageBreak/>
        <w:t>Planning and objectives</w:t>
      </w:r>
      <w:bookmarkEnd w:id="43"/>
      <w:bookmarkEnd w:id="44"/>
      <w:bookmarkEnd w:id="45"/>
    </w:p>
    <w:p w:rsidR="001D63D5" w:rsidRDefault="001D63D5" w:rsidP="006A77BB">
      <w:pPr>
        <w:pStyle w:val="BodyText"/>
      </w:pPr>
      <w:bookmarkStart w:id="46" w:name="_Toc274045247"/>
      <w:bookmarkStart w:id="47" w:name="_Toc300136474"/>
      <w:r>
        <w:t>The Strategic Plan 2013–17 was developed to shape and guide the operations of the QSA with a focus on the future. It provided the framework for its operational planning process within a context of ongoing educational reform at both state and national levels.</w:t>
      </w:r>
    </w:p>
    <w:p w:rsidR="001D63D5" w:rsidRDefault="001D63D5" w:rsidP="006A77BB">
      <w:pPr>
        <w:pStyle w:val="BodyText"/>
      </w:pPr>
      <w:r>
        <w:t>The plan outline</w:t>
      </w:r>
      <w:r w:rsidR="0008606B">
        <w:t>d</w:t>
      </w:r>
      <w:r>
        <w:t xml:space="preserve"> the strategies for achieving the QSA’s</w:t>
      </w:r>
      <w:r w:rsidR="000B0306">
        <w:t> </w:t>
      </w:r>
      <w:r>
        <w:t>vision — to provide quality, innovative and future-focused products and services to assist all Queensland educational communities.</w:t>
      </w:r>
    </w:p>
    <w:p w:rsidR="008C6A52" w:rsidRDefault="001D63D5" w:rsidP="006A77BB">
      <w:pPr>
        <w:pStyle w:val="BodyText"/>
      </w:pPr>
      <w:r>
        <w:t>The priorities in the plan reflect the Queensland Government’s commitment to revitalise front-line services for families by assisting teachers to develop high quality curriculum for the classroom.</w:t>
      </w:r>
    </w:p>
    <w:p w:rsidR="001D63D5" w:rsidRDefault="001D63D5" w:rsidP="006A77BB">
      <w:pPr>
        <w:pStyle w:val="BodyText"/>
      </w:pPr>
      <w:r>
        <w:t>The strategic objectives support</w:t>
      </w:r>
      <w:r w:rsidR="005917DD">
        <w:t>ed</w:t>
      </w:r>
      <w:r>
        <w:t xml:space="preserve"> the Government’s goals and high standards of education in Queensland:</w:t>
      </w:r>
    </w:p>
    <w:p w:rsidR="001D63D5" w:rsidRDefault="001D63D5" w:rsidP="001D63D5">
      <w:pPr>
        <w:pStyle w:val="ListBullet0"/>
      </w:pPr>
      <w:r>
        <w:t>develop innovative syllabuses and supporting products that assist schools to prepare young people for life and work in the 21st century</w:t>
      </w:r>
    </w:p>
    <w:p w:rsidR="001D63D5" w:rsidRDefault="001D63D5" w:rsidP="001D63D5">
      <w:pPr>
        <w:pStyle w:val="ListBullet0"/>
      </w:pPr>
      <w:r>
        <w:t>provide assessments and other resources that enable students to demonstrate achievement and provide useful information for teachers, parents and other stakeholders</w:t>
      </w:r>
    </w:p>
    <w:p w:rsidR="008C6A52" w:rsidRDefault="001D63D5" w:rsidP="001D63D5">
      <w:pPr>
        <w:pStyle w:val="ListBullet0"/>
      </w:pPr>
      <w:proofErr w:type="gramStart"/>
      <w:r>
        <w:t>efficient</w:t>
      </w:r>
      <w:proofErr w:type="gramEnd"/>
      <w:r>
        <w:t xml:space="preserve"> and effective delivery of our products and services.</w:t>
      </w:r>
    </w:p>
    <w:p w:rsidR="005917DD" w:rsidRDefault="001D63D5" w:rsidP="006A77BB">
      <w:pPr>
        <w:pStyle w:val="BodyText"/>
      </w:pPr>
      <w:r>
        <w:t xml:space="preserve">QSA also contributed to </w:t>
      </w:r>
      <w:r w:rsidR="00C8683D">
        <w:t>several</w:t>
      </w:r>
      <w:r>
        <w:t xml:space="preserve"> whole-of-government projects. These include</w:t>
      </w:r>
      <w:r w:rsidR="0008606B">
        <w:t>d</w:t>
      </w:r>
      <w:r>
        <w:t xml:space="preserve"> implementation</w:t>
      </w:r>
      <w:r w:rsidR="00C8683D">
        <w:t xml:space="preserve"> of the recommendations of the I</w:t>
      </w:r>
      <w:r>
        <w:t xml:space="preserve">ndependent Commission of Audit, the Open Data Revolution and the Red Tape Reduction Program. </w:t>
      </w:r>
    </w:p>
    <w:p w:rsidR="008C6A52" w:rsidRDefault="001D63D5" w:rsidP="006A77BB">
      <w:pPr>
        <w:pStyle w:val="BodyText"/>
      </w:pPr>
      <w:r>
        <w:t xml:space="preserve">A number of QSA’s services were revised during </w:t>
      </w:r>
      <w:r w:rsidR="005917DD">
        <w:br/>
      </w:r>
      <w:r>
        <w:t>2013–14 to increase efficiency and deliver better outcomes for clients.</w:t>
      </w:r>
    </w:p>
    <w:p w:rsidR="0065657E" w:rsidRPr="006C4289" w:rsidRDefault="00682196" w:rsidP="00682196">
      <w:pPr>
        <w:pStyle w:val="Heading2"/>
        <w:spacing w:before="0"/>
      </w:pPr>
      <w:bookmarkStart w:id="48" w:name="_Toc362947457"/>
      <w:r>
        <w:br w:type="column"/>
      </w:r>
      <w:bookmarkStart w:id="49" w:name="_Toc365984768"/>
      <w:bookmarkStart w:id="50" w:name="_Toc397589530"/>
      <w:r w:rsidR="0065657E" w:rsidRPr="00682196">
        <w:lastRenderedPageBreak/>
        <w:t>Performance</w:t>
      </w:r>
      <w:r w:rsidR="0065657E" w:rsidRPr="006C4289">
        <w:t xml:space="preserve"> against objectives</w:t>
      </w:r>
      <w:bookmarkEnd w:id="46"/>
      <w:bookmarkEnd w:id="47"/>
      <w:bookmarkEnd w:id="48"/>
      <w:bookmarkEnd w:id="49"/>
      <w:bookmarkEnd w:id="50"/>
    </w:p>
    <w:p w:rsidR="00682196" w:rsidRDefault="0065657E" w:rsidP="006A77BB">
      <w:pPr>
        <w:pStyle w:val="BodyText"/>
      </w:pPr>
      <w:r w:rsidRPr="006C4289">
        <w:t xml:space="preserve">A summary of achievements is presented on </w:t>
      </w:r>
      <w:r w:rsidRPr="00682196">
        <w:t>page </w:t>
      </w:r>
      <w:r w:rsidR="00682196" w:rsidRPr="00682196">
        <w:fldChar w:fldCharType="begin"/>
      </w:r>
      <w:r w:rsidR="00682196" w:rsidRPr="00682196">
        <w:instrText xml:space="preserve"> PAGEREF _Ref331756884 \h </w:instrText>
      </w:r>
      <w:r w:rsidR="00682196" w:rsidRPr="00682196">
        <w:fldChar w:fldCharType="separate"/>
      </w:r>
      <w:r w:rsidR="00C41AFC">
        <w:rPr>
          <w:noProof/>
        </w:rPr>
        <w:t>3</w:t>
      </w:r>
      <w:r w:rsidR="00682196" w:rsidRPr="00682196">
        <w:fldChar w:fldCharType="end"/>
      </w:r>
      <w:r w:rsidRPr="00682196">
        <w:t>.</w:t>
      </w:r>
    </w:p>
    <w:p w:rsidR="007403D9" w:rsidRDefault="0065657E" w:rsidP="006A77BB">
      <w:pPr>
        <w:pStyle w:val="BodyText"/>
      </w:pPr>
      <w:r>
        <w:t xml:space="preserve">Performance against </w:t>
      </w:r>
      <w:r w:rsidR="00DA7DC4">
        <w:t>the following indicators</w:t>
      </w:r>
      <w:r>
        <w:t xml:space="preserve"> identified in the plan is</w:t>
      </w:r>
      <w:r w:rsidR="00DA7DC4">
        <w:t xml:space="preserve"> detailed throughout the report:</w:t>
      </w:r>
    </w:p>
    <w:p w:rsidR="00DA7DC4" w:rsidRPr="00DA7DC4" w:rsidRDefault="00DA7DC4" w:rsidP="00DA7DC4">
      <w:pPr>
        <w:pStyle w:val="ListBullet0"/>
      </w:pPr>
      <w:r w:rsidRPr="00DA7DC4">
        <w:t xml:space="preserve">Queensland schools provided with products and services to enable successful integration of the new Australian Curriculum </w:t>
      </w:r>
      <w:r w:rsidR="004253A9">
        <w:t>with the Queensland curriculum</w:t>
      </w:r>
    </w:p>
    <w:p w:rsidR="00DA7DC4" w:rsidRPr="00DA7DC4" w:rsidRDefault="004253A9" w:rsidP="00DA7DC4">
      <w:pPr>
        <w:pStyle w:val="ListBullet0"/>
      </w:pPr>
      <w:r>
        <w:t>p</w:t>
      </w:r>
      <w:r w:rsidR="00DA7DC4" w:rsidRPr="00DA7DC4">
        <w:t>ercentage of stakeholders surveyed who consider the syllabuses and support materials developed</w:t>
      </w:r>
      <w:r>
        <w:t xml:space="preserve"> by the QSA to be satisfactory</w:t>
      </w:r>
    </w:p>
    <w:p w:rsidR="00DA7DC4" w:rsidRPr="00DA7DC4" w:rsidRDefault="004253A9" w:rsidP="00DA7DC4">
      <w:pPr>
        <w:pStyle w:val="ListBullet0"/>
      </w:pPr>
      <w:r>
        <w:t>a</w:t>
      </w:r>
      <w:r w:rsidR="00DA7DC4" w:rsidRPr="00DA7DC4">
        <w:t>ver</w:t>
      </w:r>
      <w:r>
        <w:t>age cost per syllabus revision</w:t>
      </w:r>
    </w:p>
    <w:p w:rsidR="00DA7DC4" w:rsidRDefault="004253A9" w:rsidP="0013789F">
      <w:pPr>
        <w:pStyle w:val="ListBullet0"/>
      </w:pPr>
      <w:r>
        <w:t>e</w:t>
      </w:r>
      <w:r w:rsidR="00DA7DC4" w:rsidRPr="00DA7DC4">
        <w:t xml:space="preserve">xternal audit of QSA VET management processes demonstrates compliance with </w:t>
      </w:r>
      <w:r w:rsidR="0013789F" w:rsidRPr="0013789F">
        <w:t>standards for National VET Regulator Registered Training Organisations</w:t>
      </w:r>
    </w:p>
    <w:p w:rsidR="0013789F" w:rsidRPr="00DA7DC4" w:rsidRDefault="0013789F" w:rsidP="0013789F">
      <w:pPr>
        <w:pStyle w:val="ListBullet0"/>
      </w:pPr>
      <w:r>
        <w:t>VET data supplied in agreed timeframes</w:t>
      </w:r>
    </w:p>
    <w:p w:rsidR="00DA7DC4" w:rsidRPr="00DA7DC4" w:rsidRDefault="004253A9" w:rsidP="00DA7DC4">
      <w:pPr>
        <w:pStyle w:val="ListBullet0"/>
      </w:pPr>
      <w:r>
        <w:t>d</w:t>
      </w:r>
      <w:r w:rsidR="00DA7DC4" w:rsidRPr="00DA7DC4">
        <w:t xml:space="preserve">istribution of test materials and reports for NAPLAN </w:t>
      </w:r>
      <w:r>
        <w:t>within designated timeframes</w:t>
      </w:r>
    </w:p>
    <w:p w:rsidR="00DA7DC4" w:rsidRPr="00DA7DC4" w:rsidRDefault="004253A9" w:rsidP="00DA7DC4">
      <w:pPr>
        <w:pStyle w:val="ListBullet0"/>
      </w:pPr>
      <w:r>
        <w:t>a</w:t>
      </w:r>
      <w:r w:rsidR="00DA7DC4" w:rsidRPr="00DA7DC4">
        <w:t>verage cost per student of developing and is</w:t>
      </w:r>
      <w:r>
        <w:t>suing the NAPLAN student report</w:t>
      </w:r>
    </w:p>
    <w:p w:rsidR="00DA7DC4" w:rsidRDefault="004253A9" w:rsidP="00DA7DC4">
      <w:pPr>
        <w:pStyle w:val="ListBullet0"/>
      </w:pPr>
      <w:r>
        <w:t>d</w:t>
      </w:r>
      <w:r w:rsidR="005917DD">
        <w:t>istribution of QCS Test and Senior Education P</w:t>
      </w:r>
      <w:r w:rsidR="00DA7DC4" w:rsidRPr="00DA7DC4">
        <w:t>rofile report</w:t>
      </w:r>
      <w:r w:rsidR="006A77BB">
        <w:t>s within designated time</w:t>
      </w:r>
      <w:r>
        <w:t>frames</w:t>
      </w:r>
    </w:p>
    <w:p w:rsidR="0013789F" w:rsidRPr="00DA7DC4" w:rsidRDefault="0013789F" w:rsidP="00DA7DC4">
      <w:pPr>
        <w:pStyle w:val="ListBullet0"/>
      </w:pPr>
      <w:r>
        <w:t xml:space="preserve">average cost per student of developing </w:t>
      </w:r>
      <w:r w:rsidR="008C6A52">
        <w:t>and issuing</w:t>
      </w:r>
      <w:r>
        <w:t xml:space="preserve"> Senior Education Profiles</w:t>
      </w:r>
    </w:p>
    <w:p w:rsidR="00DA7DC4" w:rsidRPr="00DA7DC4" w:rsidRDefault="004253A9" w:rsidP="00DA7DC4">
      <w:pPr>
        <w:pStyle w:val="ListBullet0"/>
      </w:pPr>
      <w:r>
        <w:t>t</w:t>
      </w:r>
      <w:r w:rsidR="00DA7DC4" w:rsidRPr="00DA7DC4">
        <w:t xml:space="preserve">he percentage of </w:t>
      </w:r>
      <w:r w:rsidR="00120DDB">
        <w:t>Year 12 students</w:t>
      </w:r>
      <w:r w:rsidR="00DA7DC4" w:rsidRPr="00DA7DC4">
        <w:t xml:space="preserve"> whose QCE eligibility status changed </w:t>
      </w:r>
      <w:r w:rsidR="00120DDB">
        <w:t>as a result of internal review</w:t>
      </w:r>
    </w:p>
    <w:p w:rsidR="00120DDB" w:rsidRDefault="00120DDB" w:rsidP="00120DDB">
      <w:pPr>
        <w:pStyle w:val="ListBullet0"/>
      </w:pPr>
      <w:r w:rsidRPr="00120DDB">
        <w:t xml:space="preserve">the percentage of all OP-eligible Year 12 students whose </w:t>
      </w:r>
      <w:r w:rsidR="008C6A52" w:rsidRPr="00120DDB">
        <w:t>tertiary</w:t>
      </w:r>
      <w:r w:rsidRPr="00120DDB">
        <w:t xml:space="preserve"> entrance statement changed for reasons other than school data error</w:t>
      </w:r>
    </w:p>
    <w:p w:rsidR="00120DDB" w:rsidRPr="00120DDB" w:rsidRDefault="00120DDB" w:rsidP="00120DDB">
      <w:pPr>
        <w:pStyle w:val="ListBullet0"/>
      </w:pPr>
      <w:r w:rsidRPr="00120DDB">
        <w:t>average cost per student of tertiary entrance and pathway information programs</w:t>
      </w:r>
    </w:p>
    <w:p w:rsidR="00831DF1" w:rsidRPr="00831DF1" w:rsidRDefault="004253A9" w:rsidP="000A7DE6">
      <w:pPr>
        <w:pStyle w:val="ListBullet0"/>
      </w:pPr>
      <w:proofErr w:type="gramStart"/>
      <w:r>
        <w:t>o</w:t>
      </w:r>
      <w:r w:rsidR="00DA7DC4" w:rsidRPr="00DA7DC4">
        <w:t>utcomes</w:t>
      </w:r>
      <w:proofErr w:type="gramEnd"/>
      <w:r w:rsidR="00DA7DC4" w:rsidRPr="00DA7DC4">
        <w:t xml:space="preserve"> of the external au</w:t>
      </w:r>
      <w:r>
        <w:t>dit of QSA financial statements</w:t>
      </w:r>
      <w:r w:rsidR="00682196">
        <w:t>.</w:t>
      </w:r>
      <w:r w:rsidR="00831DF1">
        <w:br w:type="page"/>
      </w:r>
    </w:p>
    <w:p w:rsidR="00FD500E" w:rsidRPr="0049233E" w:rsidRDefault="00FD500E" w:rsidP="006A77BB">
      <w:pPr>
        <w:pStyle w:val="BodyText"/>
        <w:sectPr w:rsidR="00FD500E" w:rsidRPr="0049233E" w:rsidSect="00FD5F1B">
          <w:type w:val="continuous"/>
          <w:pgSz w:w="11907" w:h="16840" w:code="9"/>
          <w:pgMar w:top="1134" w:right="1191" w:bottom="1418" w:left="1191" w:header="567" w:footer="680" w:gutter="0"/>
          <w:cols w:num="2" w:space="567"/>
          <w:formProt w:val="0"/>
          <w:noEndnote/>
          <w:docGrid w:linePitch="299"/>
        </w:sectPr>
      </w:pPr>
    </w:p>
    <w:p w:rsidR="0065657E" w:rsidRDefault="0065657E" w:rsidP="00FD500E">
      <w:pPr>
        <w:pStyle w:val="Heading1"/>
        <w:spacing w:before="0"/>
      </w:pPr>
      <w:bookmarkStart w:id="51" w:name="_Toc365984770"/>
      <w:bookmarkStart w:id="52" w:name="_Toc397589531"/>
      <w:r>
        <w:lastRenderedPageBreak/>
        <w:t>Program review</w:t>
      </w:r>
      <w:bookmarkEnd w:id="51"/>
      <w:bookmarkEnd w:id="52"/>
    </w:p>
    <w:p w:rsidR="00990CF2" w:rsidRDefault="00990CF2" w:rsidP="006A77BB">
      <w:pPr>
        <w:pStyle w:val="BodyText"/>
        <w:sectPr w:rsidR="00990CF2" w:rsidSect="00FD5F1B">
          <w:type w:val="continuous"/>
          <w:pgSz w:w="11907" w:h="16840" w:code="9"/>
          <w:pgMar w:top="1134" w:right="1191" w:bottom="1418" w:left="1191" w:header="567" w:footer="680" w:gutter="0"/>
          <w:cols w:space="720"/>
          <w:formProt w:val="0"/>
          <w:noEndnote/>
          <w:docGrid w:linePitch="299"/>
        </w:sectPr>
      </w:pPr>
    </w:p>
    <w:p w:rsidR="002E52F9" w:rsidRDefault="002E52F9" w:rsidP="002E52F9">
      <w:pPr>
        <w:pStyle w:val="Heading2"/>
        <w:spacing w:before="0"/>
      </w:pPr>
      <w:bookmarkStart w:id="53" w:name="_Toc365984771"/>
      <w:bookmarkStart w:id="54" w:name="_Toc397589532"/>
      <w:r>
        <w:lastRenderedPageBreak/>
        <w:t>Syllabus development and implementation</w:t>
      </w:r>
      <w:bookmarkEnd w:id="53"/>
      <w:bookmarkEnd w:id="54"/>
    </w:p>
    <w:p w:rsidR="002E52F9" w:rsidRPr="002D63E4" w:rsidRDefault="002E52F9" w:rsidP="006A77BB">
      <w:pPr>
        <w:pStyle w:val="BodyText"/>
      </w:pPr>
      <w:r w:rsidRPr="002D63E4">
        <w:t>During 201</w:t>
      </w:r>
      <w:r w:rsidR="00667A40">
        <w:t>3</w:t>
      </w:r>
      <w:r w:rsidRPr="002D63E4">
        <w:t>–1</w:t>
      </w:r>
      <w:r w:rsidR="00667A40">
        <w:t>4</w:t>
      </w:r>
      <w:r w:rsidRPr="002D63E4">
        <w:t xml:space="preserve">, the QSA continued to develop its vision of an innovative </w:t>
      </w:r>
      <w:r w:rsidR="000B0306">
        <w:t>and future-</w:t>
      </w:r>
      <w:r w:rsidR="008A3A4F">
        <w:t xml:space="preserve">focused kindergarten to </w:t>
      </w:r>
      <w:r w:rsidRPr="002D63E4">
        <w:t>Year 12 education framework based</w:t>
      </w:r>
      <w:r w:rsidR="008A3A4F">
        <w:t> </w:t>
      </w:r>
      <w:r w:rsidRPr="002D63E4">
        <w:t>on:</w:t>
      </w:r>
    </w:p>
    <w:p w:rsidR="002E52F9" w:rsidRPr="00831DF1" w:rsidRDefault="002E52F9" w:rsidP="002E52F9">
      <w:pPr>
        <w:pStyle w:val="ListBullet0"/>
      </w:pPr>
      <w:r w:rsidRPr="00831DF1">
        <w:t>syllabus design principles and elements that create the conditions for teachers to shape a curriculum that meets the needs of their students</w:t>
      </w:r>
    </w:p>
    <w:p w:rsidR="002E52F9" w:rsidRPr="00831DF1" w:rsidRDefault="002E52F9" w:rsidP="002E52F9">
      <w:pPr>
        <w:pStyle w:val="ListBullet0"/>
      </w:pPr>
      <w:r w:rsidRPr="00831DF1">
        <w:t>phases of learning with a specific developmental focus</w:t>
      </w:r>
    </w:p>
    <w:p w:rsidR="002E52F9" w:rsidRPr="00831DF1" w:rsidRDefault="002E52F9" w:rsidP="002E52F9">
      <w:pPr>
        <w:pStyle w:val="ListBullet0"/>
      </w:pPr>
      <w:r w:rsidRPr="00831DF1">
        <w:t>syllabus and guideline content that focuses on the expected learning and sets the parameters for the intended curriculum</w:t>
      </w:r>
    </w:p>
    <w:p w:rsidR="002E52F9" w:rsidRPr="00831DF1" w:rsidRDefault="002E52F9" w:rsidP="002E52F9">
      <w:pPr>
        <w:pStyle w:val="ListBullet0"/>
      </w:pPr>
      <w:proofErr w:type="gramStart"/>
      <w:r w:rsidRPr="00831DF1">
        <w:t>assessment</w:t>
      </w:r>
      <w:proofErr w:type="gramEnd"/>
      <w:r w:rsidRPr="00831DF1">
        <w:t>, standards and consistency</w:t>
      </w:r>
      <w:r w:rsidR="00083A4B">
        <w:t xml:space="preserve"> that show how standards-</w:t>
      </w:r>
      <w:r w:rsidRPr="00831DF1">
        <w:t>based, school</w:t>
      </w:r>
      <w:r w:rsidR="0065542E">
        <w:t>-</w:t>
      </w:r>
      <w:r w:rsidRPr="00831DF1">
        <w:t>based assessment is integral to the teaching and learning process.</w:t>
      </w:r>
    </w:p>
    <w:p w:rsidR="008C6A52" w:rsidRDefault="002E52F9" w:rsidP="006A77BB">
      <w:pPr>
        <w:pStyle w:val="BodyText"/>
      </w:pPr>
      <w:r w:rsidRPr="000A7DE6">
        <w:t>A survey of education</w:t>
      </w:r>
      <w:r w:rsidRPr="002D63E4">
        <w:t xml:space="preserve"> stakeholders showed that </w:t>
      </w:r>
      <w:r w:rsidR="00667A40">
        <w:t>88</w:t>
      </w:r>
      <w:r w:rsidRPr="002D63E4">
        <w:t>% were satisfied with the syllabuses and support materials that the QSA developed in 201</w:t>
      </w:r>
      <w:r w:rsidR="00667A40">
        <w:t>3</w:t>
      </w:r>
      <w:r w:rsidRPr="002D63E4">
        <w:t>–1</w:t>
      </w:r>
      <w:r w:rsidR="00667A40">
        <w:t>4</w:t>
      </w:r>
      <w:r w:rsidR="00012ABC">
        <w:t xml:space="preserve">, </w:t>
      </w:r>
      <w:r w:rsidR="009D76D9">
        <w:t xml:space="preserve">a drop of </w:t>
      </w:r>
      <w:r w:rsidR="00667A40">
        <w:t>2</w:t>
      </w:r>
      <w:r w:rsidRPr="002D63E4">
        <w:t xml:space="preserve">% </w:t>
      </w:r>
      <w:r w:rsidR="009D76D9">
        <w:t xml:space="preserve">from </w:t>
      </w:r>
      <w:r w:rsidR="00012ABC">
        <w:t>the previous year.</w:t>
      </w:r>
    </w:p>
    <w:p w:rsidR="00575194" w:rsidRDefault="00575194" w:rsidP="00575194">
      <w:pPr>
        <w:pStyle w:val="Heading3"/>
      </w:pPr>
      <w:r>
        <w:t>Transition to the Australian Curriculum</w:t>
      </w:r>
    </w:p>
    <w:p w:rsidR="0065657E" w:rsidRPr="0065657E" w:rsidRDefault="0065657E" w:rsidP="006A77BB">
      <w:pPr>
        <w:pStyle w:val="BodyText"/>
      </w:pPr>
      <w:r w:rsidRPr="0065657E">
        <w:t xml:space="preserve">The QSA </w:t>
      </w:r>
      <w:r w:rsidR="000B5663">
        <w:t>worked</w:t>
      </w:r>
      <w:r w:rsidRPr="0065657E">
        <w:t xml:space="preserve"> with its education partners to ensure a smooth transition to the Australian Curriculum and promote the best interests of Queensland schools.</w:t>
      </w:r>
    </w:p>
    <w:p w:rsidR="0065657E" w:rsidRPr="0065657E" w:rsidRDefault="0065657E" w:rsidP="0065657E">
      <w:pPr>
        <w:pStyle w:val="Normallead-in"/>
      </w:pPr>
      <w:r w:rsidRPr="0065657E">
        <w:t xml:space="preserve">QSA’s partnership with the school sectors </w:t>
      </w:r>
      <w:r w:rsidR="000B5663">
        <w:t>was</w:t>
      </w:r>
      <w:r w:rsidR="000B5663" w:rsidRPr="0065657E">
        <w:t xml:space="preserve"> </w:t>
      </w:r>
      <w:r w:rsidRPr="0065657E">
        <w:t>coordinated through the Transition to Australian Curriculum Steering Committee, which provide</w:t>
      </w:r>
      <w:r w:rsidR="000B5663">
        <w:t>d</w:t>
      </w:r>
      <w:r w:rsidRPr="0065657E">
        <w:t xml:space="preserve"> a structure for ensuring Queensland schools receive</w:t>
      </w:r>
      <w:r w:rsidR="000B5663">
        <w:t>d</w:t>
      </w:r>
      <w:r w:rsidRPr="0065657E">
        <w:t xml:space="preserve"> consistent and timely information about the new curriculum. As an activity of the committee, the QSA developed an agreed implementation plan and </w:t>
      </w:r>
      <w:r w:rsidR="00575194">
        <w:br/>
      </w:r>
      <w:r w:rsidRPr="0065657E">
        <w:t>Prep</w:t>
      </w:r>
      <w:r w:rsidR="00575194">
        <w:t>–Year 12</w:t>
      </w:r>
      <w:r w:rsidRPr="0065657E">
        <w:t xml:space="preserve"> (P–12</w:t>
      </w:r>
      <w:r w:rsidR="00575194">
        <w:t>)</w:t>
      </w:r>
      <w:r w:rsidR="00D67C2F">
        <w:t xml:space="preserve"> work plan that addressed</w:t>
      </w:r>
      <w:r w:rsidRPr="0065657E">
        <w:t>:</w:t>
      </w:r>
    </w:p>
    <w:p w:rsidR="0065657E" w:rsidRPr="00C70157" w:rsidRDefault="0065657E" w:rsidP="00C716A9">
      <w:pPr>
        <w:pStyle w:val="ListBullet0"/>
      </w:pPr>
      <w:r w:rsidRPr="00C70157">
        <w:t>guidelines and advice</w:t>
      </w:r>
    </w:p>
    <w:p w:rsidR="0065657E" w:rsidRPr="00C70157" w:rsidRDefault="0065657E" w:rsidP="00C716A9">
      <w:pPr>
        <w:pStyle w:val="ListBullet0"/>
      </w:pPr>
      <w:r w:rsidRPr="00C70157">
        <w:t>resource development</w:t>
      </w:r>
    </w:p>
    <w:p w:rsidR="0065657E" w:rsidRPr="00C70157" w:rsidRDefault="0065657E" w:rsidP="00C716A9">
      <w:pPr>
        <w:pStyle w:val="ListBullet0"/>
      </w:pPr>
      <w:r w:rsidRPr="00C70157">
        <w:t>professional development</w:t>
      </w:r>
    </w:p>
    <w:p w:rsidR="0065657E" w:rsidRPr="00C70157" w:rsidRDefault="0065657E" w:rsidP="00C716A9">
      <w:pPr>
        <w:pStyle w:val="ListBullet0"/>
      </w:pPr>
      <w:r w:rsidRPr="00C70157">
        <w:t>communication</w:t>
      </w:r>
    </w:p>
    <w:p w:rsidR="0065657E" w:rsidRPr="00C70157" w:rsidRDefault="0065657E" w:rsidP="00C716A9">
      <w:pPr>
        <w:pStyle w:val="ListBullet0"/>
      </w:pPr>
      <w:r w:rsidRPr="00C70157">
        <w:t>ICT infrastructure.</w:t>
      </w:r>
    </w:p>
    <w:p w:rsidR="0065657E" w:rsidRPr="003717FB" w:rsidRDefault="0065657E" w:rsidP="003717FB">
      <w:pPr>
        <w:pStyle w:val="Heading4"/>
      </w:pPr>
      <w:r w:rsidRPr="003717FB">
        <w:t>Curriculum development</w:t>
      </w:r>
    </w:p>
    <w:p w:rsidR="0065657E" w:rsidRPr="002D63E4" w:rsidRDefault="0065657E" w:rsidP="002E52F9">
      <w:pPr>
        <w:pStyle w:val="Normallead-in"/>
      </w:pPr>
      <w:r w:rsidRPr="002D63E4">
        <w:t>QSA’s key curriculum development activities included:</w:t>
      </w:r>
    </w:p>
    <w:p w:rsidR="0065657E" w:rsidRPr="00C70157" w:rsidRDefault="0065657E" w:rsidP="00C716A9">
      <w:pPr>
        <w:pStyle w:val="ListBullet0"/>
      </w:pPr>
      <w:r w:rsidRPr="00C70157">
        <w:t>providing advice about P–12 curriculum content, achievement standards, assessment and implementation strategies to inform Queensland’s position at national and state meetings</w:t>
      </w:r>
    </w:p>
    <w:p w:rsidR="0065657E" w:rsidRPr="00C70157" w:rsidRDefault="0065657E" w:rsidP="00C716A9">
      <w:pPr>
        <w:pStyle w:val="ListBullet0"/>
      </w:pPr>
      <w:r w:rsidRPr="00C70157">
        <w:lastRenderedPageBreak/>
        <w:t>developing coordinated Queensland responses to</w:t>
      </w:r>
    </w:p>
    <w:p w:rsidR="000B5663" w:rsidRDefault="000B5663" w:rsidP="00D34CFC">
      <w:pPr>
        <w:pStyle w:val="ListBullet2"/>
      </w:pPr>
      <w:r>
        <w:t>the review of the Australian Curriculum</w:t>
      </w:r>
    </w:p>
    <w:p w:rsidR="000B5663" w:rsidRDefault="000B5663" w:rsidP="000B5663">
      <w:pPr>
        <w:pStyle w:val="ListBullet2"/>
        <w:tabs>
          <w:tab w:val="clear" w:pos="454"/>
          <w:tab w:val="num" w:pos="794"/>
        </w:tabs>
      </w:pPr>
      <w:r w:rsidRPr="00327D77">
        <w:t>draft P–10</w:t>
      </w:r>
      <w:r>
        <w:t xml:space="preserve"> </w:t>
      </w:r>
      <w:r w:rsidRPr="00327D77">
        <w:t>curriculum materials for the</w:t>
      </w:r>
      <w:r>
        <w:t xml:space="preserve"> </w:t>
      </w:r>
      <w:r w:rsidRPr="00327D77">
        <w:t>Aboriginal and Torres Strait Islander Languages Framework</w:t>
      </w:r>
      <w:r w:rsidR="001C6E03">
        <w:t>,</w:t>
      </w:r>
      <w:r>
        <w:t xml:space="preserve"> </w:t>
      </w:r>
      <w:r w:rsidR="00D67C2F">
        <w:t xml:space="preserve">Civics and Citizenship, and </w:t>
      </w:r>
      <w:r>
        <w:t xml:space="preserve">Stage 2 </w:t>
      </w:r>
      <w:r w:rsidRPr="00327D77">
        <w:t xml:space="preserve">Languages </w:t>
      </w:r>
      <w:r>
        <w:t xml:space="preserve">(Arabic, French, German, Indonesian, Japanese, Korean, Modern </w:t>
      </w:r>
      <w:r w:rsidR="00D67C2F">
        <w:t>Greek, Spanish and Vietnamese)</w:t>
      </w:r>
    </w:p>
    <w:p w:rsidR="0065657E" w:rsidRPr="00C70157" w:rsidRDefault="0065657E" w:rsidP="00C716A9">
      <w:pPr>
        <w:pStyle w:val="ListBullet0"/>
      </w:pPr>
      <w:r w:rsidRPr="00C70157">
        <w:t>coordinating participation of Queensland teachers and curriculum specialists in national forums, national panels and Australian Curriculum, Assessment and Reporting Authority (ACARA) advisory committees</w:t>
      </w:r>
    </w:p>
    <w:p w:rsidR="000B5663" w:rsidRPr="00327D77" w:rsidRDefault="0065657E" w:rsidP="00D67C2F">
      <w:pPr>
        <w:pStyle w:val="ListBullet0"/>
      </w:pPr>
      <w:proofErr w:type="gramStart"/>
      <w:r w:rsidRPr="00C70157">
        <w:t>coordinating</w:t>
      </w:r>
      <w:proofErr w:type="gramEnd"/>
      <w:r w:rsidRPr="00C70157">
        <w:t xml:space="preserve"> Queensland participation in ACARA projects including</w:t>
      </w:r>
      <w:r w:rsidR="008C6A52">
        <w:t xml:space="preserve"> </w:t>
      </w:r>
      <w:r w:rsidR="000B5663">
        <w:t>validation of the achievement standards for the Australian Curriculum</w:t>
      </w:r>
      <w:r w:rsidR="00D67C2F">
        <w:t xml:space="preserve">: </w:t>
      </w:r>
      <w:r w:rsidR="000B5663">
        <w:t>Languages (Arabic, Chinese, French, German, Indonesian, Italian, Japanese, Korean, Modern Greek, Spanish and Vietnamese).</w:t>
      </w:r>
    </w:p>
    <w:p w:rsidR="0065657E" w:rsidRPr="003717FB" w:rsidRDefault="0065657E" w:rsidP="003717FB">
      <w:pPr>
        <w:pStyle w:val="Heading4"/>
      </w:pPr>
      <w:r w:rsidRPr="003717FB">
        <w:t>Guidelines and advice</w:t>
      </w:r>
    </w:p>
    <w:p w:rsidR="008C6A52" w:rsidRDefault="00081AD4" w:rsidP="006A77BB">
      <w:pPr>
        <w:pStyle w:val="BodyText"/>
      </w:pPr>
      <w:r w:rsidRPr="00081AD4">
        <w:t xml:space="preserve">Guidelines and advice </w:t>
      </w:r>
      <w:r w:rsidR="00D67C2F">
        <w:t>were</w:t>
      </w:r>
      <w:r w:rsidRPr="00081AD4">
        <w:t xml:space="preserve"> developed to give an agreed Queensland position on Australian Curriculum implementation including</w:t>
      </w:r>
      <w:r w:rsidR="008C6A52">
        <w:t>:</w:t>
      </w:r>
    </w:p>
    <w:p w:rsidR="008C6A52" w:rsidRDefault="00081AD4" w:rsidP="008C6A52">
      <w:pPr>
        <w:pStyle w:val="ListBullet0"/>
        <w:tabs>
          <w:tab w:val="clear" w:pos="227"/>
          <w:tab w:val="num" w:pos="284"/>
        </w:tabs>
      </w:pPr>
      <w:r w:rsidRPr="00081AD4">
        <w:t>validation of the draft standards elaborations to support assessment and reporting in English, Mathematics, S</w:t>
      </w:r>
      <w:r w:rsidR="008C6A52">
        <w:t>cience, History and Geography</w:t>
      </w:r>
    </w:p>
    <w:p w:rsidR="008C6A52" w:rsidRDefault="008C6A52" w:rsidP="008C6A52">
      <w:pPr>
        <w:pStyle w:val="ListBullet0"/>
        <w:tabs>
          <w:tab w:val="clear" w:pos="227"/>
          <w:tab w:val="num" w:pos="284"/>
        </w:tabs>
      </w:pPr>
      <w:r>
        <w:t xml:space="preserve">an </w:t>
      </w:r>
      <w:r w:rsidR="00081AD4" w:rsidRPr="00081AD4">
        <w:t>update of the advice a</w:t>
      </w:r>
      <w:r w:rsidR="001D0C0C">
        <w:t>bout the e</w:t>
      </w:r>
      <w:r w:rsidR="00081AD4" w:rsidRPr="00081AD4">
        <w:t>arly years</w:t>
      </w:r>
    </w:p>
    <w:p w:rsidR="008C6A52" w:rsidRDefault="00081AD4" w:rsidP="008C6A52">
      <w:pPr>
        <w:pStyle w:val="ListBullet0"/>
        <w:tabs>
          <w:tab w:val="clear" w:pos="227"/>
          <w:tab w:val="num" w:pos="284"/>
        </w:tabs>
      </w:pPr>
      <w:proofErr w:type="gramStart"/>
      <w:r w:rsidRPr="00081AD4">
        <w:t>planning</w:t>
      </w:r>
      <w:proofErr w:type="gramEnd"/>
      <w:r w:rsidRPr="00081AD4">
        <w:t xml:space="preserve"> options for the Humanities and Social</w:t>
      </w:r>
      <w:r w:rsidR="00D67C2F">
        <w:t> </w:t>
      </w:r>
      <w:r w:rsidRPr="00081AD4">
        <w:t>Sciences learning area</w:t>
      </w:r>
      <w:r w:rsidR="0065657E" w:rsidRPr="002D63E4">
        <w:t>.</w:t>
      </w:r>
    </w:p>
    <w:p w:rsidR="0065657E" w:rsidRPr="003717FB" w:rsidRDefault="0065657E" w:rsidP="003717FB">
      <w:pPr>
        <w:pStyle w:val="Heading4"/>
      </w:pPr>
      <w:r w:rsidRPr="003717FB">
        <w:t>Resource development</w:t>
      </w:r>
    </w:p>
    <w:p w:rsidR="00135A8C" w:rsidRPr="002D63E4" w:rsidRDefault="00135A8C" w:rsidP="006A77BB">
      <w:pPr>
        <w:pStyle w:val="BodyText"/>
      </w:pPr>
      <w:r>
        <w:t>The QSA add</w:t>
      </w:r>
      <w:r w:rsidR="00627339">
        <w:t>ed</w:t>
      </w:r>
      <w:r>
        <w:t xml:space="preserve"> to the suite of resources </w:t>
      </w:r>
      <w:r w:rsidRPr="002D63E4">
        <w:t>previously developed with the school sectors and classroom teachers for the Australian Curriculum</w:t>
      </w:r>
      <w:r w:rsidR="00083A4B">
        <w:t>:</w:t>
      </w:r>
      <w:r w:rsidRPr="002D63E4">
        <w:t xml:space="preserve"> English, Mathematics, Science</w:t>
      </w:r>
      <w:r>
        <w:t>,</w:t>
      </w:r>
      <w:r w:rsidRPr="002D63E4">
        <w:t xml:space="preserve"> </w:t>
      </w:r>
      <w:r>
        <w:t xml:space="preserve">and </w:t>
      </w:r>
      <w:r w:rsidRPr="002D63E4">
        <w:t>History</w:t>
      </w:r>
      <w:r>
        <w:t xml:space="preserve">. </w:t>
      </w:r>
      <w:r w:rsidR="00D67C2F">
        <w:t>A</w:t>
      </w:r>
      <w:r>
        <w:t>dditions include</w:t>
      </w:r>
      <w:r w:rsidR="00627339">
        <w:t>d</w:t>
      </w:r>
      <w:r>
        <w:t>:</w:t>
      </w:r>
    </w:p>
    <w:p w:rsidR="00135A8C" w:rsidRDefault="00135A8C" w:rsidP="00135A8C">
      <w:pPr>
        <w:pStyle w:val="ListBullet0"/>
        <w:tabs>
          <w:tab w:val="clear" w:pos="227"/>
          <w:tab w:val="num" w:pos="284"/>
        </w:tabs>
      </w:pPr>
      <w:r w:rsidRPr="00781135">
        <w:rPr>
          <w:i/>
        </w:rPr>
        <w:t>Enacting Australian Curriculum</w:t>
      </w:r>
      <w:r w:rsidR="00975686">
        <w:rPr>
          <w:i/>
        </w:rPr>
        <w:t xml:space="preserve">: </w:t>
      </w:r>
      <w:r w:rsidRPr="00781135">
        <w:rPr>
          <w:i/>
        </w:rPr>
        <w:t>Making connections for quality learning</w:t>
      </w:r>
      <w:r w:rsidR="00781135">
        <w:t xml:space="preserve"> —</w:t>
      </w:r>
      <w:r>
        <w:t xml:space="preserve"> a commissioned paper to describe purposefully connected curriculum and provide strategies for adopting this approach in the classroom</w:t>
      </w:r>
    </w:p>
    <w:p w:rsidR="00135A8C" w:rsidRDefault="00135A8C" w:rsidP="00135A8C">
      <w:pPr>
        <w:pStyle w:val="ListBullet0"/>
        <w:tabs>
          <w:tab w:val="clear" w:pos="227"/>
          <w:tab w:val="num" w:pos="284"/>
        </w:tabs>
      </w:pPr>
      <w:r>
        <w:t>resources to support the implementation of the Australian Curriculum</w:t>
      </w:r>
      <w:r w:rsidR="00D67C2F">
        <w:t xml:space="preserve">: </w:t>
      </w:r>
      <w:r>
        <w:t>Geography, including advice and guidelines, mapping tools, planning templates and exemplars, assessment advice and standards elaborations</w:t>
      </w:r>
    </w:p>
    <w:p w:rsidR="00135A8C" w:rsidRPr="00C70157" w:rsidRDefault="00781135" w:rsidP="00135A8C">
      <w:pPr>
        <w:pStyle w:val="ListBullet0"/>
        <w:tabs>
          <w:tab w:val="clear" w:pos="227"/>
          <w:tab w:val="num" w:pos="284"/>
        </w:tabs>
      </w:pPr>
      <w:proofErr w:type="gramStart"/>
      <w:r>
        <w:t>sample</w:t>
      </w:r>
      <w:proofErr w:type="gramEnd"/>
      <w:r>
        <w:t xml:space="preserve"> assessments —</w:t>
      </w:r>
      <w:r w:rsidR="00135A8C">
        <w:t xml:space="preserve"> further examples of assessment practice in English, </w:t>
      </w:r>
      <w:r w:rsidR="00627339">
        <w:t>M</w:t>
      </w:r>
      <w:r w:rsidR="00135A8C">
        <w:t xml:space="preserve">athematics and </w:t>
      </w:r>
      <w:r w:rsidR="00627339">
        <w:t>S</w:t>
      </w:r>
      <w:r>
        <w:t>cience P—</w:t>
      </w:r>
      <w:r w:rsidR="00135A8C">
        <w:t>10</w:t>
      </w:r>
      <w:r w:rsidR="00135A8C" w:rsidRPr="00C70157">
        <w:t>.</w:t>
      </w:r>
    </w:p>
    <w:p w:rsidR="0065657E" w:rsidRPr="003717FB" w:rsidRDefault="0065657E" w:rsidP="003717FB">
      <w:pPr>
        <w:pStyle w:val="Heading4"/>
      </w:pPr>
      <w:r w:rsidRPr="003717FB">
        <w:lastRenderedPageBreak/>
        <w:t>Professional development</w:t>
      </w:r>
    </w:p>
    <w:p w:rsidR="0065657E" w:rsidRPr="002D63E4" w:rsidRDefault="0065657E" w:rsidP="006A77BB">
      <w:pPr>
        <w:pStyle w:val="BodyText"/>
      </w:pPr>
      <w:r w:rsidRPr="002D63E4">
        <w:t>Professional development activities included:</w:t>
      </w:r>
    </w:p>
    <w:p w:rsidR="00AE601B" w:rsidRDefault="00AE601B" w:rsidP="00AE601B">
      <w:pPr>
        <w:pStyle w:val="ListBullet0"/>
        <w:tabs>
          <w:tab w:val="clear" w:pos="227"/>
          <w:tab w:val="num" w:pos="284"/>
        </w:tabs>
      </w:pPr>
      <w:r w:rsidRPr="00C70157">
        <w:t xml:space="preserve">delivering </w:t>
      </w:r>
      <w:r>
        <w:t>32</w:t>
      </w:r>
      <w:r w:rsidRPr="00C70157">
        <w:t xml:space="preserve"> workshops for more than </w:t>
      </w:r>
      <w:r w:rsidR="007562DF">
        <w:t>1</w:t>
      </w:r>
      <w:r>
        <w:t>200</w:t>
      </w:r>
      <w:r w:rsidRPr="00C70157">
        <w:t xml:space="preserve"> teachers</w:t>
      </w:r>
    </w:p>
    <w:p w:rsidR="008C6A52" w:rsidRDefault="00AE601B" w:rsidP="00AE601B">
      <w:pPr>
        <w:pStyle w:val="ListBullet0"/>
        <w:tabs>
          <w:tab w:val="clear" w:pos="227"/>
          <w:tab w:val="num" w:pos="284"/>
        </w:tabs>
      </w:pPr>
      <w:r>
        <w:t xml:space="preserve">coordinating the </w:t>
      </w:r>
      <w:r w:rsidRPr="00627339">
        <w:rPr>
          <w:i/>
        </w:rPr>
        <w:t>Australian Curriculum</w:t>
      </w:r>
      <w:r w:rsidR="00D67C2F">
        <w:rPr>
          <w:i/>
        </w:rPr>
        <w:t xml:space="preserve">: </w:t>
      </w:r>
      <w:r w:rsidRPr="00627339">
        <w:rPr>
          <w:i/>
        </w:rPr>
        <w:t>Aligning learning areas</w:t>
      </w:r>
      <w:r>
        <w:t xml:space="preserve"> mini-conference for 560 delegates involving 21 speakers</w:t>
      </w:r>
    </w:p>
    <w:p w:rsidR="008C6A52" w:rsidRDefault="00AE601B" w:rsidP="00AE601B">
      <w:pPr>
        <w:pStyle w:val="ListBullet0"/>
        <w:tabs>
          <w:tab w:val="clear" w:pos="227"/>
          <w:tab w:val="num" w:pos="284"/>
        </w:tabs>
      </w:pPr>
      <w:r>
        <w:t>coordinating the preconference masterclass with Professor Susan Drake</w:t>
      </w:r>
    </w:p>
    <w:p w:rsidR="00AE601B" w:rsidRPr="00C70157" w:rsidRDefault="00AE601B" w:rsidP="00AE601B">
      <w:pPr>
        <w:pStyle w:val="ListBullet0"/>
        <w:tabs>
          <w:tab w:val="clear" w:pos="227"/>
          <w:tab w:val="num" w:pos="284"/>
        </w:tabs>
      </w:pPr>
      <w:r w:rsidRPr="00C70157">
        <w:t xml:space="preserve">providing </w:t>
      </w:r>
      <w:r>
        <w:t xml:space="preserve">25 </w:t>
      </w:r>
      <w:r w:rsidRPr="00C70157">
        <w:t xml:space="preserve">sessions </w:t>
      </w:r>
      <w:r w:rsidR="00627339">
        <w:t>to</w:t>
      </w:r>
      <w:r w:rsidRPr="00C70157">
        <w:t xml:space="preserve"> professional associations, school clusters, school sectors and administrator groups</w:t>
      </w:r>
    </w:p>
    <w:p w:rsidR="00AE601B" w:rsidRPr="00C70157" w:rsidRDefault="00AE601B" w:rsidP="00AE601B">
      <w:pPr>
        <w:pStyle w:val="ListBullet0"/>
        <w:tabs>
          <w:tab w:val="clear" w:pos="227"/>
          <w:tab w:val="num" w:pos="284"/>
        </w:tabs>
      </w:pPr>
      <w:r w:rsidRPr="00C70157">
        <w:t>developing online modules</w:t>
      </w:r>
    </w:p>
    <w:p w:rsidR="00AE601B" w:rsidRDefault="00AE601B" w:rsidP="00AE601B">
      <w:pPr>
        <w:pStyle w:val="ListBullet0"/>
        <w:tabs>
          <w:tab w:val="clear" w:pos="227"/>
          <w:tab w:val="num" w:pos="284"/>
        </w:tabs>
      </w:pPr>
      <w:proofErr w:type="gramStart"/>
      <w:r w:rsidRPr="00C70157">
        <w:t>facilitating</w:t>
      </w:r>
      <w:proofErr w:type="gramEnd"/>
      <w:r w:rsidRPr="00C70157">
        <w:t xml:space="preserve"> Queensland forums and workshops with stakeholders to support ACARA consultation.</w:t>
      </w:r>
    </w:p>
    <w:p w:rsidR="00990CF2" w:rsidRPr="004175C3" w:rsidRDefault="004175C3" w:rsidP="004175C3">
      <w:pPr>
        <w:pStyle w:val="Heading3"/>
      </w:pPr>
      <w:r w:rsidRPr="00106376">
        <w:t>Aboriginal and Torres Strait Islander perspectives</w:t>
      </w:r>
    </w:p>
    <w:p w:rsidR="00667A40" w:rsidRDefault="00667A40" w:rsidP="006A77BB">
      <w:pPr>
        <w:pStyle w:val="BodyText"/>
      </w:pPr>
      <w:r>
        <w:t xml:space="preserve">The QSA </w:t>
      </w:r>
      <w:r w:rsidR="00627339">
        <w:t>worked</w:t>
      </w:r>
      <w:r>
        <w:t xml:space="preserve"> to increase awareness of Aboriginal and Torres Strait Islander perspectives and improve outcomes for Aboriginal students and Torres Strait Islander students in Queensland schools and kindergarten services. </w:t>
      </w:r>
      <w:r w:rsidR="008C6A52" w:rsidRPr="00D67C2F">
        <w:t>Instrumental in achieving these</w:t>
      </w:r>
      <w:r w:rsidR="008C6A52">
        <w:t xml:space="preserve"> aims was the e</w:t>
      </w:r>
      <w:r>
        <w:t xml:space="preserve">mbedding </w:t>
      </w:r>
      <w:r w:rsidR="008C6A52">
        <w:t xml:space="preserve">of </w:t>
      </w:r>
      <w:r>
        <w:t xml:space="preserve">Aboriginal and Torres Strait Islander perspectives into </w:t>
      </w:r>
      <w:r w:rsidR="00627339">
        <w:t xml:space="preserve">the </w:t>
      </w:r>
      <w:r>
        <w:t>organisational environment, products and services</w:t>
      </w:r>
      <w:r w:rsidR="008C6A52">
        <w:t>.</w:t>
      </w:r>
      <w:r>
        <w:t xml:space="preserve"> </w:t>
      </w:r>
    </w:p>
    <w:p w:rsidR="00D67C2F" w:rsidRDefault="00667A40" w:rsidP="006A77BB">
      <w:pPr>
        <w:pStyle w:val="BodyText"/>
      </w:pPr>
      <w:r>
        <w:t>Working with its Aboriginal and Torres Strait Islander Education Committee, the QSA</w:t>
      </w:r>
      <w:r w:rsidR="00D67C2F">
        <w:t>:</w:t>
      </w:r>
    </w:p>
    <w:p w:rsidR="00D67C2F" w:rsidRDefault="00D67C2F" w:rsidP="00D67C2F">
      <w:pPr>
        <w:pStyle w:val="ListBullet0"/>
      </w:pPr>
      <w:r>
        <w:t>published a range of resources for kindergarten teachers to support the learning of Aboriginal children and Torres Strait Islander children</w:t>
      </w:r>
    </w:p>
    <w:p w:rsidR="00D67C2F" w:rsidRDefault="00D67C2F" w:rsidP="00667A40">
      <w:pPr>
        <w:pStyle w:val="ListBullet0"/>
      </w:pPr>
      <w:r>
        <w:t>commenced a process of revising resources to support</w:t>
      </w:r>
    </w:p>
    <w:p w:rsidR="00667A40" w:rsidRDefault="00667A40" w:rsidP="00D67C2F">
      <w:pPr>
        <w:pStyle w:val="ListBullet2"/>
      </w:pPr>
      <w:r>
        <w:t>the implementation of the P–10 Aboriginal and To</w:t>
      </w:r>
      <w:r w:rsidR="0015265C">
        <w:t>rres Strait Islander Languages s</w:t>
      </w:r>
      <w:r>
        <w:t>yllabu</w:t>
      </w:r>
      <w:r w:rsidR="0015265C">
        <w:t>s</w:t>
      </w:r>
    </w:p>
    <w:p w:rsidR="004175C3" w:rsidRPr="00667A40" w:rsidRDefault="00667A40" w:rsidP="00D67C2F">
      <w:pPr>
        <w:pStyle w:val="ListBullet2"/>
      </w:pPr>
      <w:proofErr w:type="gramStart"/>
      <w:r w:rsidRPr="00667A40">
        <w:t>the</w:t>
      </w:r>
      <w:proofErr w:type="gramEnd"/>
      <w:r w:rsidRPr="00667A40">
        <w:t xml:space="preserve"> cross-curriculum priority of Aboriginal and Torres Strait Islander histories and cultures in Australian Curriculum learning areas</w:t>
      </w:r>
      <w:r w:rsidR="008C6A52">
        <w:t>.</w:t>
      </w:r>
    </w:p>
    <w:p w:rsidR="002062CC" w:rsidRDefault="003717FB" w:rsidP="002062CC">
      <w:pPr>
        <w:pStyle w:val="Heading3"/>
        <w:ind w:right="-284"/>
      </w:pPr>
      <w:r w:rsidRPr="00591CF5">
        <w:t>Kindergarten –</w:t>
      </w:r>
      <w:r w:rsidR="002062CC" w:rsidRPr="00591CF5">
        <w:t xml:space="preserve"> Year 10</w:t>
      </w:r>
      <w:r w:rsidR="002062CC" w:rsidRPr="00327D77">
        <w:t xml:space="preserve"> resources</w:t>
      </w:r>
    </w:p>
    <w:p w:rsidR="002062CC" w:rsidRPr="003717FB" w:rsidRDefault="002062CC" w:rsidP="003717FB">
      <w:pPr>
        <w:pStyle w:val="Heading4"/>
      </w:pPr>
      <w:r w:rsidRPr="003717FB">
        <w:t>Queensland kindergarten learning guideline (QKLG)</w:t>
      </w:r>
    </w:p>
    <w:p w:rsidR="00D81D2D" w:rsidRDefault="00D81D2D" w:rsidP="006A77BB">
      <w:pPr>
        <w:pStyle w:val="BodyText"/>
      </w:pPr>
      <w:r>
        <w:t xml:space="preserve">The QSA signed a Memorandum of Understanding (MOU) with the Department of Education, Training and Employment (DETE) for the period June 2013 </w:t>
      </w:r>
      <w:r w:rsidR="003717FB">
        <w:t xml:space="preserve">to </w:t>
      </w:r>
      <w:r>
        <w:t>December 2014. The</w:t>
      </w:r>
      <w:r w:rsidR="008C6A52">
        <w:t xml:space="preserve"> </w:t>
      </w:r>
      <w:r>
        <w:t>MOU was for a number of deliverables to support the QKLG, including:</w:t>
      </w:r>
    </w:p>
    <w:p w:rsidR="00D81D2D" w:rsidRPr="00591CF5" w:rsidRDefault="00D81D2D" w:rsidP="009A58BA">
      <w:pPr>
        <w:pStyle w:val="ListBullet0"/>
      </w:pPr>
      <w:r w:rsidRPr="00591CF5">
        <w:t xml:space="preserve">53 professional development events </w:t>
      </w:r>
      <w:r w:rsidR="0015265C" w:rsidRPr="00591CF5">
        <w:t>(workshops and transition f</w:t>
      </w:r>
      <w:r w:rsidRPr="00591CF5">
        <w:t>orums)</w:t>
      </w:r>
    </w:p>
    <w:p w:rsidR="008C6A52" w:rsidRDefault="00D81D2D" w:rsidP="009A58BA">
      <w:pPr>
        <w:pStyle w:val="ListBullet0"/>
      </w:pPr>
      <w:r>
        <w:t>23 online professional development resources (</w:t>
      </w:r>
      <w:r w:rsidR="0015265C">
        <w:t xml:space="preserve">audiovisual and </w:t>
      </w:r>
      <w:r>
        <w:t>text</w:t>
      </w:r>
      <w:r w:rsidR="0015265C">
        <w:t>-based</w:t>
      </w:r>
      <w:r>
        <w:t>)</w:t>
      </w:r>
      <w:r w:rsidR="00591CF5">
        <w:t>.</w:t>
      </w:r>
    </w:p>
    <w:p w:rsidR="008C6A52" w:rsidRDefault="00D81D2D" w:rsidP="006A77BB">
      <w:pPr>
        <w:pStyle w:val="BodyText"/>
      </w:pPr>
      <w:r>
        <w:lastRenderedPageBreak/>
        <w:t>The</w:t>
      </w:r>
      <w:r w:rsidR="00591CF5">
        <w:t xml:space="preserve">se deliverables </w:t>
      </w:r>
      <w:r>
        <w:t>support</w:t>
      </w:r>
      <w:r w:rsidR="00591CF5">
        <w:t>ed</w:t>
      </w:r>
      <w:r>
        <w:t xml:space="preserve"> implementation of the QKL</w:t>
      </w:r>
      <w:r w:rsidR="0015265C">
        <w:t>G in kindergartens and long day</w:t>
      </w:r>
      <w:r>
        <w:t>care services.</w:t>
      </w:r>
    </w:p>
    <w:p w:rsidR="00D81D2D" w:rsidRPr="003717FB" w:rsidRDefault="00E21BA0" w:rsidP="003717FB">
      <w:pPr>
        <w:pStyle w:val="Heading4"/>
      </w:pPr>
      <w:r>
        <w:t>G20 t</w:t>
      </w:r>
      <w:r w:rsidR="00D81D2D" w:rsidRPr="003717FB">
        <w:t>eaching and learning resources</w:t>
      </w:r>
    </w:p>
    <w:p w:rsidR="00D81D2D" w:rsidRDefault="00D81D2D" w:rsidP="006A77BB">
      <w:pPr>
        <w:pStyle w:val="BodyText"/>
      </w:pPr>
      <w:r>
        <w:t xml:space="preserve">The QSA, in partnership with </w:t>
      </w:r>
      <w:r w:rsidR="00591CF5">
        <w:t>DETE,</w:t>
      </w:r>
      <w:r>
        <w:t xml:space="preserve"> developed a suite of teaching and learning resources to support Australia's presidency of the G20 and the hosting of the Leaders Summit in Brisbane.</w:t>
      </w:r>
    </w:p>
    <w:p w:rsidR="002062CC" w:rsidRPr="00106376" w:rsidRDefault="00D81D2D" w:rsidP="006A77BB">
      <w:pPr>
        <w:pStyle w:val="BodyText"/>
      </w:pPr>
      <w:r>
        <w:t>The G20 teaching and learning resources package support</w:t>
      </w:r>
      <w:r w:rsidR="00627339">
        <w:t>s</w:t>
      </w:r>
      <w:r>
        <w:t xml:space="preserve"> students from Prep to Year 12 to understand and explore the concepts, issues and contexts associated with the G20 events. The resources </w:t>
      </w:r>
      <w:r w:rsidR="00591CF5">
        <w:t>link</w:t>
      </w:r>
      <w:r>
        <w:t xml:space="preserve"> to the Australian and Queensland curriculums and include interactive digital learning tools.</w:t>
      </w:r>
    </w:p>
    <w:p w:rsidR="004175C3" w:rsidRDefault="00183322" w:rsidP="00183322">
      <w:pPr>
        <w:pStyle w:val="Heading3"/>
      </w:pPr>
      <w:r>
        <w:t>Senior curriculum resources</w:t>
      </w:r>
    </w:p>
    <w:p w:rsidR="00183322" w:rsidRPr="003717FB" w:rsidRDefault="00183322" w:rsidP="003717FB">
      <w:pPr>
        <w:pStyle w:val="Heading4"/>
      </w:pPr>
      <w:r w:rsidRPr="003717FB">
        <w:t>Senior syllabuses</w:t>
      </w:r>
    </w:p>
    <w:p w:rsidR="008C6A52" w:rsidRDefault="00183322" w:rsidP="006A77BB">
      <w:pPr>
        <w:pStyle w:val="BodyText"/>
      </w:pPr>
      <w:r w:rsidRPr="002D63E4">
        <w:t xml:space="preserve">The QSA revised its </w:t>
      </w:r>
      <w:r w:rsidR="000A732C">
        <w:t>q</w:t>
      </w:r>
      <w:r w:rsidRPr="002D63E4">
        <w:t>uality plans for the development of new senior syllabuses and the revision of existing syllabuses. These processes provide</w:t>
      </w:r>
      <w:r w:rsidR="00591CF5">
        <w:t>d</w:t>
      </w:r>
      <w:r w:rsidRPr="002D63E4">
        <w:t xml:space="preserve"> schools with quality senior syllabuses and support resources, and improve</w:t>
      </w:r>
      <w:r w:rsidR="00591CF5">
        <w:t>d</w:t>
      </w:r>
      <w:r w:rsidRPr="002D63E4">
        <w:t xml:space="preserve"> consistency across syllabuses.</w:t>
      </w:r>
    </w:p>
    <w:p w:rsidR="00183322" w:rsidRPr="003717FB" w:rsidRDefault="00183322" w:rsidP="003717FB">
      <w:pPr>
        <w:pStyle w:val="Heading4"/>
      </w:pPr>
      <w:r w:rsidRPr="003717FB">
        <w:t>Completed syllabus revisions</w:t>
      </w:r>
    </w:p>
    <w:p w:rsidR="00627339" w:rsidRDefault="00261A92" w:rsidP="006A77BB">
      <w:pPr>
        <w:pStyle w:val="BodyText"/>
      </w:pPr>
      <w:r>
        <w:t xml:space="preserve">Philosophy and Reason was published online together with a suite of support resources including sample units of work. </w:t>
      </w:r>
      <w:r w:rsidR="00591CF5">
        <w:t>The QSA provided a</w:t>
      </w:r>
      <w:r>
        <w:t xml:space="preserve"> professional development </w:t>
      </w:r>
      <w:r w:rsidR="008C6A52">
        <w:t>workshop for</w:t>
      </w:r>
      <w:r>
        <w:t xml:space="preserve"> current and prospective teachers to support implementation.</w:t>
      </w:r>
    </w:p>
    <w:p w:rsidR="00183322" w:rsidRPr="002D63E4" w:rsidRDefault="00183322" w:rsidP="006A77BB">
      <w:pPr>
        <w:pStyle w:val="BodyText"/>
      </w:pPr>
      <w:r w:rsidRPr="002D63E4">
        <w:t xml:space="preserve">The cost of </w:t>
      </w:r>
      <w:r w:rsidR="00627339">
        <w:t>the</w:t>
      </w:r>
      <w:r w:rsidR="00627339" w:rsidRPr="002D63E4">
        <w:t xml:space="preserve"> </w:t>
      </w:r>
      <w:r w:rsidRPr="002D63E4">
        <w:t xml:space="preserve">syllabus revision </w:t>
      </w:r>
      <w:r w:rsidRPr="00591CF5">
        <w:t>was $</w:t>
      </w:r>
      <w:r w:rsidR="007562DF" w:rsidRPr="00591CF5">
        <w:t>130</w:t>
      </w:r>
      <w:r w:rsidR="007562DF" w:rsidRPr="00591CF5">
        <w:rPr>
          <w:rFonts w:ascii="Times New Roman" w:hAnsi="Times New Roman"/>
        </w:rPr>
        <w:t> </w:t>
      </w:r>
      <w:r w:rsidR="00A3622C" w:rsidRPr="00591CF5">
        <w:t>768</w:t>
      </w:r>
      <w:r w:rsidRPr="00591CF5">
        <w:t>.</w:t>
      </w:r>
    </w:p>
    <w:p w:rsidR="00261A92" w:rsidRPr="003717FB" w:rsidRDefault="00261A92" w:rsidP="003717FB">
      <w:pPr>
        <w:pStyle w:val="Heading4"/>
        <w:rPr>
          <w:rFonts w:eastAsia="MS Mincho"/>
        </w:rPr>
      </w:pPr>
      <w:r w:rsidRPr="003717FB">
        <w:rPr>
          <w:rFonts w:eastAsia="MS Mincho"/>
        </w:rPr>
        <w:t>Development of Subject Area Syllabuses</w:t>
      </w:r>
    </w:p>
    <w:p w:rsidR="00261A92" w:rsidRDefault="00261A92" w:rsidP="006A77BB">
      <w:pPr>
        <w:pStyle w:val="BodyText"/>
      </w:pPr>
      <w:r>
        <w:t xml:space="preserve">The QSA commenced the revision of Study Area Specifications </w:t>
      </w:r>
      <w:r w:rsidR="004D1CA5">
        <w:t>to</w:t>
      </w:r>
      <w:r>
        <w:t xml:space="preserve"> Subject Area Syllabuses for the first group of</w:t>
      </w:r>
      <w:r w:rsidR="008C6A52">
        <w:t xml:space="preserve"> </w:t>
      </w:r>
      <w:r>
        <w:t xml:space="preserve">ten </w:t>
      </w:r>
      <w:r w:rsidR="00591CF5">
        <w:t xml:space="preserve">senior </w:t>
      </w:r>
      <w:r>
        <w:t>subjects</w:t>
      </w:r>
      <w:r w:rsidR="004D1CA5">
        <w:t>,</w:t>
      </w:r>
      <w:r>
        <w:t xml:space="preserve"> for implementation with Year 11 students in 2015:</w:t>
      </w:r>
    </w:p>
    <w:p w:rsidR="00261A92" w:rsidRDefault="00261A92" w:rsidP="00261A92">
      <w:pPr>
        <w:pStyle w:val="ListBullet0"/>
      </w:pPr>
      <w:r>
        <w:t>Agricultural Practices</w:t>
      </w:r>
    </w:p>
    <w:p w:rsidR="00261A92" w:rsidRDefault="00261A92" w:rsidP="00261A92">
      <w:pPr>
        <w:pStyle w:val="ListBullet0"/>
      </w:pPr>
      <w:r>
        <w:t>Aquatic Practices</w:t>
      </w:r>
    </w:p>
    <w:p w:rsidR="00261A92" w:rsidRDefault="00261A92" w:rsidP="00261A92">
      <w:pPr>
        <w:pStyle w:val="ListBullet0"/>
      </w:pPr>
      <w:r>
        <w:t>Business Studies</w:t>
      </w:r>
    </w:p>
    <w:p w:rsidR="00261A92" w:rsidRDefault="00261A92" w:rsidP="00261A92">
      <w:pPr>
        <w:pStyle w:val="ListBullet0"/>
      </w:pPr>
      <w:r>
        <w:t>Early Childhood Studies</w:t>
      </w:r>
    </w:p>
    <w:p w:rsidR="00261A92" w:rsidRDefault="00261A92" w:rsidP="00261A92">
      <w:pPr>
        <w:pStyle w:val="ListBullet0"/>
      </w:pPr>
      <w:r>
        <w:t>Fashion</w:t>
      </w:r>
    </w:p>
    <w:p w:rsidR="00261A92" w:rsidRDefault="00261A92" w:rsidP="00261A92">
      <w:pPr>
        <w:pStyle w:val="ListBullet0"/>
      </w:pPr>
      <w:r>
        <w:t>Hospitality Practices</w:t>
      </w:r>
    </w:p>
    <w:p w:rsidR="00261A92" w:rsidRDefault="00261A92" w:rsidP="00261A92">
      <w:pPr>
        <w:pStyle w:val="ListBullet0"/>
      </w:pPr>
      <w:r>
        <w:t>Information and Communication Technology</w:t>
      </w:r>
    </w:p>
    <w:p w:rsidR="00261A92" w:rsidRDefault="00261A92" w:rsidP="00261A92">
      <w:pPr>
        <w:pStyle w:val="ListBullet0"/>
      </w:pPr>
      <w:r>
        <w:t>Recreation</w:t>
      </w:r>
    </w:p>
    <w:p w:rsidR="00261A92" w:rsidRDefault="00261A92" w:rsidP="00261A92">
      <w:pPr>
        <w:pStyle w:val="ListBullet0"/>
      </w:pPr>
      <w:r>
        <w:t>Religion and Ethics</w:t>
      </w:r>
    </w:p>
    <w:p w:rsidR="008C6A52" w:rsidRDefault="00261A92" w:rsidP="00261A92">
      <w:pPr>
        <w:pStyle w:val="ListBullet0"/>
      </w:pPr>
      <w:r>
        <w:t>Social and Community Studies.</w:t>
      </w:r>
    </w:p>
    <w:p w:rsidR="007562DF" w:rsidRDefault="004D1CA5" w:rsidP="006A77BB">
      <w:pPr>
        <w:pStyle w:val="BodyText"/>
      </w:pPr>
      <w:r>
        <w:t>Subject Area Syllabuses</w:t>
      </w:r>
      <w:r w:rsidR="00261A92">
        <w:t xml:space="preserve"> are for Authority-registered subjects</w:t>
      </w:r>
      <w:r>
        <w:t>,</w:t>
      </w:r>
      <w:r w:rsidR="00261A92">
        <w:t xml:space="preserve"> and have a structure </w:t>
      </w:r>
      <w:r>
        <w:t xml:space="preserve">consistent </w:t>
      </w:r>
      <w:r w:rsidR="00261A92">
        <w:t>with senior syllabuses</w:t>
      </w:r>
      <w:r w:rsidRPr="004D1CA5">
        <w:t xml:space="preserve"> </w:t>
      </w:r>
      <w:r>
        <w:t>for Authority subjects</w:t>
      </w:r>
      <w:r w:rsidR="00261A92">
        <w:t>.</w:t>
      </w:r>
    </w:p>
    <w:p w:rsidR="008C6A52" w:rsidRDefault="00261A92" w:rsidP="004D1CA5">
      <w:pPr>
        <w:pStyle w:val="Bodytextlead-in"/>
      </w:pPr>
      <w:r>
        <w:lastRenderedPageBreak/>
        <w:t>The</w:t>
      </w:r>
      <w:r w:rsidR="007562DF">
        <w:t>y</w:t>
      </w:r>
      <w:r>
        <w:t xml:space="preserve"> have common underpinning factors derived from current education, industry and community expectations:</w:t>
      </w:r>
    </w:p>
    <w:p w:rsidR="00261A92" w:rsidRDefault="00705D18" w:rsidP="00261A92">
      <w:pPr>
        <w:pStyle w:val="ListBullet0"/>
      </w:pPr>
      <w:r>
        <w:t>a</w:t>
      </w:r>
      <w:r w:rsidR="00261A92">
        <w:t>pplied learning</w:t>
      </w:r>
    </w:p>
    <w:p w:rsidR="00261A92" w:rsidRDefault="00705D18" w:rsidP="00261A92">
      <w:pPr>
        <w:pStyle w:val="ListBullet0"/>
      </w:pPr>
      <w:r>
        <w:t>c</w:t>
      </w:r>
      <w:r w:rsidR="00261A92">
        <w:t>ommunity connections</w:t>
      </w:r>
    </w:p>
    <w:p w:rsidR="00261A92" w:rsidRDefault="00705D18" w:rsidP="00261A92">
      <w:pPr>
        <w:pStyle w:val="ListBullet0"/>
      </w:pPr>
      <w:r>
        <w:t>c</w:t>
      </w:r>
      <w:r w:rsidR="00261A92">
        <w:t xml:space="preserve">ore </w:t>
      </w:r>
      <w:r>
        <w:t>s</w:t>
      </w:r>
      <w:r w:rsidR="00261A92">
        <w:t xml:space="preserve">kills for </w:t>
      </w:r>
      <w:r>
        <w:t>w</w:t>
      </w:r>
      <w:r w:rsidR="00261A92">
        <w:t>ork</w:t>
      </w:r>
    </w:p>
    <w:p w:rsidR="00261A92" w:rsidRDefault="00705D18" w:rsidP="00261A92">
      <w:pPr>
        <w:pStyle w:val="ListBullet0"/>
      </w:pPr>
      <w:r>
        <w:t>l</w:t>
      </w:r>
      <w:r w:rsidR="00261A92">
        <w:t>iteracy knowledge and skills</w:t>
      </w:r>
    </w:p>
    <w:p w:rsidR="008C6A52" w:rsidRDefault="00705D18" w:rsidP="00261A92">
      <w:pPr>
        <w:pStyle w:val="ListBullet0"/>
      </w:pPr>
      <w:proofErr w:type="gramStart"/>
      <w:r>
        <w:t>n</w:t>
      </w:r>
      <w:r w:rsidR="00261A92">
        <w:t>umeracy</w:t>
      </w:r>
      <w:proofErr w:type="gramEnd"/>
      <w:r w:rsidR="00261A92">
        <w:t xml:space="preserve"> knowledge and skills.</w:t>
      </w:r>
    </w:p>
    <w:p w:rsidR="00261A92" w:rsidRDefault="00261A92" w:rsidP="006A77BB">
      <w:pPr>
        <w:pStyle w:val="BodyText"/>
      </w:pPr>
      <w:r>
        <w:t xml:space="preserve">These factors make learning in Subject Area Syllabuses distinctive from Authority subjects and VET offerings. Each factor is described in the course organisation section of </w:t>
      </w:r>
      <w:r w:rsidR="00F30285">
        <w:t xml:space="preserve">the </w:t>
      </w:r>
      <w:r>
        <w:t>Subject Area Syllabuses.</w:t>
      </w:r>
    </w:p>
    <w:p w:rsidR="00A62F7E" w:rsidRDefault="00A62F7E" w:rsidP="003717FB">
      <w:pPr>
        <w:pStyle w:val="Heading2"/>
      </w:pPr>
      <w:bookmarkStart w:id="55" w:name="_Toc365984772"/>
      <w:bookmarkStart w:id="56" w:name="_Toc397589533"/>
      <w:bookmarkStart w:id="57" w:name="_Toc300136491"/>
      <w:r w:rsidRPr="006C4289">
        <w:t>Testing and assessment</w:t>
      </w:r>
      <w:bookmarkEnd w:id="55"/>
      <w:bookmarkEnd w:id="56"/>
    </w:p>
    <w:p w:rsidR="00F63150" w:rsidRDefault="00A62F7E" w:rsidP="006A77BB">
      <w:pPr>
        <w:pStyle w:val="BodyText"/>
      </w:pPr>
      <w:r w:rsidRPr="006C4289">
        <w:t>The QSA work</w:t>
      </w:r>
      <w:r w:rsidR="00705D18">
        <w:t>ed</w:t>
      </w:r>
      <w:r w:rsidRPr="006C4289">
        <w:t xml:space="preserve"> in partnership with school communities to support assessment practices across </w:t>
      </w:r>
      <w:r w:rsidR="004D1CA5">
        <w:t>the Preparatory Year (</w:t>
      </w:r>
      <w:r>
        <w:t>Prep</w:t>
      </w:r>
      <w:r w:rsidR="004D1CA5">
        <w:t>)</w:t>
      </w:r>
      <w:r>
        <w:t xml:space="preserve"> to Year </w:t>
      </w:r>
      <w:r w:rsidRPr="006C4289">
        <w:t xml:space="preserve">12. </w:t>
      </w:r>
    </w:p>
    <w:p w:rsidR="00A62F7E" w:rsidRPr="006C4289" w:rsidRDefault="00A62F7E" w:rsidP="006A77BB">
      <w:pPr>
        <w:pStyle w:val="BodyText"/>
      </w:pPr>
      <w:r w:rsidRPr="006C4289">
        <w:t xml:space="preserve">QSA also </w:t>
      </w:r>
      <w:r w:rsidRPr="002D63E4">
        <w:t>work</w:t>
      </w:r>
      <w:r w:rsidR="00705D18">
        <w:t>ed</w:t>
      </w:r>
      <w:r w:rsidRPr="006C4289">
        <w:t xml:space="preserve"> with students, principals, teachers and parents to build greater understanding of test results and their use in improving student performance.</w:t>
      </w:r>
    </w:p>
    <w:p w:rsidR="00106376" w:rsidRPr="00A500B4" w:rsidRDefault="00106376" w:rsidP="00A500B4">
      <w:pPr>
        <w:pStyle w:val="Heading3"/>
      </w:pPr>
      <w:r w:rsidRPr="004D1CA5">
        <w:t>Prep</w:t>
      </w:r>
      <w:bookmarkEnd w:id="57"/>
      <w:r w:rsidR="003717FB" w:rsidRPr="004D1CA5">
        <w:t xml:space="preserve"> </w:t>
      </w:r>
      <w:r w:rsidR="005C2B3E" w:rsidRPr="004D1CA5">
        <w:t>–</w:t>
      </w:r>
      <w:r w:rsidR="003717FB" w:rsidRPr="004D1CA5">
        <w:t xml:space="preserve"> </w:t>
      </w:r>
      <w:r w:rsidRPr="004D1CA5">
        <w:t>Year 10</w:t>
      </w:r>
    </w:p>
    <w:p w:rsidR="00106376" w:rsidRPr="003717FB" w:rsidRDefault="00106376" w:rsidP="003717FB">
      <w:pPr>
        <w:pStyle w:val="Heading4"/>
      </w:pPr>
      <w:bookmarkStart w:id="58" w:name="_Toc300136493"/>
      <w:r w:rsidRPr="003717FB">
        <w:t>Literacy and Numeracy Indicators</w:t>
      </w:r>
      <w:bookmarkEnd w:id="58"/>
    </w:p>
    <w:p w:rsidR="00106376" w:rsidRPr="002D63E4" w:rsidRDefault="00106376" w:rsidP="006A77BB">
      <w:pPr>
        <w:pStyle w:val="BodyText"/>
      </w:pPr>
      <w:r w:rsidRPr="002D63E4">
        <w:t>Literacy and Numeracy Indicators describe expected learning in literacy and numeracy for students from Prep to Year 10. They support planning for teaching, learning, assessment and monitoring across all key learning areas.</w:t>
      </w:r>
    </w:p>
    <w:p w:rsidR="00EF2C09" w:rsidRDefault="00106376" w:rsidP="006A77BB">
      <w:pPr>
        <w:pStyle w:val="BodyText"/>
        <w:rPr>
          <w:rFonts w:eastAsia="Calibri"/>
        </w:rPr>
      </w:pPr>
      <w:r w:rsidRPr="002D63E4">
        <w:rPr>
          <w:rFonts w:eastAsia="Calibri"/>
        </w:rPr>
        <w:t>The indicators have been aligned to the Australian Curriculum and a range of short literacy and numeracy assessment resources for Prep to Year 10 have been developed.</w:t>
      </w:r>
    </w:p>
    <w:p w:rsidR="00106376" w:rsidRPr="002D63E4" w:rsidRDefault="00106376" w:rsidP="006A77BB">
      <w:pPr>
        <w:pStyle w:val="BodyText"/>
      </w:pPr>
      <w:r w:rsidRPr="002D63E4">
        <w:rPr>
          <w:rFonts w:eastAsia="Calibri"/>
        </w:rPr>
        <w:t xml:space="preserve">The short assessments </w:t>
      </w:r>
      <w:r w:rsidRPr="002D63E4">
        <w:t>focus on specific literacy and numeracy skills within Australian Curriculum learning areas and Queensland curriculum, and provide practical examples of ways to embed the monitoring and assessment of literacy and numeracy skills across the curriculum.</w:t>
      </w:r>
    </w:p>
    <w:p w:rsidR="00106376" w:rsidRPr="003717FB" w:rsidRDefault="00106376" w:rsidP="003717FB">
      <w:pPr>
        <w:pStyle w:val="Heading4"/>
      </w:pPr>
      <w:bookmarkStart w:id="59" w:name="_Toc300136494"/>
      <w:r w:rsidRPr="003717FB">
        <w:t>National Assessment Program — Literacy and Numeracy (NAPLAN)</w:t>
      </w:r>
      <w:bookmarkEnd w:id="59"/>
    </w:p>
    <w:p w:rsidR="00106376" w:rsidRPr="002D63E4" w:rsidRDefault="00106376" w:rsidP="006A77BB">
      <w:pPr>
        <w:pStyle w:val="BodyText"/>
      </w:pPr>
      <w:r w:rsidRPr="002D63E4">
        <w:t>The NAPLAN tests are designed to assess the skills of Australian students in literacy and numeracy by:</w:t>
      </w:r>
    </w:p>
    <w:p w:rsidR="00106376" w:rsidRPr="00C70157" w:rsidRDefault="00106376" w:rsidP="00C716A9">
      <w:pPr>
        <w:pStyle w:val="ListBullet0"/>
      </w:pPr>
      <w:r w:rsidRPr="00C70157">
        <w:t>collecting data from the population of Years 3, 5, 7 and 9 students for reporting to parents/carers and schools and for systemic reporting</w:t>
      </w:r>
    </w:p>
    <w:p w:rsidR="00106376" w:rsidRPr="00C70157" w:rsidRDefault="00106376" w:rsidP="00C716A9">
      <w:pPr>
        <w:pStyle w:val="ListBullet0"/>
      </w:pPr>
      <w:proofErr w:type="gramStart"/>
      <w:r w:rsidRPr="00C70157">
        <w:t>assessing</w:t>
      </w:r>
      <w:proofErr w:type="gramEnd"/>
      <w:r w:rsidRPr="00C70157">
        <w:t xml:space="preserve"> students against national minimum standards.</w:t>
      </w:r>
    </w:p>
    <w:p w:rsidR="00106376" w:rsidRPr="002D63E4" w:rsidRDefault="00106376" w:rsidP="006A77BB">
      <w:pPr>
        <w:pStyle w:val="BodyText"/>
      </w:pPr>
      <w:r w:rsidRPr="002D63E4">
        <w:t>The 201</w:t>
      </w:r>
      <w:r w:rsidR="005723E1">
        <w:t>4</w:t>
      </w:r>
      <w:r w:rsidRPr="002D63E4">
        <w:t xml:space="preserve"> NAPLAN tests were held in May for all students in Australia in Years 3, 5, 7 and 9.</w:t>
      </w:r>
    </w:p>
    <w:p w:rsidR="008C6A52" w:rsidRDefault="00106376" w:rsidP="006A77BB">
      <w:pPr>
        <w:pStyle w:val="BodyText"/>
      </w:pPr>
      <w:r w:rsidRPr="002D63E4">
        <w:lastRenderedPageBreak/>
        <w:t>The QSA successfully coordinated the administration, marking and reporting of NAPLAN for approximately</w:t>
      </w:r>
      <w:r w:rsidR="006A77BB">
        <w:t xml:space="preserve"> </w:t>
      </w:r>
      <w:r w:rsidR="00533077" w:rsidRPr="002D63E4">
        <w:t>2</w:t>
      </w:r>
      <w:r w:rsidR="006A77BB">
        <w:t>26 </w:t>
      </w:r>
      <w:r w:rsidRPr="002D63E4">
        <w:t>5</w:t>
      </w:r>
      <w:r w:rsidR="00533077">
        <w:t>7</w:t>
      </w:r>
      <w:r w:rsidRPr="002D63E4">
        <w:t>0 students in Queensland within the agreed timeframes.</w:t>
      </w:r>
    </w:p>
    <w:p w:rsidR="0016141B" w:rsidRDefault="00106376" w:rsidP="006A77BB">
      <w:pPr>
        <w:pStyle w:val="BodyText"/>
      </w:pPr>
      <w:r w:rsidRPr="002D63E4">
        <w:t>The average cost of developing and i</w:t>
      </w:r>
      <w:r w:rsidR="00372DF6">
        <w:t>ssuing the NAPLAN report was $35</w:t>
      </w:r>
      <w:r w:rsidRPr="002D63E4">
        <w:t xml:space="preserve"> per student.</w:t>
      </w:r>
    </w:p>
    <w:p w:rsidR="00BE41DB" w:rsidRDefault="00D80BAB" w:rsidP="00BE41DB">
      <w:pPr>
        <w:pStyle w:val="Heading3"/>
      </w:pPr>
      <w:r>
        <w:t>Years 11–</w:t>
      </w:r>
      <w:r w:rsidR="00BE41DB">
        <w:t>12</w:t>
      </w:r>
    </w:p>
    <w:p w:rsidR="00BE41DB" w:rsidRPr="003717FB" w:rsidRDefault="00BE41DB" w:rsidP="003717FB">
      <w:pPr>
        <w:pStyle w:val="Heading4"/>
      </w:pPr>
      <w:r w:rsidRPr="003717FB">
        <w:t>Queensland Core Skills (QCS) Test</w:t>
      </w:r>
    </w:p>
    <w:p w:rsidR="00BE41DB" w:rsidRPr="002D63E4" w:rsidRDefault="00BE41DB" w:rsidP="000C109B">
      <w:pPr>
        <w:pStyle w:val="BodyText"/>
      </w:pPr>
      <w:r w:rsidRPr="002D63E4">
        <w:t>The QCS Test assesses candidates in the common curriculum elements of Authority subjects and contributes scaling data for the calculation of Overall Positions (OPs) and Field Positions (FPs) for tertiary entrance.</w:t>
      </w:r>
    </w:p>
    <w:p w:rsidR="001A2F8B" w:rsidRPr="002D63E4" w:rsidRDefault="00BE41DB" w:rsidP="000C109B">
      <w:pPr>
        <w:pStyle w:val="BodyText"/>
      </w:pPr>
      <w:r w:rsidRPr="002D63E4">
        <w:t>Table 3 shows a breakdow</w:t>
      </w:r>
      <w:r w:rsidR="009C3369">
        <w:t>n of candidates who sat the 2013</w:t>
      </w:r>
      <w:r w:rsidRPr="002D63E4">
        <w:t xml:space="preserve"> QCS Test. Table 4 shows the distribution of grades awarded, both by gender and overall.</w:t>
      </w:r>
    </w:p>
    <w:p w:rsidR="00BE41DB" w:rsidRPr="00410116" w:rsidRDefault="00BE41DB" w:rsidP="00CD06CF">
      <w:pPr>
        <w:pStyle w:val="Caption"/>
      </w:pPr>
      <w:r w:rsidRPr="00410116">
        <w:t>Table 3</w:t>
      </w:r>
      <w:r w:rsidR="00811F32" w:rsidRPr="00410116">
        <w:t xml:space="preserve">: </w:t>
      </w:r>
      <w:r w:rsidR="00552265" w:rsidRPr="00410116">
        <w:t xml:space="preserve">2013 </w:t>
      </w:r>
      <w:r w:rsidRPr="00410116">
        <w:t>QCS Test candidates</w:t>
      </w:r>
    </w:p>
    <w:tbl>
      <w:tblPr>
        <w:tblW w:w="49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2"/>
        <w:gridCol w:w="1141"/>
      </w:tblGrid>
      <w:tr w:rsidR="00BE41DB" w:rsidRPr="00410116" w:rsidTr="00061129">
        <w:trPr>
          <w:cantSplit/>
          <w:trHeight w:hRule="exact" w:val="397"/>
        </w:trPr>
        <w:tc>
          <w:tcPr>
            <w:tcW w:w="3382" w:type="dxa"/>
            <w:shd w:val="clear" w:color="auto" w:fill="BFBFBF"/>
            <w:tcMar>
              <w:left w:w="68" w:type="dxa"/>
              <w:right w:w="68" w:type="dxa"/>
            </w:tcMar>
            <w:vAlign w:val="center"/>
          </w:tcPr>
          <w:p w:rsidR="00BE41DB" w:rsidRPr="00410116" w:rsidRDefault="00BE41DB" w:rsidP="00061129">
            <w:pPr>
              <w:pStyle w:val="Tablehead"/>
              <w:spacing w:before="0" w:after="0"/>
            </w:pPr>
            <w:r w:rsidRPr="00410116">
              <w:t>Total</w:t>
            </w:r>
          </w:p>
        </w:tc>
        <w:tc>
          <w:tcPr>
            <w:tcW w:w="1141" w:type="dxa"/>
            <w:shd w:val="clear" w:color="auto" w:fill="BFBFBF"/>
            <w:tcMar>
              <w:left w:w="68" w:type="dxa"/>
              <w:right w:w="68" w:type="dxa"/>
            </w:tcMar>
            <w:vAlign w:val="center"/>
          </w:tcPr>
          <w:p w:rsidR="00BE41DB" w:rsidRPr="00410116" w:rsidRDefault="00BE41DB" w:rsidP="00061129">
            <w:pPr>
              <w:pStyle w:val="Tabletextfigures"/>
              <w:tabs>
                <w:tab w:val="clear" w:pos="616"/>
              </w:tabs>
              <w:spacing w:line="240" w:lineRule="auto"/>
              <w:ind w:right="28"/>
              <w:jc w:val="right"/>
              <w:rPr>
                <w:sz w:val="19"/>
                <w:szCs w:val="19"/>
              </w:rPr>
            </w:pPr>
            <w:r w:rsidRPr="00410116">
              <w:rPr>
                <w:rFonts w:ascii="MetaBoldLF-Roman" w:hAnsi="MetaBoldLF-Roman"/>
                <w:sz w:val="19"/>
                <w:szCs w:val="19"/>
              </w:rPr>
              <w:t>2</w:t>
            </w:r>
            <w:r w:rsidR="00E960B6" w:rsidRPr="00410116">
              <w:rPr>
                <w:rFonts w:ascii="MetaBoldLF-Roman" w:hAnsi="MetaBoldLF-Roman"/>
                <w:sz w:val="19"/>
                <w:szCs w:val="19"/>
              </w:rPr>
              <w:t>8</w:t>
            </w:r>
            <w:r w:rsidR="008754BB" w:rsidRPr="00410116">
              <w:rPr>
                <w:rFonts w:ascii="MetaBoldLF-Roman" w:hAnsi="MetaBoldLF-Roman"/>
                <w:sz w:val="19"/>
                <w:szCs w:val="19"/>
              </w:rPr>
              <w:t xml:space="preserve"> </w:t>
            </w:r>
            <w:r w:rsidR="00E960B6" w:rsidRPr="00410116">
              <w:rPr>
                <w:rFonts w:ascii="MetaBoldLF-Roman" w:hAnsi="MetaBoldLF-Roman"/>
                <w:sz w:val="19"/>
                <w:szCs w:val="19"/>
              </w:rPr>
              <w:t>622</w:t>
            </w:r>
            <w:r w:rsidR="00410116" w:rsidRPr="00410116">
              <w:rPr>
                <w:rFonts w:ascii="MetaBoldLF-Roman" w:hAnsi="MetaBoldLF-Roman"/>
                <w:sz w:val="19"/>
                <w:szCs w:val="19"/>
              </w:rPr>
              <w:t>*</w:t>
            </w:r>
          </w:p>
        </w:tc>
      </w:tr>
      <w:tr w:rsidR="00BE41DB" w:rsidRPr="00410116" w:rsidTr="00811F32">
        <w:trPr>
          <w:cantSplit/>
          <w:trHeight w:val="340"/>
        </w:trPr>
        <w:tc>
          <w:tcPr>
            <w:tcW w:w="3382" w:type="dxa"/>
            <w:shd w:val="clear" w:color="auto" w:fill="auto"/>
            <w:tcMar>
              <w:left w:w="68" w:type="dxa"/>
              <w:right w:w="68" w:type="dxa"/>
            </w:tcMar>
            <w:vAlign w:val="center"/>
          </w:tcPr>
          <w:p w:rsidR="00BE41DB" w:rsidRPr="00410116" w:rsidRDefault="00BE41DB" w:rsidP="00811F32">
            <w:pPr>
              <w:pStyle w:val="TableText"/>
              <w:rPr>
                <w:rFonts w:ascii="MetaBookLF-Roman" w:hAnsi="MetaBookLF-Roman"/>
              </w:rPr>
            </w:pPr>
            <w:r w:rsidRPr="00410116">
              <w:rPr>
                <w:rFonts w:ascii="MetaBookLF-Roman" w:hAnsi="MetaBookLF-Roman"/>
              </w:rPr>
              <w:t>OP-eligible</w:t>
            </w:r>
          </w:p>
        </w:tc>
        <w:tc>
          <w:tcPr>
            <w:tcW w:w="1141" w:type="dxa"/>
            <w:shd w:val="clear" w:color="auto" w:fill="auto"/>
            <w:tcMar>
              <w:left w:w="68" w:type="dxa"/>
              <w:right w:w="68" w:type="dxa"/>
            </w:tcMar>
            <w:vAlign w:val="center"/>
          </w:tcPr>
          <w:p w:rsidR="00BE41DB" w:rsidRPr="00410116" w:rsidRDefault="00BE41DB" w:rsidP="00E960B6">
            <w:pPr>
              <w:pStyle w:val="Tabletextfigures"/>
              <w:tabs>
                <w:tab w:val="clear" w:pos="616"/>
              </w:tabs>
              <w:ind w:right="113"/>
              <w:jc w:val="right"/>
              <w:rPr>
                <w:sz w:val="19"/>
                <w:szCs w:val="19"/>
              </w:rPr>
            </w:pPr>
            <w:r w:rsidRPr="00410116">
              <w:rPr>
                <w:sz w:val="19"/>
                <w:szCs w:val="19"/>
              </w:rPr>
              <w:t>25</w:t>
            </w:r>
            <w:r w:rsidR="008754BB" w:rsidRPr="00410116">
              <w:rPr>
                <w:sz w:val="19"/>
                <w:szCs w:val="19"/>
              </w:rPr>
              <w:t xml:space="preserve"> </w:t>
            </w:r>
            <w:r w:rsidR="00E960B6" w:rsidRPr="00410116">
              <w:rPr>
                <w:sz w:val="19"/>
                <w:szCs w:val="19"/>
              </w:rPr>
              <w:t>447</w:t>
            </w:r>
          </w:p>
        </w:tc>
      </w:tr>
      <w:tr w:rsidR="00BE41DB" w:rsidRPr="00410116" w:rsidTr="00811F32">
        <w:trPr>
          <w:cantSplit/>
          <w:trHeight w:val="340"/>
        </w:trPr>
        <w:tc>
          <w:tcPr>
            <w:tcW w:w="3382" w:type="dxa"/>
            <w:shd w:val="clear" w:color="auto" w:fill="auto"/>
            <w:tcMar>
              <w:left w:w="68" w:type="dxa"/>
              <w:right w:w="68" w:type="dxa"/>
            </w:tcMar>
            <w:vAlign w:val="center"/>
          </w:tcPr>
          <w:p w:rsidR="00BE41DB" w:rsidRPr="00410116" w:rsidRDefault="00BE41DB" w:rsidP="00811F32">
            <w:pPr>
              <w:pStyle w:val="TableText"/>
              <w:rPr>
                <w:rFonts w:ascii="MetaBookLF-Roman" w:hAnsi="MetaBookLF-Roman"/>
              </w:rPr>
            </w:pPr>
            <w:r w:rsidRPr="00410116">
              <w:rPr>
                <w:rFonts w:ascii="MetaBookLF-Roman" w:hAnsi="MetaBookLF-Roman"/>
              </w:rPr>
              <w:t>OP-ineligible</w:t>
            </w:r>
          </w:p>
        </w:tc>
        <w:tc>
          <w:tcPr>
            <w:tcW w:w="1141" w:type="dxa"/>
            <w:shd w:val="clear" w:color="auto" w:fill="auto"/>
            <w:tcMar>
              <w:left w:w="68" w:type="dxa"/>
              <w:right w:w="68" w:type="dxa"/>
            </w:tcMar>
            <w:vAlign w:val="center"/>
          </w:tcPr>
          <w:p w:rsidR="00BE41DB" w:rsidRPr="00410116" w:rsidRDefault="00BE41DB" w:rsidP="00E960B6">
            <w:pPr>
              <w:pStyle w:val="Tabletextfigures"/>
              <w:tabs>
                <w:tab w:val="clear" w:pos="616"/>
              </w:tabs>
              <w:ind w:right="113"/>
              <w:jc w:val="right"/>
              <w:rPr>
                <w:sz w:val="19"/>
                <w:szCs w:val="19"/>
              </w:rPr>
            </w:pPr>
            <w:r w:rsidRPr="00410116">
              <w:rPr>
                <w:sz w:val="19"/>
                <w:szCs w:val="19"/>
              </w:rPr>
              <w:t>2</w:t>
            </w:r>
            <w:r w:rsidR="008754BB" w:rsidRPr="00410116">
              <w:rPr>
                <w:sz w:val="19"/>
                <w:szCs w:val="19"/>
              </w:rPr>
              <w:t xml:space="preserve"> </w:t>
            </w:r>
            <w:r w:rsidR="00E960B6" w:rsidRPr="00410116">
              <w:rPr>
                <w:sz w:val="19"/>
                <w:szCs w:val="19"/>
              </w:rPr>
              <w:t>346</w:t>
            </w:r>
          </w:p>
        </w:tc>
      </w:tr>
      <w:tr w:rsidR="00BE41DB" w:rsidRPr="00410116" w:rsidTr="00811F32">
        <w:trPr>
          <w:cantSplit/>
          <w:trHeight w:val="340"/>
        </w:trPr>
        <w:tc>
          <w:tcPr>
            <w:tcW w:w="3382" w:type="dxa"/>
            <w:shd w:val="clear" w:color="auto" w:fill="auto"/>
            <w:tcMar>
              <w:left w:w="68" w:type="dxa"/>
              <w:right w:w="68" w:type="dxa"/>
            </w:tcMar>
            <w:vAlign w:val="center"/>
          </w:tcPr>
          <w:p w:rsidR="00BE41DB" w:rsidRPr="00410116" w:rsidRDefault="00BE41DB" w:rsidP="00811F32">
            <w:pPr>
              <w:pStyle w:val="TableText"/>
              <w:rPr>
                <w:rFonts w:ascii="MetaBookLF-Roman" w:hAnsi="MetaBookLF-Roman"/>
              </w:rPr>
            </w:pPr>
            <w:r w:rsidRPr="00410116">
              <w:rPr>
                <w:rFonts w:ascii="MetaBookLF-Roman" w:hAnsi="MetaBookLF-Roman"/>
              </w:rPr>
              <w:t>Equivalent eligible</w:t>
            </w:r>
          </w:p>
        </w:tc>
        <w:tc>
          <w:tcPr>
            <w:tcW w:w="1141" w:type="dxa"/>
            <w:shd w:val="clear" w:color="auto" w:fill="auto"/>
            <w:tcMar>
              <w:left w:w="68" w:type="dxa"/>
              <w:right w:w="68" w:type="dxa"/>
            </w:tcMar>
            <w:vAlign w:val="center"/>
          </w:tcPr>
          <w:p w:rsidR="00BE41DB" w:rsidRPr="00410116" w:rsidRDefault="00BE41DB" w:rsidP="008C6441">
            <w:pPr>
              <w:pStyle w:val="Tabletextfigures"/>
              <w:tabs>
                <w:tab w:val="clear" w:pos="616"/>
              </w:tabs>
              <w:ind w:right="113"/>
              <w:jc w:val="right"/>
              <w:rPr>
                <w:sz w:val="19"/>
                <w:szCs w:val="19"/>
              </w:rPr>
            </w:pPr>
            <w:r w:rsidRPr="00410116">
              <w:rPr>
                <w:sz w:val="19"/>
                <w:szCs w:val="19"/>
              </w:rPr>
              <w:t>7</w:t>
            </w:r>
            <w:r w:rsidR="00E960B6" w:rsidRPr="00410116">
              <w:rPr>
                <w:sz w:val="19"/>
                <w:szCs w:val="19"/>
              </w:rPr>
              <w:t>01</w:t>
            </w:r>
          </w:p>
        </w:tc>
      </w:tr>
      <w:tr w:rsidR="00BE41DB" w:rsidRPr="00410116" w:rsidTr="00811F32">
        <w:trPr>
          <w:cantSplit/>
          <w:trHeight w:val="340"/>
        </w:trPr>
        <w:tc>
          <w:tcPr>
            <w:tcW w:w="3382" w:type="dxa"/>
            <w:shd w:val="clear" w:color="auto" w:fill="auto"/>
            <w:tcMar>
              <w:left w:w="68" w:type="dxa"/>
              <w:right w:w="68" w:type="dxa"/>
            </w:tcMar>
            <w:vAlign w:val="center"/>
          </w:tcPr>
          <w:p w:rsidR="00BE41DB" w:rsidRPr="00410116" w:rsidRDefault="00BE41DB" w:rsidP="00811F32">
            <w:pPr>
              <w:pStyle w:val="TableText"/>
              <w:rPr>
                <w:rFonts w:ascii="MetaBookLF-Roman" w:hAnsi="MetaBookLF-Roman"/>
              </w:rPr>
            </w:pPr>
            <w:r w:rsidRPr="00410116">
              <w:rPr>
                <w:rFonts w:ascii="MetaBookLF-Roman" w:hAnsi="MetaBookLF-Roman"/>
              </w:rPr>
              <w:t>Equivalent ineligible</w:t>
            </w:r>
          </w:p>
        </w:tc>
        <w:tc>
          <w:tcPr>
            <w:tcW w:w="1141" w:type="dxa"/>
            <w:shd w:val="clear" w:color="auto" w:fill="auto"/>
            <w:tcMar>
              <w:left w:w="68" w:type="dxa"/>
              <w:right w:w="68" w:type="dxa"/>
            </w:tcMar>
            <w:vAlign w:val="center"/>
          </w:tcPr>
          <w:p w:rsidR="00BE41DB" w:rsidRPr="00410116" w:rsidRDefault="00BE41DB" w:rsidP="008C6441">
            <w:pPr>
              <w:pStyle w:val="Tabletextfigures"/>
              <w:tabs>
                <w:tab w:val="clear" w:pos="616"/>
              </w:tabs>
              <w:ind w:right="113"/>
              <w:jc w:val="right"/>
              <w:rPr>
                <w:sz w:val="19"/>
                <w:szCs w:val="19"/>
              </w:rPr>
            </w:pPr>
            <w:r w:rsidRPr="00410116">
              <w:rPr>
                <w:sz w:val="19"/>
                <w:szCs w:val="19"/>
              </w:rPr>
              <w:t>35</w:t>
            </w:r>
          </w:p>
        </w:tc>
      </w:tr>
      <w:tr w:rsidR="00BE41DB" w:rsidRPr="00410116" w:rsidTr="00C22141">
        <w:trPr>
          <w:cantSplit/>
          <w:trHeight w:val="340"/>
        </w:trPr>
        <w:tc>
          <w:tcPr>
            <w:tcW w:w="3382" w:type="dxa"/>
            <w:shd w:val="clear" w:color="auto" w:fill="auto"/>
            <w:tcMar>
              <w:left w:w="68" w:type="dxa"/>
              <w:right w:w="68" w:type="dxa"/>
            </w:tcMar>
            <w:vAlign w:val="center"/>
          </w:tcPr>
          <w:p w:rsidR="00BE41DB" w:rsidRPr="00410116" w:rsidRDefault="00BE41DB" w:rsidP="00C22141">
            <w:pPr>
              <w:pStyle w:val="TableText"/>
              <w:spacing w:line="247" w:lineRule="auto"/>
              <w:rPr>
                <w:rFonts w:ascii="MetaBookLF-Roman" w:hAnsi="MetaBookLF-Roman"/>
              </w:rPr>
            </w:pPr>
            <w:r w:rsidRPr="00410116">
              <w:rPr>
                <w:rFonts w:ascii="MetaBookLF-Roman" w:hAnsi="MetaBookLF-Roman"/>
              </w:rPr>
              <w:t>Sat but not certificated</w:t>
            </w:r>
            <w:r w:rsidR="00812643" w:rsidRPr="00410116">
              <w:rPr>
                <w:rFonts w:ascii="MetaBookLF-Roman" w:hAnsi="MetaBookLF-Roman"/>
              </w:rPr>
              <w:br/>
            </w:r>
            <w:r w:rsidR="00812643" w:rsidRPr="00410116">
              <w:rPr>
                <w:rFonts w:ascii="MetaBookLF-Italic" w:hAnsi="MetaBookLF-Italic"/>
              </w:rPr>
              <w:t>(i.e. left before completing Year 12)</w:t>
            </w:r>
          </w:p>
        </w:tc>
        <w:tc>
          <w:tcPr>
            <w:tcW w:w="1141" w:type="dxa"/>
            <w:shd w:val="clear" w:color="auto" w:fill="auto"/>
            <w:tcMar>
              <w:left w:w="68" w:type="dxa"/>
              <w:right w:w="68" w:type="dxa"/>
            </w:tcMar>
            <w:vAlign w:val="center"/>
          </w:tcPr>
          <w:p w:rsidR="00BE41DB" w:rsidRPr="00410116" w:rsidRDefault="001A19F6" w:rsidP="00C22141">
            <w:pPr>
              <w:pStyle w:val="Tabletextfigures"/>
              <w:tabs>
                <w:tab w:val="clear" w:pos="616"/>
              </w:tabs>
              <w:spacing w:before="20" w:line="247" w:lineRule="auto"/>
              <w:ind w:right="113"/>
              <w:jc w:val="right"/>
              <w:rPr>
                <w:sz w:val="19"/>
                <w:szCs w:val="19"/>
              </w:rPr>
            </w:pPr>
            <w:r w:rsidRPr="00410116">
              <w:rPr>
                <w:sz w:val="19"/>
                <w:szCs w:val="19"/>
              </w:rPr>
              <w:t>93</w:t>
            </w:r>
            <w:r w:rsidR="00C22141" w:rsidRPr="00410116">
              <w:rPr>
                <w:sz w:val="19"/>
                <w:szCs w:val="19"/>
              </w:rPr>
              <w:br/>
            </w:r>
          </w:p>
        </w:tc>
      </w:tr>
    </w:tbl>
    <w:p w:rsidR="001A2F8B" w:rsidRPr="00410116" w:rsidRDefault="00BE41DB" w:rsidP="00CD06CF">
      <w:pPr>
        <w:pStyle w:val="Caption"/>
      </w:pPr>
      <w:r w:rsidRPr="00410116">
        <w:t>Table 4</w:t>
      </w:r>
      <w:r w:rsidR="00811F32" w:rsidRPr="00410116">
        <w:t xml:space="preserve">: </w:t>
      </w:r>
      <w:r w:rsidR="00552265" w:rsidRPr="00410116">
        <w:t xml:space="preserve">2013 </w:t>
      </w:r>
      <w:r w:rsidRPr="00410116">
        <w:t>QCS Test grades</w:t>
      </w:r>
    </w:p>
    <w:tbl>
      <w:tblPr>
        <w:tblW w:w="49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70" w:type="dxa"/>
          <w:bottom w:w="57" w:type="dxa"/>
          <w:right w:w="170" w:type="dxa"/>
        </w:tblCellMar>
        <w:tblLook w:val="04A0" w:firstRow="1" w:lastRow="0" w:firstColumn="1" w:lastColumn="0" w:noHBand="0" w:noVBand="1"/>
      </w:tblPr>
      <w:tblGrid>
        <w:gridCol w:w="1125"/>
        <w:gridCol w:w="1125"/>
        <w:gridCol w:w="1125"/>
        <w:gridCol w:w="1126"/>
      </w:tblGrid>
      <w:tr w:rsidR="00BE41DB" w:rsidRPr="00410116" w:rsidTr="00061129">
        <w:trPr>
          <w:cantSplit/>
          <w:trHeight w:hRule="exact" w:val="340"/>
        </w:trPr>
        <w:tc>
          <w:tcPr>
            <w:tcW w:w="1125" w:type="dxa"/>
            <w:shd w:val="clear" w:color="auto" w:fill="BFBFBF"/>
            <w:tcMar>
              <w:top w:w="57" w:type="dxa"/>
              <w:left w:w="57" w:type="dxa"/>
              <w:bottom w:w="57" w:type="dxa"/>
              <w:right w:w="57" w:type="dxa"/>
            </w:tcMar>
            <w:vAlign w:val="center"/>
          </w:tcPr>
          <w:p w:rsidR="00BE41DB" w:rsidRPr="00410116" w:rsidRDefault="00BE41DB" w:rsidP="00061129">
            <w:pPr>
              <w:pStyle w:val="Tablehead"/>
              <w:spacing w:before="0" w:after="0"/>
            </w:pPr>
            <w:r w:rsidRPr="00410116">
              <w:t>Grade</w:t>
            </w:r>
          </w:p>
        </w:tc>
        <w:tc>
          <w:tcPr>
            <w:tcW w:w="1125" w:type="dxa"/>
            <w:shd w:val="clear" w:color="auto" w:fill="BFBFBF"/>
            <w:tcMar>
              <w:top w:w="57" w:type="dxa"/>
              <w:left w:w="57" w:type="dxa"/>
              <w:bottom w:w="57" w:type="dxa"/>
              <w:right w:w="57" w:type="dxa"/>
            </w:tcMar>
            <w:vAlign w:val="center"/>
          </w:tcPr>
          <w:p w:rsidR="00BE41DB" w:rsidRPr="00410116" w:rsidRDefault="00BE41DB" w:rsidP="00061129">
            <w:pPr>
              <w:pStyle w:val="Tablehead"/>
              <w:spacing w:before="0" w:after="0"/>
              <w:ind w:right="113"/>
              <w:jc w:val="right"/>
            </w:pPr>
            <w:r w:rsidRPr="00410116">
              <w:t>Overall</w:t>
            </w:r>
          </w:p>
        </w:tc>
        <w:tc>
          <w:tcPr>
            <w:tcW w:w="1125" w:type="dxa"/>
            <w:shd w:val="clear" w:color="auto" w:fill="BFBFBF"/>
            <w:tcMar>
              <w:top w:w="57" w:type="dxa"/>
              <w:left w:w="57" w:type="dxa"/>
              <w:bottom w:w="57" w:type="dxa"/>
              <w:right w:w="57" w:type="dxa"/>
            </w:tcMar>
            <w:vAlign w:val="center"/>
          </w:tcPr>
          <w:p w:rsidR="00BE41DB" w:rsidRPr="00410116" w:rsidRDefault="00BE41DB" w:rsidP="00061129">
            <w:pPr>
              <w:pStyle w:val="Tablehead"/>
              <w:spacing w:before="0" w:after="0"/>
              <w:ind w:right="113"/>
              <w:jc w:val="right"/>
            </w:pPr>
            <w:r w:rsidRPr="00410116">
              <w:t>Female</w:t>
            </w:r>
          </w:p>
        </w:tc>
        <w:tc>
          <w:tcPr>
            <w:tcW w:w="1126" w:type="dxa"/>
            <w:shd w:val="clear" w:color="auto" w:fill="BFBFBF"/>
            <w:tcMar>
              <w:top w:w="57" w:type="dxa"/>
              <w:left w:w="57" w:type="dxa"/>
              <w:bottom w:w="57" w:type="dxa"/>
              <w:right w:w="57" w:type="dxa"/>
            </w:tcMar>
            <w:vAlign w:val="center"/>
          </w:tcPr>
          <w:p w:rsidR="00BE41DB" w:rsidRPr="00410116" w:rsidRDefault="00BE41DB" w:rsidP="00061129">
            <w:pPr>
              <w:pStyle w:val="Tablehead"/>
              <w:spacing w:before="0" w:after="0"/>
              <w:ind w:right="113"/>
              <w:jc w:val="right"/>
            </w:pPr>
            <w:r w:rsidRPr="00410116">
              <w:t>Male</w:t>
            </w:r>
          </w:p>
        </w:tc>
      </w:tr>
      <w:tr w:rsidR="00BE41DB" w:rsidRPr="00410116" w:rsidTr="00C22141">
        <w:trPr>
          <w:cantSplit/>
          <w:trHeight w:val="244"/>
        </w:trPr>
        <w:tc>
          <w:tcPr>
            <w:tcW w:w="1125" w:type="dxa"/>
            <w:shd w:val="clear" w:color="auto" w:fill="D9D9D9"/>
            <w:tcMar>
              <w:top w:w="57" w:type="dxa"/>
              <w:left w:w="57" w:type="dxa"/>
              <w:bottom w:w="57" w:type="dxa"/>
              <w:right w:w="57" w:type="dxa"/>
            </w:tcMar>
            <w:vAlign w:val="center"/>
          </w:tcPr>
          <w:p w:rsidR="00BE41DB" w:rsidRPr="00410116" w:rsidRDefault="00BE41DB" w:rsidP="00C22141">
            <w:pPr>
              <w:pStyle w:val="Tablehead"/>
              <w:widowControl w:val="0"/>
              <w:spacing w:before="0" w:after="0"/>
              <w:rPr>
                <w:b/>
              </w:rPr>
            </w:pPr>
            <w:r w:rsidRPr="00410116">
              <w:t>Total #</w:t>
            </w:r>
          </w:p>
        </w:tc>
        <w:tc>
          <w:tcPr>
            <w:tcW w:w="1125" w:type="dxa"/>
            <w:shd w:val="clear" w:color="auto" w:fill="D9D9D9"/>
            <w:tcMar>
              <w:top w:w="57" w:type="dxa"/>
              <w:left w:w="57" w:type="dxa"/>
              <w:bottom w:w="57" w:type="dxa"/>
              <w:right w:w="57" w:type="dxa"/>
            </w:tcMar>
            <w:vAlign w:val="center"/>
          </w:tcPr>
          <w:p w:rsidR="00BE41DB" w:rsidRPr="00410116" w:rsidRDefault="00BE41DB" w:rsidP="00410116">
            <w:pPr>
              <w:pStyle w:val="Tabletextfigures"/>
              <w:tabs>
                <w:tab w:val="clear" w:pos="616"/>
              </w:tabs>
              <w:ind w:right="113"/>
              <w:jc w:val="right"/>
              <w:rPr>
                <w:rFonts w:ascii="MetaBoldLF-Roman" w:hAnsi="MetaBoldLF-Roman"/>
                <w:sz w:val="19"/>
                <w:szCs w:val="19"/>
              </w:rPr>
            </w:pPr>
            <w:r w:rsidRPr="00410116">
              <w:rPr>
                <w:rFonts w:ascii="MetaBoldLF-Roman" w:hAnsi="MetaBoldLF-Roman"/>
                <w:sz w:val="19"/>
                <w:szCs w:val="19"/>
              </w:rPr>
              <w:t>2</w:t>
            </w:r>
            <w:r w:rsidR="001A19F6" w:rsidRPr="00410116">
              <w:rPr>
                <w:rFonts w:ascii="MetaBoldLF-Roman" w:hAnsi="MetaBoldLF-Roman"/>
                <w:sz w:val="19"/>
                <w:szCs w:val="19"/>
              </w:rPr>
              <w:t>8</w:t>
            </w:r>
            <w:r w:rsidR="00FD056A" w:rsidRPr="00410116">
              <w:rPr>
                <w:rFonts w:ascii="MetaBoldLF-Roman" w:hAnsi="MetaBoldLF-Roman"/>
                <w:sz w:val="19"/>
                <w:szCs w:val="19"/>
              </w:rPr>
              <w:t xml:space="preserve"> 5</w:t>
            </w:r>
            <w:r w:rsidR="001A19F6" w:rsidRPr="00410116">
              <w:rPr>
                <w:rFonts w:ascii="MetaBoldLF-Roman" w:hAnsi="MetaBoldLF-Roman"/>
                <w:sz w:val="19"/>
                <w:szCs w:val="19"/>
              </w:rPr>
              <w:t>84</w:t>
            </w:r>
            <w:r w:rsidR="00410116" w:rsidRPr="00410116">
              <w:rPr>
                <w:rFonts w:ascii="MetaBoldLF-Roman" w:hAnsi="MetaBoldLF-Roman"/>
                <w:sz w:val="19"/>
                <w:szCs w:val="19"/>
              </w:rPr>
              <w:t>*</w:t>
            </w:r>
          </w:p>
        </w:tc>
        <w:tc>
          <w:tcPr>
            <w:tcW w:w="1125" w:type="dxa"/>
            <w:shd w:val="clear" w:color="auto" w:fill="D9D9D9"/>
            <w:tcMar>
              <w:top w:w="57" w:type="dxa"/>
              <w:left w:w="57" w:type="dxa"/>
              <w:bottom w:w="57" w:type="dxa"/>
              <w:right w:w="57" w:type="dxa"/>
            </w:tcMar>
            <w:vAlign w:val="center"/>
          </w:tcPr>
          <w:p w:rsidR="00BE41DB" w:rsidRPr="00410116" w:rsidRDefault="001A19F6" w:rsidP="00410116">
            <w:pPr>
              <w:pStyle w:val="Tabletextfigures"/>
              <w:tabs>
                <w:tab w:val="clear" w:pos="616"/>
                <w:tab w:val="decimal" w:pos="591"/>
              </w:tabs>
              <w:ind w:right="113"/>
              <w:jc w:val="right"/>
              <w:rPr>
                <w:rFonts w:ascii="MetaBoldLF-Roman" w:hAnsi="MetaBoldLF-Roman"/>
                <w:sz w:val="19"/>
                <w:szCs w:val="19"/>
              </w:rPr>
            </w:pPr>
            <w:r w:rsidRPr="00410116">
              <w:rPr>
                <w:rFonts w:ascii="MetaBoldLF-Roman" w:hAnsi="MetaBoldLF-Roman"/>
                <w:sz w:val="19"/>
                <w:szCs w:val="19"/>
              </w:rPr>
              <w:t>15 870</w:t>
            </w:r>
          </w:p>
        </w:tc>
        <w:tc>
          <w:tcPr>
            <w:tcW w:w="1126" w:type="dxa"/>
            <w:shd w:val="clear" w:color="auto" w:fill="D9D9D9"/>
            <w:tcMar>
              <w:top w:w="57" w:type="dxa"/>
              <w:left w:w="57" w:type="dxa"/>
              <w:bottom w:w="57" w:type="dxa"/>
              <w:right w:w="57" w:type="dxa"/>
            </w:tcMar>
            <w:vAlign w:val="center"/>
          </w:tcPr>
          <w:p w:rsidR="00BE41DB" w:rsidRPr="00410116" w:rsidRDefault="00BE41DB" w:rsidP="00410116">
            <w:pPr>
              <w:pStyle w:val="Tabletextfigures"/>
              <w:tabs>
                <w:tab w:val="clear" w:pos="616"/>
                <w:tab w:val="decimal" w:pos="591"/>
              </w:tabs>
              <w:ind w:right="113"/>
              <w:jc w:val="right"/>
              <w:rPr>
                <w:rFonts w:ascii="MetaBoldLF-Roman" w:hAnsi="MetaBoldLF-Roman"/>
                <w:sz w:val="19"/>
                <w:szCs w:val="19"/>
              </w:rPr>
            </w:pPr>
            <w:r w:rsidRPr="00410116">
              <w:rPr>
                <w:rFonts w:ascii="MetaBoldLF-Roman" w:hAnsi="MetaBoldLF-Roman"/>
                <w:sz w:val="19"/>
                <w:szCs w:val="19"/>
              </w:rPr>
              <w:t>12</w:t>
            </w:r>
            <w:r w:rsidR="008754BB" w:rsidRPr="00410116">
              <w:rPr>
                <w:rFonts w:ascii="MetaBoldLF-Roman" w:hAnsi="MetaBoldLF-Roman"/>
                <w:sz w:val="19"/>
                <w:szCs w:val="19"/>
              </w:rPr>
              <w:t xml:space="preserve"> </w:t>
            </w:r>
            <w:r w:rsidR="001A19F6" w:rsidRPr="00410116">
              <w:rPr>
                <w:rFonts w:ascii="MetaBoldLF-Roman" w:hAnsi="MetaBoldLF-Roman"/>
                <w:sz w:val="19"/>
                <w:szCs w:val="19"/>
              </w:rPr>
              <w:t>714</w:t>
            </w:r>
          </w:p>
        </w:tc>
      </w:tr>
      <w:tr w:rsidR="00BE41DB" w:rsidRPr="00410116" w:rsidTr="00410116">
        <w:trPr>
          <w:cantSplit/>
          <w:trHeight w:val="244"/>
        </w:trPr>
        <w:tc>
          <w:tcPr>
            <w:tcW w:w="1125" w:type="dxa"/>
            <w:shd w:val="clear" w:color="auto" w:fill="auto"/>
            <w:tcMar>
              <w:top w:w="57" w:type="dxa"/>
              <w:left w:w="57" w:type="dxa"/>
              <w:bottom w:w="57" w:type="dxa"/>
              <w:right w:w="57" w:type="dxa"/>
            </w:tcMar>
            <w:vAlign w:val="center"/>
          </w:tcPr>
          <w:p w:rsidR="00BE41DB" w:rsidRPr="00410116" w:rsidRDefault="00BE41DB" w:rsidP="00410116">
            <w:pPr>
              <w:pStyle w:val="TableText"/>
              <w:ind w:left="171"/>
              <w:rPr>
                <w:rFonts w:ascii="MetaBookLF-Roman" w:hAnsi="MetaBookLF-Roman"/>
              </w:rPr>
            </w:pPr>
            <w:r w:rsidRPr="00410116">
              <w:rPr>
                <w:rFonts w:ascii="MetaBookLF-Roman" w:hAnsi="MetaBookLF-Roman"/>
              </w:rPr>
              <w:t>A</w:t>
            </w:r>
          </w:p>
        </w:tc>
        <w:tc>
          <w:tcPr>
            <w:tcW w:w="1125" w:type="dxa"/>
            <w:shd w:val="clear" w:color="auto" w:fill="auto"/>
            <w:tcMar>
              <w:top w:w="57" w:type="dxa"/>
              <w:left w:w="57" w:type="dxa"/>
              <w:bottom w:w="57" w:type="dxa"/>
              <w:right w:w="57" w:type="dxa"/>
            </w:tcMar>
            <w:vAlign w:val="center"/>
          </w:tcPr>
          <w:p w:rsidR="00BE41DB" w:rsidRPr="00410116" w:rsidRDefault="001A19F6" w:rsidP="00410116">
            <w:pPr>
              <w:pStyle w:val="Tabletextfigures"/>
              <w:tabs>
                <w:tab w:val="clear" w:pos="616"/>
                <w:tab w:val="decimal" w:pos="582"/>
              </w:tabs>
              <w:rPr>
                <w:sz w:val="19"/>
                <w:szCs w:val="19"/>
              </w:rPr>
            </w:pPr>
            <w:r w:rsidRPr="00410116">
              <w:rPr>
                <w:sz w:val="19"/>
                <w:szCs w:val="19"/>
              </w:rPr>
              <w:t>16.3</w:t>
            </w:r>
            <w:r w:rsidR="00BE41DB" w:rsidRPr="00410116">
              <w:rPr>
                <w:sz w:val="19"/>
                <w:szCs w:val="19"/>
              </w:rPr>
              <w:t>%</w:t>
            </w:r>
          </w:p>
        </w:tc>
        <w:tc>
          <w:tcPr>
            <w:tcW w:w="1125" w:type="dxa"/>
            <w:shd w:val="clear" w:color="auto" w:fill="auto"/>
            <w:tcMar>
              <w:top w:w="57" w:type="dxa"/>
              <w:left w:w="57" w:type="dxa"/>
              <w:bottom w:w="57" w:type="dxa"/>
              <w:right w:w="57" w:type="dxa"/>
            </w:tcMar>
            <w:vAlign w:val="center"/>
          </w:tcPr>
          <w:p w:rsidR="00BE41DB" w:rsidRPr="00410116" w:rsidRDefault="001A19F6" w:rsidP="00410116">
            <w:pPr>
              <w:pStyle w:val="Tabletextfigures"/>
              <w:tabs>
                <w:tab w:val="clear" w:pos="616"/>
                <w:tab w:val="decimal" w:pos="563"/>
              </w:tabs>
              <w:rPr>
                <w:sz w:val="19"/>
                <w:szCs w:val="19"/>
              </w:rPr>
            </w:pPr>
            <w:r w:rsidRPr="00410116">
              <w:rPr>
                <w:sz w:val="19"/>
                <w:szCs w:val="19"/>
              </w:rPr>
              <w:t>14.5</w:t>
            </w:r>
            <w:r w:rsidR="00BE41DB" w:rsidRPr="00410116">
              <w:rPr>
                <w:sz w:val="19"/>
                <w:szCs w:val="19"/>
              </w:rPr>
              <w:t>%</w:t>
            </w:r>
          </w:p>
        </w:tc>
        <w:tc>
          <w:tcPr>
            <w:tcW w:w="1126" w:type="dxa"/>
            <w:shd w:val="clear" w:color="auto" w:fill="auto"/>
            <w:tcMar>
              <w:top w:w="57" w:type="dxa"/>
              <w:left w:w="57" w:type="dxa"/>
              <w:bottom w:w="57" w:type="dxa"/>
              <w:right w:w="57" w:type="dxa"/>
            </w:tcMar>
            <w:vAlign w:val="center"/>
          </w:tcPr>
          <w:p w:rsidR="00BE41DB" w:rsidRPr="00410116" w:rsidRDefault="00BE41DB" w:rsidP="00410116">
            <w:pPr>
              <w:pStyle w:val="Tabletextfigures"/>
              <w:tabs>
                <w:tab w:val="clear" w:pos="616"/>
                <w:tab w:val="decimal" w:pos="586"/>
              </w:tabs>
              <w:rPr>
                <w:sz w:val="19"/>
                <w:szCs w:val="19"/>
              </w:rPr>
            </w:pPr>
            <w:r w:rsidRPr="00410116">
              <w:rPr>
                <w:sz w:val="19"/>
                <w:szCs w:val="19"/>
              </w:rPr>
              <w:t>18.7%</w:t>
            </w:r>
          </w:p>
        </w:tc>
      </w:tr>
      <w:tr w:rsidR="00BE41DB" w:rsidRPr="00410116" w:rsidTr="00410116">
        <w:trPr>
          <w:cantSplit/>
          <w:trHeight w:val="244"/>
        </w:trPr>
        <w:tc>
          <w:tcPr>
            <w:tcW w:w="1125" w:type="dxa"/>
            <w:shd w:val="clear" w:color="auto" w:fill="auto"/>
            <w:tcMar>
              <w:top w:w="57" w:type="dxa"/>
              <w:left w:w="57" w:type="dxa"/>
              <w:bottom w:w="57" w:type="dxa"/>
              <w:right w:w="57" w:type="dxa"/>
            </w:tcMar>
            <w:vAlign w:val="center"/>
          </w:tcPr>
          <w:p w:rsidR="00BE41DB" w:rsidRPr="00410116" w:rsidRDefault="00BE41DB" w:rsidP="00410116">
            <w:pPr>
              <w:pStyle w:val="TableText"/>
              <w:ind w:left="171"/>
              <w:rPr>
                <w:rFonts w:ascii="MetaBookLF-Roman" w:hAnsi="MetaBookLF-Roman"/>
              </w:rPr>
            </w:pPr>
            <w:r w:rsidRPr="00410116">
              <w:rPr>
                <w:rFonts w:ascii="MetaBookLF-Roman" w:hAnsi="MetaBookLF-Roman"/>
              </w:rPr>
              <w:t>B</w:t>
            </w:r>
          </w:p>
        </w:tc>
        <w:tc>
          <w:tcPr>
            <w:tcW w:w="1125" w:type="dxa"/>
            <w:shd w:val="clear" w:color="auto" w:fill="auto"/>
            <w:tcMar>
              <w:top w:w="57" w:type="dxa"/>
              <w:left w:w="57" w:type="dxa"/>
              <w:bottom w:w="57" w:type="dxa"/>
              <w:right w:w="57" w:type="dxa"/>
            </w:tcMar>
            <w:vAlign w:val="center"/>
          </w:tcPr>
          <w:p w:rsidR="00BE41DB" w:rsidRPr="00410116" w:rsidRDefault="00BE41DB" w:rsidP="00410116">
            <w:pPr>
              <w:pStyle w:val="Tabletextfigures"/>
              <w:tabs>
                <w:tab w:val="clear" w:pos="616"/>
                <w:tab w:val="decimal" w:pos="582"/>
              </w:tabs>
              <w:rPr>
                <w:sz w:val="19"/>
                <w:szCs w:val="19"/>
              </w:rPr>
            </w:pPr>
            <w:r w:rsidRPr="00410116">
              <w:rPr>
                <w:sz w:val="19"/>
                <w:szCs w:val="19"/>
              </w:rPr>
              <w:t>27.</w:t>
            </w:r>
            <w:r w:rsidR="001A19F6" w:rsidRPr="00410116">
              <w:rPr>
                <w:sz w:val="19"/>
                <w:szCs w:val="19"/>
              </w:rPr>
              <w:t>6</w:t>
            </w:r>
            <w:r w:rsidRPr="00410116">
              <w:rPr>
                <w:sz w:val="19"/>
                <w:szCs w:val="19"/>
              </w:rPr>
              <w:t>%</w:t>
            </w:r>
          </w:p>
        </w:tc>
        <w:tc>
          <w:tcPr>
            <w:tcW w:w="1125" w:type="dxa"/>
            <w:shd w:val="clear" w:color="auto" w:fill="auto"/>
            <w:tcMar>
              <w:top w:w="57" w:type="dxa"/>
              <w:left w:w="57" w:type="dxa"/>
              <w:bottom w:w="57" w:type="dxa"/>
              <w:right w:w="57" w:type="dxa"/>
            </w:tcMar>
            <w:vAlign w:val="center"/>
          </w:tcPr>
          <w:p w:rsidR="00BE41DB" w:rsidRPr="00410116" w:rsidRDefault="001A19F6" w:rsidP="00410116">
            <w:pPr>
              <w:pStyle w:val="Tabletextfigures"/>
              <w:tabs>
                <w:tab w:val="clear" w:pos="616"/>
                <w:tab w:val="decimal" w:pos="563"/>
              </w:tabs>
              <w:rPr>
                <w:sz w:val="19"/>
                <w:szCs w:val="19"/>
              </w:rPr>
            </w:pPr>
            <w:r w:rsidRPr="00410116">
              <w:rPr>
                <w:sz w:val="19"/>
                <w:szCs w:val="19"/>
              </w:rPr>
              <w:t>26.8</w:t>
            </w:r>
            <w:r w:rsidR="00BE41DB" w:rsidRPr="00410116">
              <w:rPr>
                <w:sz w:val="19"/>
                <w:szCs w:val="19"/>
              </w:rPr>
              <w:t>%</w:t>
            </w:r>
          </w:p>
        </w:tc>
        <w:tc>
          <w:tcPr>
            <w:tcW w:w="1126" w:type="dxa"/>
            <w:shd w:val="clear" w:color="auto" w:fill="auto"/>
            <w:tcMar>
              <w:top w:w="57" w:type="dxa"/>
              <w:left w:w="57" w:type="dxa"/>
              <w:bottom w:w="57" w:type="dxa"/>
              <w:right w:w="57" w:type="dxa"/>
            </w:tcMar>
            <w:vAlign w:val="center"/>
          </w:tcPr>
          <w:p w:rsidR="00BE41DB" w:rsidRPr="00410116" w:rsidRDefault="00BE41DB" w:rsidP="00410116">
            <w:pPr>
              <w:pStyle w:val="Tabletextfigures"/>
              <w:tabs>
                <w:tab w:val="clear" w:pos="616"/>
                <w:tab w:val="decimal" w:pos="586"/>
              </w:tabs>
              <w:rPr>
                <w:sz w:val="19"/>
                <w:szCs w:val="19"/>
              </w:rPr>
            </w:pPr>
            <w:r w:rsidRPr="00410116">
              <w:rPr>
                <w:sz w:val="19"/>
                <w:szCs w:val="19"/>
              </w:rPr>
              <w:t>28.</w:t>
            </w:r>
            <w:r w:rsidR="001A19F6" w:rsidRPr="00410116">
              <w:rPr>
                <w:sz w:val="19"/>
                <w:szCs w:val="19"/>
              </w:rPr>
              <w:t>7</w:t>
            </w:r>
            <w:r w:rsidRPr="00410116">
              <w:rPr>
                <w:sz w:val="19"/>
                <w:szCs w:val="19"/>
              </w:rPr>
              <w:t>%</w:t>
            </w:r>
          </w:p>
        </w:tc>
      </w:tr>
      <w:tr w:rsidR="00BE41DB" w:rsidRPr="00410116" w:rsidTr="00410116">
        <w:trPr>
          <w:cantSplit/>
          <w:trHeight w:val="244"/>
        </w:trPr>
        <w:tc>
          <w:tcPr>
            <w:tcW w:w="1125" w:type="dxa"/>
            <w:shd w:val="clear" w:color="auto" w:fill="auto"/>
            <w:tcMar>
              <w:top w:w="57" w:type="dxa"/>
              <w:left w:w="57" w:type="dxa"/>
              <w:bottom w:w="57" w:type="dxa"/>
              <w:right w:w="57" w:type="dxa"/>
            </w:tcMar>
            <w:vAlign w:val="center"/>
          </w:tcPr>
          <w:p w:rsidR="00BE41DB" w:rsidRPr="00410116" w:rsidRDefault="00BE41DB" w:rsidP="00410116">
            <w:pPr>
              <w:pStyle w:val="TableText"/>
              <w:ind w:left="171"/>
              <w:rPr>
                <w:rFonts w:ascii="MetaBookLF-Roman" w:hAnsi="MetaBookLF-Roman"/>
              </w:rPr>
            </w:pPr>
            <w:r w:rsidRPr="00410116">
              <w:rPr>
                <w:rFonts w:ascii="MetaBookLF-Roman" w:hAnsi="MetaBookLF-Roman"/>
              </w:rPr>
              <w:t>C</w:t>
            </w:r>
          </w:p>
        </w:tc>
        <w:tc>
          <w:tcPr>
            <w:tcW w:w="1125" w:type="dxa"/>
            <w:shd w:val="clear" w:color="auto" w:fill="auto"/>
            <w:tcMar>
              <w:top w:w="57" w:type="dxa"/>
              <w:left w:w="57" w:type="dxa"/>
              <w:bottom w:w="57" w:type="dxa"/>
              <w:right w:w="57" w:type="dxa"/>
            </w:tcMar>
            <w:vAlign w:val="center"/>
          </w:tcPr>
          <w:p w:rsidR="00BE41DB" w:rsidRPr="00410116" w:rsidRDefault="00BE41DB" w:rsidP="00410116">
            <w:pPr>
              <w:pStyle w:val="Tabletextfigures"/>
              <w:tabs>
                <w:tab w:val="clear" w:pos="616"/>
                <w:tab w:val="decimal" w:pos="582"/>
              </w:tabs>
              <w:rPr>
                <w:sz w:val="19"/>
                <w:szCs w:val="19"/>
              </w:rPr>
            </w:pPr>
            <w:r w:rsidRPr="00410116">
              <w:rPr>
                <w:sz w:val="19"/>
                <w:szCs w:val="19"/>
              </w:rPr>
              <w:t>34.6%</w:t>
            </w:r>
          </w:p>
        </w:tc>
        <w:tc>
          <w:tcPr>
            <w:tcW w:w="1125" w:type="dxa"/>
            <w:shd w:val="clear" w:color="auto" w:fill="auto"/>
            <w:tcMar>
              <w:top w:w="57" w:type="dxa"/>
              <w:left w:w="57" w:type="dxa"/>
              <w:bottom w:w="57" w:type="dxa"/>
              <w:right w:w="57" w:type="dxa"/>
            </w:tcMar>
            <w:vAlign w:val="center"/>
          </w:tcPr>
          <w:p w:rsidR="00BE41DB" w:rsidRPr="00410116" w:rsidRDefault="00BE41DB" w:rsidP="00410116">
            <w:pPr>
              <w:pStyle w:val="Tabletextfigures"/>
              <w:tabs>
                <w:tab w:val="clear" w:pos="616"/>
                <w:tab w:val="decimal" w:pos="563"/>
              </w:tabs>
              <w:rPr>
                <w:sz w:val="19"/>
                <w:szCs w:val="19"/>
              </w:rPr>
            </w:pPr>
            <w:r w:rsidRPr="00410116">
              <w:rPr>
                <w:sz w:val="19"/>
                <w:szCs w:val="19"/>
              </w:rPr>
              <w:t>36.</w:t>
            </w:r>
            <w:r w:rsidR="001A19F6" w:rsidRPr="00410116">
              <w:rPr>
                <w:sz w:val="19"/>
                <w:szCs w:val="19"/>
              </w:rPr>
              <w:t>5</w:t>
            </w:r>
            <w:r w:rsidRPr="00410116">
              <w:rPr>
                <w:sz w:val="19"/>
                <w:szCs w:val="19"/>
              </w:rPr>
              <w:t>%</w:t>
            </w:r>
          </w:p>
        </w:tc>
        <w:tc>
          <w:tcPr>
            <w:tcW w:w="1126" w:type="dxa"/>
            <w:shd w:val="clear" w:color="auto" w:fill="auto"/>
            <w:tcMar>
              <w:top w:w="57" w:type="dxa"/>
              <w:left w:w="57" w:type="dxa"/>
              <w:bottom w:w="57" w:type="dxa"/>
              <w:right w:w="57" w:type="dxa"/>
            </w:tcMar>
            <w:vAlign w:val="center"/>
          </w:tcPr>
          <w:p w:rsidR="00BE41DB" w:rsidRPr="00410116" w:rsidRDefault="001A19F6" w:rsidP="00410116">
            <w:pPr>
              <w:pStyle w:val="Tabletextfigures"/>
              <w:tabs>
                <w:tab w:val="clear" w:pos="616"/>
                <w:tab w:val="decimal" w:pos="586"/>
              </w:tabs>
              <w:rPr>
                <w:sz w:val="19"/>
                <w:szCs w:val="19"/>
              </w:rPr>
            </w:pPr>
            <w:r w:rsidRPr="00410116">
              <w:rPr>
                <w:sz w:val="19"/>
                <w:szCs w:val="19"/>
              </w:rPr>
              <w:t>32.2</w:t>
            </w:r>
            <w:r w:rsidR="00BE41DB" w:rsidRPr="00410116">
              <w:rPr>
                <w:sz w:val="19"/>
                <w:szCs w:val="19"/>
              </w:rPr>
              <w:t>%</w:t>
            </w:r>
          </w:p>
        </w:tc>
      </w:tr>
      <w:tr w:rsidR="00BE41DB" w:rsidRPr="00410116" w:rsidTr="00410116">
        <w:trPr>
          <w:cantSplit/>
          <w:trHeight w:val="244"/>
        </w:trPr>
        <w:tc>
          <w:tcPr>
            <w:tcW w:w="1125" w:type="dxa"/>
            <w:shd w:val="clear" w:color="auto" w:fill="auto"/>
            <w:tcMar>
              <w:top w:w="57" w:type="dxa"/>
              <w:left w:w="57" w:type="dxa"/>
              <w:bottom w:w="57" w:type="dxa"/>
              <w:right w:w="57" w:type="dxa"/>
            </w:tcMar>
            <w:vAlign w:val="center"/>
          </w:tcPr>
          <w:p w:rsidR="00BE41DB" w:rsidRPr="00410116" w:rsidRDefault="00BE41DB" w:rsidP="00410116">
            <w:pPr>
              <w:pStyle w:val="TableText"/>
              <w:ind w:left="171"/>
              <w:rPr>
                <w:rFonts w:ascii="MetaBookLF-Roman" w:hAnsi="MetaBookLF-Roman"/>
              </w:rPr>
            </w:pPr>
            <w:r w:rsidRPr="00410116">
              <w:rPr>
                <w:rFonts w:ascii="MetaBookLF-Roman" w:hAnsi="MetaBookLF-Roman"/>
              </w:rPr>
              <w:t>D</w:t>
            </w:r>
          </w:p>
        </w:tc>
        <w:tc>
          <w:tcPr>
            <w:tcW w:w="1125" w:type="dxa"/>
            <w:shd w:val="clear" w:color="auto" w:fill="auto"/>
            <w:tcMar>
              <w:top w:w="57" w:type="dxa"/>
              <w:left w:w="57" w:type="dxa"/>
              <w:bottom w:w="57" w:type="dxa"/>
              <w:right w:w="57" w:type="dxa"/>
            </w:tcMar>
            <w:vAlign w:val="center"/>
          </w:tcPr>
          <w:p w:rsidR="00BE41DB" w:rsidRPr="00410116" w:rsidRDefault="00BE41DB" w:rsidP="00410116">
            <w:pPr>
              <w:pStyle w:val="Tabletextfigures"/>
              <w:tabs>
                <w:tab w:val="clear" w:pos="616"/>
                <w:tab w:val="decimal" w:pos="582"/>
              </w:tabs>
              <w:rPr>
                <w:sz w:val="19"/>
                <w:szCs w:val="19"/>
              </w:rPr>
            </w:pPr>
            <w:r w:rsidRPr="00410116">
              <w:rPr>
                <w:sz w:val="19"/>
                <w:szCs w:val="19"/>
              </w:rPr>
              <w:t>20.</w:t>
            </w:r>
            <w:r w:rsidR="001A19F6" w:rsidRPr="00410116">
              <w:rPr>
                <w:sz w:val="19"/>
                <w:szCs w:val="19"/>
              </w:rPr>
              <w:t>9</w:t>
            </w:r>
            <w:r w:rsidRPr="00410116">
              <w:rPr>
                <w:sz w:val="19"/>
                <w:szCs w:val="19"/>
              </w:rPr>
              <w:t>%</w:t>
            </w:r>
          </w:p>
        </w:tc>
        <w:tc>
          <w:tcPr>
            <w:tcW w:w="1125" w:type="dxa"/>
            <w:shd w:val="clear" w:color="auto" w:fill="auto"/>
            <w:tcMar>
              <w:top w:w="57" w:type="dxa"/>
              <w:left w:w="57" w:type="dxa"/>
              <w:bottom w:w="57" w:type="dxa"/>
              <w:right w:w="57" w:type="dxa"/>
            </w:tcMar>
            <w:vAlign w:val="center"/>
          </w:tcPr>
          <w:p w:rsidR="00BE41DB" w:rsidRPr="00410116" w:rsidRDefault="001A19F6" w:rsidP="00410116">
            <w:pPr>
              <w:pStyle w:val="Tabletextfigures"/>
              <w:tabs>
                <w:tab w:val="clear" w:pos="616"/>
                <w:tab w:val="decimal" w:pos="563"/>
              </w:tabs>
              <w:rPr>
                <w:sz w:val="19"/>
                <w:szCs w:val="19"/>
              </w:rPr>
            </w:pPr>
            <w:r w:rsidRPr="00410116">
              <w:rPr>
                <w:sz w:val="19"/>
                <w:szCs w:val="19"/>
              </w:rPr>
              <w:t>21.8</w:t>
            </w:r>
            <w:r w:rsidR="00BE41DB" w:rsidRPr="00410116">
              <w:rPr>
                <w:sz w:val="19"/>
                <w:szCs w:val="19"/>
              </w:rPr>
              <w:t>%</w:t>
            </w:r>
          </w:p>
        </w:tc>
        <w:tc>
          <w:tcPr>
            <w:tcW w:w="1126" w:type="dxa"/>
            <w:shd w:val="clear" w:color="auto" w:fill="auto"/>
            <w:tcMar>
              <w:top w:w="57" w:type="dxa"/>
              <w:left w:w="57" w:type="dxa"/>
              <w:bottom w:w="57" w:type="dxa"/>
              <w:right w:w="57" w:type="dxa"/>
            </w:tcMar>
            <w:vAlign w:val="center"/>
          </w:tcPr>
          <w:p w:rsidR="00BE41DB" w:rsidRPr="00410116" w:rsidRDefault="00BE41DB" w:rsidP="00410116">
            <w:pPr>
              <w:pStyle w:val="Tabletextfigures"/>
              <w:tabs>
                <w:tab w:val="clear" w:pos="616"/>
                <w:tab w:val="decimal" w:pos="586"/>
              </w:tabs>
              <w:rPr>
                <w:sz w:val="19"/>
                <w:szCs w:val="19"/>
              </w:rPr>
            </w:pPr>
            <w:r w:rsidRPr="00410116">
              <w:rPr>
                <w:sz w:val="19"/>
                <w:szCs w:val="19"/>
              </w:rPr>
              <w:t>19.</w:t>
            </w:r>
            <w:r w:rsidR="001A19F6" w:rsidRPr="00410116">
              <w:rPr>
                <w:sz w:val="19"/>
                <w:szCs w:val="19"/>
              </w:rPr>
              <w:t>7</w:t>
            </w:r>
            <w:r w:rsidRPr="00410116">
              <w:rPr>
                <w:sz w:val="19"/>
                <w:szCs w:val="19"/>
              </w:rPr>
              <w:t>%</w:t>
            </w:r>
          </w:p>
        </w:tc>
      </w:tr>
      <w:tr w:rsidR="00BE41DB" w:rsidRPr="00410116" w:rsidTr="00410116">
        <w:trPr>
          <w:cantSplit/>
          <w:trHeight w:val="244"/>
        </w:trPr>
        <w:tc>
          <w:tcPr>
            <w:tcW w:w="1125" w:type="dxa"/>
            <w:tcBorders>
              <w:bottom w:val="single" w:sz="4" w:space="0" w:color="auto"/>
            </w:tcBorders>
            <w:shd w:val="clear" w:color="auto" w:fill="auto"/>
            <w:tcMar>
              <w:top w:w="57" w:type="dxa"/>
              <w:left w:w="57" w:type="dxa"/>
              <w:bottom w:w="57" w:type="dxa"/>
              <w:right w:w="57" w:type="dxa"/>
            </w:tcMar>
            <w:vAlign w:val="center"/>
          </w:tcPr>
          <w:p w:rsidR="00BE41DB" w:rsidRPr="00410116" w:rsidRDefault="00BE41DB" w:rsidP="00410116">
            <w:pPr>
              <w:pStyle w:val="TableText"/>
              <w:ind w:left="171"/>
              <w:rPr>
                <w:rFonts w:ascii="MetaBookLF-Roman" w:hAnsi="MetaBookLF-Roman"/>
              </w:rPr>
            </w:pPr>
            <w:r w:rsidRPr="00410116">
              <w:rPr>
                <w:rFonts w:ascii="MetaBookLF-Roman" w:hAnsi="MetaBookLF-Roman"/>
              </w:rPr>
              <w:t>E</w:t>
            </w:r>
          </w:p>
        </w:tc>
        <w:tc>
          <w:tcPr>
            <w:tcW w:w="1125" w:type="dxa"/>
            <w:tcBorders>
              <w:bottom w:val="single" w:sz="4" w:space="0" w:color="auto"/>
            </w:tcBorders>
            <w:shd w:val="clear" w:color="auto" w:fill="auto"/>
            <w:tcMar>
              <w:top w:w="57" w:type="dxa"/>
              <w:left w:w="57" w:type="dxa"/>
              <w:bottom w:w="57" w:type="dxa"/>
              <w:right w:w="57" w:type="dxa"/>
            </w:tcMar>
            <w:vAlign w:val="center"/>
          </w:tcPr>
          <w:p w:rsidR="00BE41DB" w:rsidRPr="00410116" w:rsidRDefault="001A19F6" w:rsidP="00410116">
            <w:pPr>
              <w:pStyle w:val="Tabletextfigures"/>
              <w:tabs>
                <w:tab w:val="clear" w:pos="616"/>
                <w:tab w:val="decimal" w:pos="582"/>
              </w:tabs>
              <w:rPr>
                <w:sz w:val="19"/>
                <w:szCs w:val="19"/>
              </w:rPr>
            </w:pPr>
            <w:r w:rsidRPr="00410116">
              <w:rPr>
                <w:sz w:val="19"/>
                <w:szCs w:val="19"/>
              </w:rPr>
              <w:t>0.6</w:t>
            </w:r>
            <w:r w:rsidR="00BE41DB" w:rsidRPr="00410116">
              <w:rPr>
                <w:sz w:val="19"/>
                <w:szCs w:val="19"/>
              </w:rPr>
              <w:t>%</w:t>
            </w:r>
          </w:p>
        </w:tc>
        <w:tc>
          <w:tcPr>
            <w:tcW w:w="1125" w:type="dxa"/>
            <w:tcBorders>
              <w:bottom w:val="single" w:sz="4" w:space="0" w:color="auto"/>
            </w:tcBorders>
            <w:shd w:val="clear" w:color="auto" w:fill="auto"/>
            <w:tcMar>
              <w:top w:w="57" w:type="dxa"/>
              <w:left w:w="57" w:type="dxa"/>
              <w:bottom w:w="57" w:type="dxa"/>
              <w:right w:w="57" w:type="dxa"/>
            </w:tcMar>
            <w:vAlign w:val="center"/>
          </w:tcPr>
          <w:p w:rsidR="00BE41DB" w:rsidRPr="00410116" w:rsidRDefault="001A19F6" w:rsidP="00410116">
            <w:pPr>
              <w:pStyle w:val="Tabletextfigures"/>
              <w:tabs>
                <w:tab w:val="clear" w:pos="616"/>
                <w:tab w:val="decimal" w:pos="563"/>
              </w:tabs>
              <w:rPr>
                <w:sz w:val="19"/>
                <w:szCs w:val="19"/>
              </w:rPr>
            </w:pPr>
            <w:r w:rsidRPr="00410116">
              <w:rPr>
                <w:sz w:val="19"/>
                <w:szCs w:val="19"/>
              </w:rPr>
              <w:t>0.4</w:t>
            </w:r>
            <w:r w:rsidR="00BE41DB" w:rsidRPr="00410116">
              <w:rPr>
                <w:sz w:val="19"/>
                <w:szCs w:val="19"/>
              </w:rPr>
              <w:t>%</w:t>
            </w:r>
          </w:p>
        </w:tc>
        <w:tc>
          <w:tcPr>
            <w:tcW w:w="1126" w:type="dxa"/>
            <w:tcBorders>
              <w:bottom w:val="single" w:sz="4" w:space="0" w:color="auto"/>
            </w:tcBorders>
            <w:shd w:val="clear" w:color="auto" w:fill="auto"/>
            <w:tcMar>
              <w:top w:w="57" w:type="dxa"/>
              <w:left w:w="57" w:type="dxa"/>
              <w:bottom w:w="57" w:type="dxa"/>
              <w:right w:w="57" w:type="dxa"/>
            </w:tcMar>
            <w:vAlign w:val="center"/>
          </w:tcPr>
          <w:p w:rsidR="00BE41DB" w:rsidRPr="00410116" w:rsidRDefault="001A19F6" w:rsidP="00410116">
            <w:pPr>
              <w:pStyle w:val="Tabletextfigures"/>
              <w:tabs>
                <w:tab w:val="clear" w:pos="616"/>
                <w:tab w:val="decimal" w:pos="586"/>
              </w:tabs>
              <w:rPr>
                <w:sz w:val="19"/>
                <w:szCs w:val="19"/>
              </w:rPr>
            </w:pPr>
            <w:r w:rsidRPr="00410116">
              <w:rPr>
                <w:sz w:val="19"/>
                <w:szCs w:val="19"/>
              </w:rPr>
              <w:t>0.7</w:t>
            </w:r>
            <w:r w:rsidR="00BE41DB" w:rsidRPr="00410116">
              <w:rPr>
                <w:sz w:val="19"/>
                <w:szCs w:val="19"/>
              </w:rPr>
              <w:t>%</w:t>
            </w:r>
          </w:p>
        </w:tc>
      </w:tr>
      <w:tr w:rsidR="00BE41DB" w:rsidRPr="00410116" w:rsidTr="003D7892">
        <w:trPr>
          <w:cantSplit/>
          <w:trHeight w:val="245"/>
        </w:trPr>
        <w:tc>
          <w:tcPr>
            <w:tcW w:w="1125" w:type="dxa"/>
            <w:shd w:val="clear" w:color="auto" w:fill="D9D9D9"/>
            <w:tcMar>
              <w:top w:w="57" w:type="dxa"/>
              <w:left w:w="57" w:type="dxa"/>
              <w:bottom w:w="57" w:type="dxa"/>
              <w:right w:w="57" w:type="dxa"/>
            </w:tcMar>
            <w:vAlign w:val="center"/>
          </w:tcPr>
          <w:p w:rsidR="00BE41DB" w:rsidRPr="00410116" w:rsidRDefault="00BE41DB" w:rsidP="004D3388">
            <w:pPr>
              <w:pStyle w:val="Tablehead"/>
            </w:pPr>
            <w:r w:rsidRPr="00410116">
              <w:t>Total %</w:t>
            </w:r>
          </w:p>
        </w:tc>
        <w:tc>
          <w:tcPr>
            <w:tcW w:w="1125" w:type="dxa"/>
            <w:shd w:val="clear" w:color="auto" w:fill="D9D9D9"/>
            <w:tcMar>
              <w:top w:w="57" w:type="dxa"/>
              <w:left w:w="57" w:type="dxa"/>
              <w:bottom w:w="57" w:type="dxa"/>
              <w:right w:w="57" w:type="dxa"/>
            </w:tcMar>
            <w:vAlign w:val="center"/>
          </w:tcPr>
          <w:p w:rsidR="00BE41DB" w:rsidRPr="00410116" w:rsidRDefault="007F615A" w:rsidP="007F615A">
            <w:pPr>
              <w:pStyle w:val="Tabletextfigures"/>
              <w:tabs>
                <w:tab w:val="clear" w:pos="616"/>
                <w:tab w:val="decimal" w:pos="582"/>
              </w:tabs>
              <w:rPr>
                <w:sz w:val="19"/>
                <w:szCs w:val="19"/>
              </w:rPr>
            </w:pPr>
            <w:r w:rsidRPr="00410116">
              <w:rPr>
                <w:sz w:val="19"/>
                <w:szCs w:val="19"/>
              </w:rPr>
              <w:t>100.0</w:t>
            </w:r>
            <w:r w:rsidR="00BE41DB" w:rsidRPr="00410116">
              <w:rPr>
                <w:sz w:val="19"/>
                <w:szCs w:val="19"/>
              </w:rPr>
              <w:t>%</w:t>
            </w:r>
          </w:p>
        </w:tc>
        <w:tc>
          <w:tcPr>
            <w:tcW w:w="1125" w:type="dxa"/>
            <w:shd w:val="clear" w:color="auto" w:fill="D9D9D9"/>
            <w:tcMar>
              <w:top w:w="57" w:type="dxa"/>
              <w:left w:w="57" w:type="dxa"/>
              <w:bottom w:w="57" w:type="dxa"/>
              <w:right w:w="57" w:type="dxa"/>
            </w:tcMar>
            <w:vAlign w:val="center"/>
          </w:tcPr>
          <w:p w:rsidR="00BE41DB" w:rsidRPr="00410116" w:rsidRDefault="00BE41DB" w:rsidP="007F615A">
            <w:pPr>
              <w:pStyle w:val="Tabletextfigures"/>
              <w:tabs>
                <w:tab w:val="clear" w:pos="616"/>
                <w:tab w:val="decimal" w:pos="563"/>
              </w:tabs>
              <w:rPr>
                <w:sz w:val="19"/>
                <w:szCs w:val="19"/>
              </w:rPr>
            </w:pPr>
            <w:r w:rsidRPr="00410116">
              <w:rPr>
                <w:sz w:val="19"/>
                <w:szCs w:val="19"/>
              </w:rPr>
              <w:t>55.</w:t>
            </w:r>
            <w:r w:rsidR="001A19F6" w:rsidRPr="00410116">
              <w:rPr>
                <w:sz w:val="19"/>
                <w:szCs w:val="19"/>
              </w:rPr>
              <w:t>5</w:t>
            </w:r>
            <w:r w:rsidRPr="00410116">
              <w:rPr>
                <w:sz w:val="19"/>
                <w:szCs w:val="19"/>
              </w:rPr>
              <w:t>%</w:t>
            </w:r>
          </w:p>
        </w:tc>
        <w:tc>
          <w:tcPr>
            <w:tcW w:w="1126" w:type="dxa"/>
            <w:shd w:val="clear" w:color="auto" w:fill="D9D9D9"/>
            <w:tcMar>
              <w:top w:w="57" w:type="dxa"/>
              <w:left w:w="57" w:type="dxa"/>
              <w:bottom w:w="57" w:type="dxa"/>
              <w:right w:w="57" w:type="dxa"/>
            </w:tcMar>
            <w:vAlign w:val="center"/>
          </w:tcPr>
          <w:p w:rsidR="00BE41DB" w:rsidRPr="00410116" w:rsidRDefault="00BE41DB" w:rsidP="007F615A">
            <w:pPr>
              <w:pStyle w:val="Tabletextfigures"/>
              <w:tabs>
                <w:tab w:val="clear" w:pos="616"/>
                <w:tab w:val="decimal" w:pos="586"/>
              </w:tabs>
              <w:rPr>
                <w:sz w:val="19"/>
                <w:szCs w:val="19"/>
              </w:rPr>
            </w:pPr>
            <w:r w:rsidRPr="00410116">
              <w:rPr>
                <w:sz w:val="19"/>
                <w:szCs w:val="19"/>
              </w:rPr>
              <w:t>44.</w:t>
            </w:r>
            <w:r w:rsidR="001A19F6" w:rsidRPr="00410116">
              <w:rPr>
                <w:sz w:val="19"/>
                <w:szCs w:val="19"/>
              </w:rPr>
              <w:t>6</w:t>
            </w:r>
            <w:r w:rsidRPr="00410116">
              <w:rPr>
                <w:sz w:val="19"/>
                <w:szCs w:val="19"/>
              </w:rPr>
              <w:t>%</w:t>
            </w:r>
          </w:p>
        </w:tc>
      </w:tr>
    </w:tbl>
    <w:p w:rsidR="00410116" w:rsidRPr="00812643" w:rsidRDefault="00370BED" w:rsidP="00410116">
      <w:pPr>
        <w:rPr>
          <w:rFonts w:ascii="MetaBookLF-Roman" w:hAnsi="MetaBookLF-Roman"/>
        </w:rPr>
      </w:pPr>
      <w:r w:rsidRPr="00410116">
        <w:rPr>
          <w:rFonts w:ascii="MetaBoldLF-Roman" w:hAnsi="MetaBoldLF-Roman"/>
        </w:rPr>
        <w:t>*</w:t>
      </w:r>
      <w:r w:rsidR="00410116" w:rsidRPr="00410116">
        <w:rPr>
          <w:rFonts w:ascii="MetaBookLF-Roman" w:hAnsi="MetaBookLF-Roman"/>
        </w:rPr>
        <w:t>38 students who sat the test did not receive a grade</w:t>
      </w:r>
    </w:p>
    <w:p w:rsidR="00F63150" w:rsidRPr="00F63150" w:rsidRDefault="00F63150" w:rsidP="000C109B">
      <w:pPr>
        <w:pStyle w:val="BodyText"/>
      </w:pPr>
      <w:r w:rsidRPr="00F63150">
        <w:br w:type="page"/>
      </w:r>
    </w:p>
    <w:p w:rsidR="00BE41DB" w:rsidRPr="003717FB" w:rsidRDefault="00BE41DB" w:rsidP="003717FB">
      <w:pPr>
        <w:pStyle w:val="Heading4"/>
      </w:pPr>
      <w:r w:rsidRPr="003717FB">
        <w:lastRenderedPageBreak/>
        <w:t>Senior External Examination</w:t>
      </w:r>
    </w:p>
    <w:p w:rsidR="00BE41DB" w:rsidRPr="002D63E4" w:rsidRDefault="007F615A" w:rsidP="000C109B">
      <w:pPr>
        <w:pStyle w:val="BodyText"/>
      </w:pPr>
      <w:r>
        <w:t>The QSA conducted</w:t>
      </w:r>
      <w:r w:rsidR="00BE41DB" w:rsidRPr="002D63E4">
        <w:t xml:space="preserve"> a series of senior subject examinations at locations across Queensland in October and November each y</w:t>
      </w:r>
      <w:r>
        <w:t>ear. These examinations were for people who we</w:t>
      </w:r>
      <w:r w:rsidR="00BE41DB" w:rsidRPr="002D63E4">
        <w:t>re not senior students in Queensland secondary schools or for Year 12 students unable to access particular subjects at their school.</w:t>
      </w:r>
    </w:p>
    <w:p w:rsidR="007F615A" w:rsidRDefault="00BE41DB" w:rsidP="000C109B">
      <w:pPr>
        <w:pStyle w:val="BodyText"/>
      </w:pPr>
      <w:r w:rsidRPr="002D63E4">
        <w:t>Twenty-</w:t>
      </w:r>
      <w:r w:rsidR="006E688D">
        <w:t>two</w:t>
      </w:r>
      <w:r w:rsidRPr="002D63E4">
        <w:t xml:space="preserve"> subjects were offered at the 201</w:t>
      </w:r>
      <w:r w:rsidR="006E688D">
        <w:t>3</w:t>
      </w:r>
      <w:r w:rsidRPr="002D63E4">
        <w:t xml:space="preserve"> Senior External Examination, with </w:t>
      </w:r>
      <w:r w:rsidR="006E688D">
        <w:t>eight</w:t>
      </w:r>
      <w:r w:rsidR="006E688D" w:rsidRPr="002D63E4">
        <w:t xml:space="preserve"> </w:t>
      </w:r>
      <w:r w:rsidRPr="002D63E4">
        <w:t xml:space="preserve">language subject examinations borrowed from interstate curriculum authorities under the Collaborative Curriculum and Assessment Framework for Languages (CCAFL) arrangements. </w:t>
      </w:r>
    </w:p>
    <w:p w:rsidR="00857358" w:rsidRDefault="00BE41DB" w:rsidP="000C109B">
      <w:pPr>
        <w:pStyle w:val="BodyText"/>
      </w:pPr>
      <w:r w:rsidRPr="002D63E4">
        <w:t xml:space="preserve">There were </w:t>
      </w:r>
      <w:r w:rsidR="006E688D">
        <w:t>1147</w:t>
      </w:r>
      <w:r w:rsidR="006E688D" w:rsidRPr="002D63E4">
        <w:t xml:space="preserve"> </w:t>
      </w:r>
      <w:r w:rsidRPr="002D63E4">
        <w:t>subject registrations by 8</w:t>
      </w:r>
      <w:r w:rsidR="006E688D">
        <w:t>17</w:t>
      </w:r>
      <w:r w:rsidRPr="002D63E4">
        <w:t xml:space="preserve"> candidates.</w:t>
      </w:r>
      <w:r w:rsidR="003027EC" w:rsidRPr="002D63E4">
        <w:t xml:space="preserve"> </w:t>
      </w:r>
      <w:r w:rsidRPr="002D63E4">
        <w:t>Ultimately, 7</w:t>
      </w:r>
      <w:r w:rsidR="006E688D">
        <w:t>31</w:t>
      </w:r>
      <w:r w:rsidRPr="002D63E4">
        <w:t xml:space="preserve"> candidates sat </w:t>
      </w:r>
      <w:r w:rsidR="006E688D">
        <w:t>973</w:t>
      </w:r>
      <w:r w:rsidR="006E688D" w:rsidRPr="002D63E4">
        <w:t xml:space="preserve"> </w:t>
      </w:r>
      <w:r w:rsidRPr="002D63E4">
        <w:t>subject</w:t>
      </w:r>
      <w:r w:rsidR="007F615A">
        <w:t> </w:t>
      </w:r>
      <w:r w:rsidRPr="002D63E4">
        <w:t>examinations.</w:t>
      </w:r>
      <w:bookmarkStart w:id="60" w:name="_Toc300136500"/>
    </w:p>
    <w:p w:rsidR="00BE41DB" w:rsidRPr="003717FB" w:rsidRDefault="00BE41DB" w:rsidP="003717FB">
      <w:pPr>
        <w:pStyle w:val="Heading4"/>
      </w:pPr>
      <w:r w:rsidRPr="003717FB">
        <w:t>Externally moderated school-based assessment</w:t>
      </w:r>
      <w:bookmarkEnd w:id="60"/>
    </w:p>
    <w:p w:rsidR="008C6A52" w:rsidRDefault="00BE41DB" w:rsidP="000C109B">
      <w:pPr>
        <w:pStyle w:val="BodyText"/>
      </w:pPr>
      <w:r w:rsidRPr="002D63E4">
        <w:t>The QSA work</w:t>
      </w:r>
      <w:r w:rsidR="00705D18">
        <w:t>ed</w:t>
      </w:r>
      <w:r w:rsidRPr="002D63E4">
        <w:t xml:space="preserve"> in partnership with schools to implement Queensland’s system of externally</w:t>
      </w:r>
      <w:r w:rsidR="00EF2C09">
        <w:t xml:space="preserve"> </w:t>
      </w:r>
      <w:r w:rsidRPr="002D63E4">
        <w:t>moderated school-based assessment, quality assure the accuracy of data</w:t>
      </w:r>
      <w:r w:rsidR="00EF2C09">
        <w:t xml:space="preserve"> collected,</w:t>
      </w:r>
      <w:r w:rsidRPr="002D63E4">
        <w:t xml:space="preserve"> and report</w:t>
      </w:r>
      <w:r w:rsidR="00EF2C09">
        <w:t xml:space="preserve"> </w:t>
      </w:r>
      <w:r w:rsidRPr="002D63E4">
        <w:t>student results.</w:t>
      </w:r>
    </w:p>
    <w:p w:rsidR="00BE41DB" w:rsidRPr="002D63E4" w:rsidRDefault="00BE41DB" w:rsidP="000C109B">
      <w:pPr>
        <w:pStyle w:val="BodyText"/>
      </w:pPr>
      <w:r w:rsidRPr="002D63E4">
        <w:t>The engagement of classroom teachers and commitment of district and state revi</w:t>
      </w:r>
      <w:r w:rsidR="00D96A68">
        <w:t>ew moderation panellists enabled</w:t>
      </w:r>
      <w:r w:rsidRPr="002D63E4">
        <w:t xml:space="preserve"> the system to work effectively.</w:t>
      </w:r>
    </w:p>
    <w:p w:rsidR="00BE41DB" w:rsidRPr="0077353B" w:rsidRDefault="00BE41DB" w:rsidP="00CD06CF">
      <w:pPr>
        <w:pStyle w:val="Heading5"/>
      </w:pPr>
      <w:r>
        <w:t>S</w:t>
      </w:r>
      <w:r w:rsidR="00D47231">
        <w:t xml:space="preserve">upport for </w:t>
      </w:r>
      <w:r>
        <w:t>review panels</w:t>
      </w:r>
    </w:p>
    <w:p w:rsidR="00BE41DB" w:rsidRPr="002D63E4" w:rsidRDefault="00BE41DB" w:rsidP="000C109B">
      <w:pPr>
        <w:pStyle w:val="BodyText"/>
      </w:pPr>
      <w:r w:rsidRPr="002D63E4">
        <w:t xml:space="preserve">To support the senior assessment system, </w:t>
      </w:r>
      <w:r w:rsidR="00D47231">
        <w:t xml:space="preserve">the </w:t>
      </w:r>
      <w:r w:rsidRPr="002D63E4">
        <w:t>QSA developed and delivered:</w:t>
      </w:r>
    </w:p>
    <w:p w:rsidR="008C6A52" w:rsidRDefault="00D96A68" w:rsidP="00E0663C">
      <w:pPr>
        <w:pStyle w:val="ListBullet0"/>
      </w:pPr>
      <w:r>
        <w:t xml:space="preserve">a suite of videos </w:t>
      </w:r>
      <w:r w:rsidR="008C6A52">
        <w:t>demonstrating</w:t>
      </w:r>
      <w:r w:rsidR="00E0663C">
        <w:t xml:space="preserve"> how to determine achievement at exit in Authority subjects</w:t>
      </w:r>
      <w:r w:rsidR="00D47231">
        <w:t xml:space="preserve"> through the online senior moderation hub</w:t>
      </w:r>
    </w:p>
    <w:p w:rsidR="00E0663C" w:rsidRDefault="00E0663C" w:rsidP="00E0663C">
      <w:pPr>
        <w:pStyle w:val="ListBullet0"/>
      </w:pPr>
      <w:r>
        <w:t>over 300 training sessions across districts</w:t>
      </w:r>
    </w:p>
    <w:p w:rsidR="00D47231" w:rsidRDefault="00D47231" w:rsidP="00E0663C">
      <w:pPr>
        <w:pStyle w:val="ListBullet0"/>
      </w:pPr>
      <w:r>
        <w:t xml:space="preserve">training for review panel chairs </w:t>
      </w:r>
    </w:p>
    <w:p w:rsidR="00D47231" w:rsidRDefault="00E0663C" w:rsidP="00D47231">
      <w:pPr>
        <w:pStyle w:val="ListBullet0"/>
      </w:pPr>
      <w:proofErr w:type="gramStart"/>
      <w:r>
        <w:t>a</w:t>
      </w:r>
      <w:proofErr w:type="gramEnd"/>
      <w:r>
        <w:t xml:space="preserve"> moderation conference for approximately 750 review panel chairs, state panellists and Queensland Certificate of Individual Achievement (QCIA) district advisers</w:t>
      </w:r>
      <w:r w:rsidR="00D47231">
        <w:t>.</w:t>
      </w:r>
    </w:p>
    <w:p w:rsidR="00D47231" w:rsidRDefault="00D47231" w:rsidP="00D47231">
      <w:pPr>
        <w:pStyle w:val="Heading5"/>
      </w:pPr>
      <w:r>
        <w:t>S</w:t>
      </w:r>
      <w:r w:rsidR="00D96A68">
        <w:t>upport for s</w:t>
      </w:r>
      <w:r>
        <w:t>chools</w:t>
      </w:r>
    </w:p>
    <w:p w:rsidR="00BE41DB" w:rsidRPr="002D63E4" w:rsidRDefault="00BE41DB" w:rsidP="000C109B">
      <w:pPr>
        <w:pStyle w:val="BodyText"/>
      </w:pPr>
      <w:r w:rsidRPr="002D63E4">
        <w:t>QSA’s actions in supporting schools to implement syllabuses and assess students included:</w:t>
      </w:r>
    </w:p>
    <w:p w:rsidR="00E0663C" w:rsidRDefault="00E0663C" w:rsidP="00E0663C">
      <w:pPr>
        <w:pStyle w:val="ListBullet0"/>
      </w:pPr>
      <w:r>
        <w:t>providing over 80 new assessment instruments and approximately 30 samples of student responses through t</w:t>
      </w:r>
      <w:r w:rsidR="00012ABC">
        <w:t>he online s</w:t>
      </w:r>
      <w:r w:rsidR="008C6A52">
        <w:t>enior assessment hub</w:t>
      </w:r>
    </w:p>
    <w:p w:rsidR="00E0663C" w:rsidRDefault="00E0663C" w:rsidP="00E0663C">
      <w:pPr>
        <w:pStyle w:val="ListBullet0"/>
      </w:pPr>
      <w:r>
        <w:t>providing templates for schools to assist in the development of assessment for</w:t>
      </w:r>
      <w:r w:rsidR="008C6A52">
        <w:t xml:space="preserve"> 2013 syllabuses</w:t>
      </w:r>
    </w:p>
    <w:p w:rsidR="008C6A52" w:rsidRDefault="00E0663C" w:rsidP="00E0663C">
      <w:pPr>
        <w:pStyle w:val="ListBullet0"/>
      </w:pPr>
      <w:r>
        <w:t>developing study plan requirements, chec</w:t>
      </w:r>
      <w:r w:rsidR="00D47231">
        <w:t>klists and samples for ten new Subject Area S</w:t>
      </w:r>
      <w:r>
        <w:t>yllabuses</w:t>
      </w:r>
    </w:p>
    <w:p w:rsidR="008C6A52" w:rsidRDefault="00E0663C" w:rsidP="00E0663C">
      <w:pPr>
        <w:pStyle w:val="ListBullet0"/>
      </w:pPr>
      <w:r>
        <w:t xml:space="preserve">conducting </w:t>
      </w:r>
      <w:r w:rsidR="00012ABC">
        <w:t xml:space="preserve">statewide </w:t>
      </w:r>
      <w:r>
        <w:t>assessment workshops in eight</w:t>
      </w:r>
      <w:r w:rsidR="008C6A52">
        <w:t xml:space="preserve"> </w:t>
      </w:r>
      <w:r>
        <w:t>subjects</w:t>
      </w:r>
    </w:p>
    <w:p w:rsidR="008C6A52" w:rsidRDefault="00E0663C" w:rsidP="00E0663C">
      <w:pPr>
        <w:pStyle w:val="ListBullet0"/>
      </w:pPr>
      <w:r>
        <w:t>meeting with school administrators across districts</w:t>
      </w:r>
    </w:p>
    <w:p w:rsidR="008C6A52" w:rsidRDefault="00E0663C" w:rsidP="00E0663C">
      <w:pPr>
        <w:pStyle w:val="ListBullet0"/>
      </w:pPr>
      <w:r>
        <w:lastRenderedPageBreak/>
        <w:t>advising schools on assessment for over 110 000 student folios</w:t>
      </w:r>
    </w:p>
    <w:p w:rsidR="008C6A52" w:rsidRDefault="00E0663C" w:rsidP="00E0663C">
      <w:pPr>
        <w:pStyle w:val="ListBullet0"/>
      </w:pPr>
      <w:r>
        <w:t xml:space="preserve">externally reviewing the implementation of Authority-registered subjects and short courses </w:t>
      </w:r>
      <w:r w:rsidR="00083A4B">
        <w:t>for</w:t>
      </w:r>
      <w:r>
        <w:t xml:space="preserve"> approximately 150 schools</w:t>
      </w:r>
    </w:p>
    <w:p w:rsidR="00E0663C" w:rsidRDefault="00E0663C" w:rsidP="00E0663C">
      <w:pPr>
        <w:pStyle w:val="ListBullet0"/>
      </w:pPr>
      <w:r>
        <w:t>providing 57 online and face-to-face moderation meetings for Authority-registered subjects</w:t>
      </w:r>
    </w:p>
    <w:p w:rsidR="008C6A52" w:rsidRDefault="00E0663C" w:rsidP="00E0663C">
      <w:pPr>
        <w:pStyle w:val="ListBullet0"/>
      </w:pPr>
      <w:r>
        <w:t>providing advice to schools about the QCIA, including reviewing approximately 600 curriculum plans and peer-reviewing certificate statements and evidence from approximately 190 schools</w:t>
      </w:r>
    </w:p>
    <w:p w:rsidR="008C6A52" w:rsidRDefault="00E0663C" w:rsidP="00E0663C">
      <w:pPr>
        <w:pStyle w:val="ListBullet0"/>
      </w:pPr>
      <w:r>
        <w:t>gathering data through comparability and random sampling to evaluate year-to-year processes and to determine priorities for assessment support and panel training</w:t>
      </w:r>
    </w:p>
    <w:p w:rsidR="00E0663C" w:rsidRDefault="00E0663C" w:rsidP="00E0663C">
      <w:pPr>
        <w:pStyle w:val="ListBullet0"/>
      </w:pPr>
      <w:proofErr w:type="gramStart"/>
      <w:r>
        <w:t>providing</w:t>
      </w:r>
      <w:proofErr w:type="gramEnd"/>
      <w:r>
        <w:t xml:space="preserve"> advice t</w:t>
      </w:r>
      <w:r w:rsidR="001A607F">
        <w:t>o schools, parents and students</w:t>
      </w:r>
      <w:r>
        <w:t xml:space="preserve"> about learning projects</w:t>
      </w:r>
      <w:r w:rsidR="008C6A52">
        <w:t>.</w:t>
      </w:r>
    </w:p>
    <w:p w:rsidR="00BE41DB" w:rsidRPr="00A32E71" w:rsidRDefault="00BE41DB" w:rsidP="00D96A68">
      <w:pPr>
        <w:pStyle w:val="Heading5"/>
      </w:pPr>
      <w:r w:rsidRPr="00A32E71">
        <w:t>Innovation</w:t>
      </w:r>
    </w:p>
    <w:p w:rsidR="00E0663C" w:rsidRDefault="00E0663C" w:rsidP="000C109B">
      <w:pPr>
        <w:pStyle w:val="BodyText"/>
      </w:pPr>
      <w:r>
        <w:t>The QSA’s actions in providing innovative products and services to assist the delivery of</w:t>
      </w:r>
      <w:r w:rsidR="008C6A52">
        <w:t xml:space="preserve"> </w:t>
      </w:r>
      <w:r>
        <w:t>the Queensland senior assessment system included:</w:t>
      </w:r>
    </w:p>
    <w:p w:rsidR="00E0663C" w:rsidRDefault="00E0663C" w:rsidP="00E0663C">
      <w:pPr>
        <w:pStyle w:val="ListBullet0"/>
      </w:pPr>
      <w:r>
        <w:t>supplementing face-to-face panel training with online training through the trial of a learning management system</w:t>
      </w:r>
    </w:p>
    <w:p w:rsidR="008C6A52" w:rsidRDefault="00E0663C" w:rsidP="00E0663C">
      <w:pPr>
        <w:pStyle w:val="ListBullet0"/>
      </w:pPr>
      <w:r>
        <w:t>completing exit processes for the first cohort of students in the two schools in Suzhou and Hangzhou in China</w:t>
      </w:r>
    </w:p>
    <w:p w:rsidR="00E0663C" w:rsidRDefault="00E0663C" w:rsidP="00E0663C">
      <w:pPr>
        <w:pStyle w:val="ListBullet0"/>
      </w:pPr>
      <w:r>
        <w:t xml:space="preserve">providing professional development and training for staff of Nauru Secondary </w:t>
      </w:r>
      <w:r w:rsidR="008C6A52">
        <w:t>School in the Republic of Nauru</w:t>
      </w:r>
    </w:p>
    <w:p w:rsidR="008C6A52" w:rsidRDefault="00E0663C" w:rsidP="00E0663C">
      <w:pPr>
        <w:pStyle w:val="ListBullet0"/>
      </w:pPr>
      <w:proofErr w:type="gramStart"/>
      <w:r>
        <w:t>enhancing</w:t>
      </w:r>
      <w:proofErr w:type="gramEnd"/>
      <w:r>
        <w:t xml:space="preserve"> service delivery </w:t>
      </w:r>
      <w:r w:rsidR="008C6A52">
        <w:t>through</w:t>
      </w:r>
      <w:r>
        <w:t xml:space="preserve"> the development of a database for recording and analysing external stakeholder support.</w:t>
      </w:r>
    </w:p>
    <w:p w:rsidR="00EB2110" w:rsidRPr="00857358" w:rsidRDefault="00857358" w:rsidP="00857358">
      <w:pPr>
        <w:pStyle w:val="Heading2"/>
      </w:pPr>
      <w:r>
        <w:br w:type="column"/>
      </w:r>
      <w:bookmarkStart w:id="61" w:name="_Toc365984773"/>
      <w:bookmarkStart w:id="62" w:name="_Toc397589534"/>
      <w:r w:rsidR="00EB2110" w:rsidRPr="00857358">
        <w:lastRenderedPageBreak/>
        <w:t>Certification and tertiary entrance</w:t>
      </w:r>
      <w:bookmarkEnd w:id="61"/>
      <w:bookmarkEnd w:id="62"/>
    </w:p>
    <w:p w:rsidR="00857358" w:rsidRDefault="002D63E4" w:rsidP="00857358">
      <w:pPr>
        <w:pStyle w:val="Heading3"/>
        <w:spacing w:before="0"/>
        <w:ind w:right="-425"/>
      </w:pPr>
      <w:r>
        <w:t>Senior Education Profile</w:t>
      </w:r>
    </w:p>
    <w:p w:rsidR="001A607F" w:rsidRDefault="002A7569" w:rsidP="000C109B">
      <w:pPr>
        <w:pStyle w:val="BodyText"/>
      </w:pPr>
      <w:r w:rsidRPr="00857358">
        <w:t>In 201</w:t>
      </w:r>
      <w:r w:rsidR="00533077">
        <w:t>3</w:t>
      </w:r>
      <w:r w:rsidRPr="00857358">
        <w:t>, the QSA issued Senior Education Profiles and Senior Statements to 48</w:t>
      </w:r>
      <w:r w:rsidR="001A607F">
        <w:t> </w:t>
      </w:r>
      <w:r w:rsidR="00533077">
        <w:t>874</w:t>
      </w:r>
      <w:r w:rsidR="00533077" w:rsidRPr="00857358">
        <w:t xml:space="preserve"> </w:t>
      </w:r>
      <w:r w:rsidRPr="00857358">
        <w:t xml:space="preserve">students who completed Year 12. </w:t>
      </w:r>
    </w:p>
    <w:p w:rsidR="001A607F" w:rsidRDefault="002A7569" w:rsidP="000C109B">
      <w:pPr>
        <w:pStyle w:val="BodyText"/>
      </w:pPr>
      <w:r w:rsidRPr="00857358">
        <w:t>Queensland Certificates of Education (QCE</w:t>
      </w:r>
      <w:r w:rsidR="00C83AC6" w:rsidRPr="00857358">
        <w:t>s</w:t>
      </w:r>
      <w:r w:rsidRPr="00857358">
        <w:t xml:space="preserve">) were awarded to </w:t>
      </w:r>
      <w:r w:rsidR="001A607F">
        <w:t>43 </w:t>
      </w:r>
      <w:r w:rsidR="00533077">
        <w:t>244</w:t>
      </w:r>
      <w:r w:rsidRPr="00857358">
        <w:t xml:space="preserve"> students</w:t>
      </w:r>
      <w:r w:rsidR="009C3369">
        <w:t xml:space="preserve"> or 88%,</w:t>
      </w:r>
      <w:r w:rsidR="00533077">
        <w:t xml:space="preserve"> up from 86% in 2012.</w:t>
      </w:r>
      <w:r w:rsidRPr="00857358">
        <w:t xml:space="preserve"> Of these students, </w:t>
      </w:r>
      <w:r w:rsidR="001A607F">
        <w:t>26 </w:t>
      </w:r>
      <w:r w:rsidR="00533077">
        <w:t>612</w:t>
      </w:r>
      <w:r w:rsidRPr="00857358">
        <w:t xml:space="preserve"> received a Tertiary Entrance Statement. </w:t>
      </w:r>
    </w:p>
    <w:p w:rsidR="002A7569" w:rsidRPr="002D63E4" w:rsidRDefault="002A7569" w:rsidP="000C109B">
      <w:pPr>
        <w:pStyle w:val="BodyText"/>
      </w:pPr>
      <w:r w:rsidRPr="00857358">
        <w:t>Certification was achieved wi</w:t>
      </w:r>
      <w:r w:rsidR="006A77BB">
        <w:t>thin the agreed government time</w:t>
      </w:r>
      <w:r w:rsidRPr="00857358">
        <w:t>frames</w:t>
      </w:r>
      <w:r w:rsidR="00705D18">
        <w:t>.</w:t>
      </w:r>
      <w:r w:rsidR="001A607F">
        <w:t xml:space="preserve"> </w:t>
      </w:r>
      <w:r w:rsidRPr="002D63E4">
        <w:t xml:space="preserve">The quality of </w:t>
      </w:r>
      <w:r w:rsidR="00CD1502">
        <w:t xml:space="preserve">the </w:t>
      </w:r>
      <w:r w:rsidRPr="002D63E4">
        <w:t>QSA’s certification processes is evident from these statistics:</w:t>
      </w:r>
    </w:p>
    <w:p w:rsidR="002A7569" w:rsidRPr="00C70157" w:rsidRDefault="002A7569" w:rsidP="00C716A9">
      <w:pPr>
        <w:pStyle w:val="ListBullet0"/>
      </w:pPr>
      <w:r w:rsidRPr="00C70157">
        <w:t>the QCE-eligibility status of only 0.</w:t>
      </w:r>
      <w:r w:rsidR="00533077">
        <w:t>1</w:t>
      </w:r>
      <w:r w:rsidRPr="00C70157">
        <w:t>2% of all learners changed following requests for verification or review of results</w:t>
      </w:r>
    </w:p>
    <w:p w:rsidR="002A7569" w:rsidRPr="00C70157" w:rsidRDefault="002A7569" w:rsidP="00C716A9">
      <w:pPr>
        <w:pStyle w:val="ListBullet0"/>
      </w:pPr>
      <w:proofErr w:type="gramStart"/>
      <w:r w:rsidRPr="00C70157">
        <w:t>only</w:t>
      </w:r>
      <w:proofErr w:type="gramEnd"/>
      <w:r w:rsidRPr="00C70157">
        <w:t xml:space="preserve"> </w:t>
      </w:r>
      <w:r w:rsidR="00533077">
        <w:t>two</w:t>
      </w:r>
      <w:r w:rsidR="00533077" w:rsidRPr="00C70157">
        <w:t xml:space="preserve"> </w:t>
      </w:r>
      <w:r w:rsidR="005917DD">
        <w:t>OPs</w:t>
      </w:r>
      <w:r w:rsidR="001A607F">
        <w:t xml:space="preserve"> (less than</w:t>
      </w:r>
      <w:r w:rsidR="005917DD">
        <w:t xml:space="preserve"> 0.01%)</w:t>
      </w:r>
      <w:r w:rsidR="009C3369">
        <w:t xml:space="preserve"> </w:t>
      </w:r>
      <w:r w:rsidRPr="00C70157">
        <w:t xml:space="preserve">were changed following official appeals by students — </w:t>
      </w:r>
      <w:r w:rsidR="00533077">
        <w:t>one</w:t>
      </w:r>
      <w:r w:rsidR="009C3369">
        <w:t> </w:t>
      </w:r>
      <w:r w:rsidR="00533077">
        <w:t>less than in 2012</w:t>
      </w:r>
      <w:r w:rsidR="009C3369">
        <w:t>.</w:t>
      </w:r>
    </w:p>
    <w:p w:rsidR="002A7569" w:rsidRPr="002D63E4" w:rsidRDefault="002A7569" w:rsidP="000C109B">
      <w:pPr>
        <w:pStyle w:val="BodyText"/>
      </w:pPr>
      <w:r w:rsidRPr="002D63E4">
        <w:t xml:space="preserve">The average cost of developing and issuing </w:t>
      </w:r>
      <w:r w:rsidR="00C83AC6" w:rsidRPr="002D63E4">
        <w:t>Senior</w:t>
      </w:r>
      <w:r w:rsidR="001A607F">
        <w:t> </w:t>
      </w:r>
      <w:r w:rsidR="00C83AC6" w:rsidRPr="002D63E4">
        <w:t xml:space="preserve">Education Profiles </w:t>
      </w:r>
      <w:r w:rsidRPr="002D63E4">
        <w:t>was $26</w:t>
      </w:r>
      <w:r w:rsidR="00A3622C">
        <w:t>7</w:t>
      </w:r>
      <w:r w:rsidRPr="002D63E4">
        <w:t xml:space="preserve"> per student.</w:t>
      </w:r>
    </w:p>
    <w:p w:rsidR="002A7569" w:rsidRPr="002D63E4" w:rsidRDefault="002A7569" w:rsidP="000C109B">
      <w:pPr>
        <w:pStyle w:val="BodyText"/>
      </w:pPr>
      <w:r w:rsidRPr="002D63E4">
        <w:t>The average cost of providing tertiary entrance and pathways informati</w:t>
      </w:r>
      <w:r w:rsidR="00083A4B">
        <w:t xml:space="preserve">on programs (which included </w:t>
      </w:r>
      <w:r w:rsidRPr="002D63E4">
        <w:t>Queensland Core Skills Test</w:t>
      </w:r>
      <w:r w:rsidR="00083A4B">
        <w:t xml:space="preserve"> results</w:t>
      </w:r>
      <w:r w:rsidRPr="002D63E4">
        <w:t>, calculation of Subject Achievement Indicators and career advice) was</w:t>
      </w:r>
      <w:r w:rsidR="00083A4B">
        <w:t> </w:t>
      </w:r>
      <w:r w:rsidRPr="002D63E4">
        <w:t>$9 per student.</w:t>
      </w:r>
    </w:p>
    <w:p w:rsidR="002A7569" w:rsidRPr="003717FB" w:rsidRDefault="002A7569" w:rsidP="003717FB">
      <w:pPr>
        <w:pStyle w:val="Heading4"/>
      </w:pPr>
      <w:r w:rsidRPr="003717FB">
        <w:t>Queensland Certificate of Education (QCE)</w:t>
      </w:r>
    </w:p>
    <w:p w:rsidR="002A7569" w:rsidRPr="002D63E4" w:rsidRDefault="002A7569" w:rsidP="000C109B">
      <w:pPr>
        <w:pStyle w:val="BodyText"/>
      </w:pPr>
      <w:r w:rsidRPr="002D63E4">
        <w:t>The QCE is Queensland</w:t>
      </w:r>
      <w:r w:rsidR="001A607F">
        <w:t>’s senior schooling certificate, and</w:t>
      </w:r>
      <w:r w:rsidR="00062FD9">
        <w:t> </w:t>
      </w:r>
      <w:r w:rsidRPr="002D63E4">
        <w:t>is awarded to eligible students when they complete the senior phase of learning, usually at the end of Year</w:t>
      </w:r>
      <w:r w:rsidR="002D63E4" w:rsidRPr="002D63E4">
        <w:t> </w:t>
      </w:r>
      <w:r w:rsidRPr="002D63E4">
        <w:t>12.</w:t>
      </w:r>
    </w:p>
    <w:p w:rsidR="001A607F" w:rsidRDefault="002A7569" w:rsidP="000C109B">
      <w:pPr>
        <w:pStyle w:val="BodyText"/>
      </w:pPr>
      <w:r w:rsidRPr="002D63E4">
        <w:t xml:space="preserve">The QCE provides pathways to work, further education and training by recognising a broad range of learning options and offering flexibility in what is learnt, as well as where and when that learning occurs. </w:t>
      </w:r>
    </w:p>
    <w:p w:rsidR="002A7569" w:rsidRDefault="002A7569" w:rsidP="000C109B">
      <w:pPr>
        <w:pStyle w:val="BodyText"/>
      </w:pPr>
      <w:r w:rsidRPr="002D63E4">
        <w:t xml:space="preserve">Learning options include senior school subjects, vocational education and training, workplace and community learning, and university </w:t>
      </w:r>
      <w:proofErr w:type="gramStart"/>
      <w:r w:rsidRPr="002D63E4">
        <w:t>subjects</w:t>
      </w:r>
      <w:proofErr w:type="gramEnd"/>
      <w:r w:rsidRPr="002D63E4">
        <w:t xml:space="preserve"> undertaken while at school.</w:t>
      </w:r>
    </w:p>
    <w:p w:rsidR="008C6A52" w:rsidRDefault="00D60740" w:rsidP="000C109B">
      <w:pPr>
        <w:pStyle w:val="BodyText"/>
      </w:pPr>
      <w:r w:rsidRPr="00D60740">
        <w:t>In 2014, the QCE handbook was amended and supporting resources updated. These</w:t>
      </w:r>
      <w:r w:rsidR="001A607F">
        <w:t xml:space="preserve"> were presented and discussed</w:t>
      </w:r>
      <w:r w:rsidRPr="00D60740">
        <w:t xml:space="preserve"> with school moderators at meetings across the state.</w:t>
      </w:r>
    </w:p>
    <w:p w:rsidR="002A7569" w:rsidRPr="003717FB" w:rsidRDefault="002A7569" w:rsidP="003717FB">
      <w:pPr>
        <w:pStyle w:val="Heading4"/>
      </w:pPr>
      <w:bookmarkStart w:id="63" w:name="_Toc300136504"/>
      <w:r w:rsidRPr="003717FB">
        <w:t>Learning accounts</w:t>
      </w:r>
      <w:bookmarkEnd w:id="63"/>
    </w:p>
    <w:p w:rsidR="00857358" w:rsidRDefault="002A7569" w:rsidP="000C109B">
      <w:pPr>
        <w:pStyle w:val="BodyText"/>
      </w:pPr>
      <w:r w:rsidRPr="002D63E4">
        <w:t>The QSA work</w:t>
      </w:r>
      <w:r w:rsidR="00705D18">
        <w:t>ed</w:t>
      </w:r>
      <w:r w:rsidRPr="002D63E4">
        <w:t xml:space="preserve"> with </w:t>
      </w:r>
      <w:proofErr w:type="gramStart"/>
      <w:r w:rsidRPr="002D63E4">
        <w:t>learning</w:t>
      </w:r>
      <w:proofErr w:type="gramEnd"/>
      <w:r w:rsidRPr="002D63E4">
        <w:t xml:space="preserve"> providers to promote the online student learning account as a useful tool for students to personally monitor their progress towards the QCE. The learning account records what, where and when a student learns, and the results achieved.</w:t>
      </w:r>
    </w:p>
    <w:p w:rsidR="00857358" w:rsidRDefault="00857358" w:rsidP="00857358">
      <w:pPr>
        <w:pStyle w:val="smallspace"/>
      </w:pPr>
      <w:r>
        <w:br w:type="column"/>
      </w:r>
      <w:bookmarkStart w:id="64" w:name="_Toc300136505"/>
    </w:p>
    <w:p w:rsidR="002A7569" w:rsidRPr="003717FB" w:rsidRDefault="002A7569" w:rsidP="003717FB">
      <w:pPr>
        <w:pStyle w:val="Heading4"/>
      </w:pPr>
      <w:r w:rsidRPr="003717FB">
        <w:t>Student Connect</w:t>
      </w:r>
      <w:bookmarkEnd w:id="64"/>
    </w:p>
    <w:p w:rsidR="008C6A52" w:rsidRDefault="002A7569" w:rsidP="000C109B">
      <w:pPr>
        <w:pStyle w:val="BodyText"/>
      </w:pPr>
      <w:r w:rsidRPr="002D63E4">
        <w:t xml:space="preserve">The Student Connect website gives senior students access to their learning account and results, </w:t>
      </w:r>
      <w:r w:rsidR="001A607F">
        <w:t>and</w:t>
      </w:r>
      <w:r w:rsidRPr="002D63E4">
        <w:t xml:space="preserve"> </w:t>
      </w:r>
      <w:r w:rsidR="001A607F">
        <w:t>resources</w:t>
      </w:r>
      <w:r w:rsidRPr="002D63E4">
        <w:t xml:space="preserve"> for exploring post-school education, training</w:t>
      </w:r>
      <w:r w:rsidR="001A607F">
        <w:t> </w:t>
      </w:r>
      <w:r w:rsidRPr="002D63E4">
        <w:t>and career pathways.</w:t>
      </w:r>
    </w:p>
    <w:p w:rsidR="002A7569" w:rsidRPr="003717FB" w:rsidRDefault="002A7569" w:rsidP="003717FB">
      <w:pPr>
        <w:pStyle w:val="Heading4"/>
      </w:pPr>
      <w:bookmarkStart w:id="65" w:name="_Toc300136506"/>
      <w:r w:rsidRPr="003717FB">
        <w:t>Queensland Certificate of Individual Achievement (QCIA)</w:t>
      </w:r>
      <w:bookmarkEnd w:id="65"/>
    </w:p>
    <w:p w:rsidR="00595642" w:rsidRDefault="002A7569" w:rsidP="000C109B">
      <w:pPr>
        <w:pStyle w:val="BodyText"/>
      </w:pPr>
      <w:r w:rsidRPr="002D63E4">
        <w:t>The QCIA report</w:t>
      </w:r>
      <w:r w:rsidR="00705D18">
        <w:t>s</w:t>
      </w:r>
      <w:r w:rsidRPr="002D63E4">
        <w:t xml:space="preserve"> the individualised learning achievements of students with special needs who have completed </w:t>
      </w:r>
      <w:r w:rsidR="001A607F">
        <w:t>at least 12 yea</w:t>
      </w:r>
      <w:r w:rsidR="00595642">
        <w:t>rs of schooling. It is a valuable record of student achievement, which:</w:t>
      </w:r>
    </w:p>
    <w:p w:rsidR="00595642" w:rsidRDefault="00595642" w:rsidP="00595642">
      <w:pPr>
        <w:pStyle w:val="ListBullet0"/>
      </w:pPr>
      <w:r>
        <w:t>can be shown to employers as a summary of knowledge and skills</w:t>
      </w:r>
    </w:p>
    <w:p w:rsidR="00595642" w:rsidRDefault="00595642" w:rsidP="00595642">
      <w:pPr>
        <w:pStyle w:val="ListBullet0"/>
      </w:pPr>
      <w:r>
        <w:t xml:space="preserve">can </w:t>
      </w:r>
      <w:r w:rsidR="00BA6B3A">
        <w:t xml:space="preserve">guide </w:t>
      </w:r>
      <w:r>
        <w:t xml:space="preserve">training providers </w:t>
      </w:r>
      <w:r w:rsidR="00BA6B3A">
        <w:t>in selection of</w:t>
      </w:r>
      <w:r>
        <w:t xml:space="preserve"> </w:t>
      </w:r>
      <w:r w:rsidR="00BA6B3A">
        <w:t>further training options</w:t>
      </w:r>
    </w:p>
    <w:p w:rsidR="002A7569" w:rsidRPr="002D63E4" w:rsidRDefault="00595642" w:rsidP="00595642">
      <w:pPr>
        <w:pStyle w:val="ListBullet0"/>
      </w:pPr>
      <w:proofErr w:type="gramStart"/>
      <w:r>
        <w:t>ensures</w:t>
      </w:r>
      <w:proofErr w:type="gramEnd"/>
      <w:r>
        <w:t xml:space="preserve"> </w:t>
      </w:r>
      <w:r w:rsidR="002A7569" w:rsidRPr="002D63E4">
        <w:t xml:space="preserve">the educational achievement of all </w:t>
      </w:r>
      <w:r w:rsidR="00BA6B3A">
        <w:t xml:space="preserve">Queensland </w:t>
      </w:r>
      <w:r w:rsidR="002A7569" w:rsidRPr="002D63E4">
        <w:t>students can be recorded.</w:t>
      </w:r>
    </w:p>
    <w:p w:rsidR="002A7569" w:rsidRPr="002D63E4" w:rsidRDefault="002A7569" w:rsidP="000C109B">
      <w:pPr>
        <w:pStyle w:val="BodyText"/>
      </w:pPr>
      <w:r w:rsidRPr="002D63E4">
        <w:t>In 201</w:t>
      </w:r>
      <w:r w:rsidR="00B46F3B">
        <w:t>3</w:t>
      </w:r>
      <w:r w:rsidRPr="002D63E4">
        <w:t xml:space="preserve">, the QSA awarded </w:t>
      </w:r>
      <w:r w:rsidR="00B46F3B">
        <w:t>659</w:t>
      </w:r>
      <w:r w:rsidR="00B46F3B" w:rsidRPr="002D63E4">
        <w:t xml:space="preserve"> </w:t>
      </w:r>
      <w:r w:rsidRPr="002D63E4">
        <w:t>QCIAs to students from</w:t>
      </w:r>
      <w:r w:rsidR="001A607F">
        <w:t> </w:t>
      </w:r>
      <w:r w:rsidRPr="002D63E4">
        <w:t>17</w:t>
      </w:r>
      <w:r w:rsidR="00B46F3B">
        <w:t>0</w:t>
      </w:r>
      <w:r w:rsidRPr="002D63E4">
        <w:t> schools.</w:t>
      </w:r>
    </w:p>
    <w:p w:rsidR="002A7569" w:rsidRPr="003717FB" w:rsidRDefault="002A7569" w:rsidP="003717FB">
      <w:pPr>
        <w:pStyle w:val="Heading4"/>
      </w:pPr>
      <w:bookmarkStart w:id="66" w:name="_Toc300136507"/>
      <w:r w:rsidRPr="003717FB">
        <w:t>Equivalency of non-Queensland qualifications</w:t>
      </w:r>
      <w:bookmarkEnd w:id="66"/>
    </w:p>
    <w:p w:rsidR="002A7569" w:rsidRPr="002D63E4" w:rsidRDefault="002A7569" w:rsidP="000C109B">
      <w:pPr>
        <w:pStyle w:val="BodyText"/>
      </w:pPr>
      <w:bookmarkStart w:id="67" w:name="_Toc300136508"/>
      <w:r w:rsidRPr="002D63E4">
        <w:t>The QSA provide</w:t>
      </w:r>
      <w:r w:rsidR="008623D9">
        <w:t>d</w:t>
      </w:r>
      <w:r w:rsidRPr="002D63E4">
        <w:t xml:space="preserve"> Education Statements for school qualifications that have been awarded by recognised interstate or overseas institutions. The statement</w:t>
      </w:r>
      <w:r w:rsidR="007A40DD">
        <w:t xml:space="preserve">s give the Queensland secondary </w:t>
      </w:r>
      <w:r w:rsidRPr="002D63E4">
        <w:t>school level equivalent of submitted qualifications.</w:t>
      </w:r>
    </w:p>
    <w:p w:rsidR="00595642" w:rsidRDefault="002A7569" w:rsidP="000C109B">
      <w:pPr>
        <w:pStyle w:val="BodyText"/>
      </w:pPr>
      <w:r w:rsidRPr="002D63E4">
        <w:t xml:space="preserve">In </w:t>
      </w:r>
      <w:r w:rsidRPr="008623D9">
        <w:t>201</w:t>
      </w:r>
      <w:r w:rsidR="008623D9" w:rsidRPr="008623D9">
        <w:t>3</w:t>
      </w:r>
      <w:r w:rsidRPr="008623D9">
        <w:t>–1</w:t>
      </w:r>
      <w:r w:rsidR="008623D9" w:rsidRPr="008623D9">
        <w:t>4</w:t>
      </w:r>
      <w:r w:rsidRPr="008623D9">
        <w:t>,</w:t>
      </w:r>
      <w:r w:rsidRPr="002D63E4">
        <w:t xml:space="preserve"> the QSA received and processed </w:t>
      </w:r>
      <w:r w:rsidR="008623D9">
        <w:t>212</w:t>
      </w:r>
      <w:r w:rsidR="008623D9" w:rsidRPr="002D63E4">
        <w:t xml:space="preserve"> </w:t>
      </w:r>
      <w:r w:rsidRPr="002D63E4">
        <w:t xml:space="preserve">equivalency applications for qualifications from </w:t>
      </w:r>
      <w:r w:rsidR="008623D9">
        <w:t>47</w:t>
      </w:r>
      <w:r w:rsidR="00595642">
        <w:t xml:space="preserve"> countries.</w:t>
      </w:r>
    </w:p>
    <w:p w:rsidR="002A7569" w:rsidRPr="002D63E4" w:rsidRDefault="002A7569" w:rsidP="000C109B">
      <w:pPr>
        <w:pStyle w:val="BodyText"/>
      </w:pPr>
      <w:r w:rsidRPr="002D63E4">
        <w:t>Equivalency assessments are provided for employment and recruitment purposes.</w:t>
      </w:r>
    </w:p>
    <w:p w:rsidR="002A7569" w:rsidRPr="003717FB" w:rsidRDefault="002A7569" w:rsidP="003717FB">
      <w:pPr>
        <w:pStyle w:val="Heading4"/>
      </w:pPr>
      <w:r w:rsidRPr="003717FB">
        <w:t>201</w:t>
      </w:r>
      <w:r w:rsidR="002028FA" w:rsidRPr="003717FB">
        <w:t>3</w:t>
      </w:r>
      <w:r w:rsidRPr="003717FB">
        <w:t xml:space="preserve"> Year 12 outcomes </w:t>
      </w:r>
      <w:bookmarkEnd w:id="67"/>
      <w:r w:rsidRPr="003717FB">
        <w:t>report</w:t>
      </w:r>
    </w:p>
    <w:p w:rsidR="002A7569" w:rsidRPr="002D63E4" w:rsidRDefault="007A40DD" w:rsidP="000C109B">
      <w:pPr>
        <w:pStyle w:val="BodyText"/>
      </w:pPr>
      <w:r>
        <w:t>T</w:t>
      </w:r>
      <w:r w:rsidR="001A618A" w:rsidRPr="002D63E4">
        <w:t xml:space="preserve">he QSA publicly reported a range of Year 12 student outcomes data </w:t>
      </w:r>
      <w:r w:rsidR="001A618A">
        <w:t>o</w:t>
      </w:r>
      <w:r w:rsidR="002A7569" w:rsidRPr="002D63E4">
        <w:t>n beha</w:t>
      </w:r>
      <w:r w:rsidR="001A618A">
        <w:t>lf of the Queensland Government.</w:t>
      </w:r>
      <w:r w:rsidR="002A7569" w:rsidRPr="002D63E4">
        <w:t xml:space="preserve"> For each school, </w:t>
      </w:r>
      <w:r w:rsidR="002A7569" w:rsidRPr="001A618A">
        <w:t xml:space="preserve">the </w:t>
      </w:r>
      <w:r w:rsidR="001A618A" w:rsidRPr="001A618A">
        <w:t>report</w:t>
      </w:r>
      <w:r w:rsidR="00BA6B3A" w:rsidRPr="001A618A">
        <w:t xml:space="preserve"> </w:t>
      </w:r>
      <w:r w:rsidR="001A618A">
        <w:t>included</w:t>
      </w:r>
      <w:r w:rsidR="002A7569" w:rsidRPr="002D63E4">
        <w:t>:</w:t>
      </w:r>
    </w:p>
    <w:p w:rsidR="002A7569" w:rsidRPr="00C70157" w:rsidRDefault="002A7569" w:rsidP="00C716A9">
      <w:pPr>
        <w:pStyle w:val="ListBullet0"/>
      </w:pPr>
      <w:r w:rsidRPr="00C70157">
        <w:t>information on the number of students awarded certificates and qualifications</w:t>
      </w:r>
    </w:p>
    <w:p w:rsidR="002A7569" w:rsidRPr="00C70157" w:rsidRDefault="002A7569" w:rsidP="00C716A9">
      <w:pPr>
        <w:pStyle w:val="ListBullet0"/>
      </w:pPr>
      <w:r w:rsidRPr="00C70157">
        <w:t>the proportion of Queensland Tertiary Admissions Centre applicants receiving a tertiary offer</w:t>
      </w:r>
    </w:p>
    <w:p w:rsidR="002A7569" w:rsidRPr="00C70157" w:rsidRDefault="002A7569" w:rsidP="00C716A9">
      <w:pPr>
        <w:pStyle w:val="ListBullet0"/>
      </w:pPr>
      <w:r w:rsidRPr="00C70157">
        <w:t xml:space="preserve">the </w:t>
      </w:r>
      <w:r w:rsidR="00841B69">
        <w:t xml:space="preserve">OP distribution </w:t>
      </w:r>
      <w:r w:rsidRPr="00C70157">
        <w:t xml:space="preserve">of students </w:t>
      </w:r>
      <w:r w:rsidR="00841B69">
        <w:t xml:space="preserve">across five bands </w:t>
      </w:r>
      <w:r w:rsidR="00841B69">
        <w:br/>
        <w:t>(</w:t>
      </w:r>
      <w:r w:rsidR="00EC0A8B">
        <w:t xml:space="preserve">students with OPs of </w:t>
      </w:r>
      <w:r w:rsidRPr="00C70157">
        <w:t>1–5, 6–10, 11–15, 16–20 and 21–25</w:t>
      </w:r>
      <w:r w:rsidR="00841B69">
        <w:t>)</w:t>
      </w:r>
    </w:p>
    <w:p w:rsidR="002A7569" w:rsidRPr="00C70157" w:rsidRDefault="002A7569" w:rsidP="00C716A9">
      <w:pPr>
        <w:pStyle w:val="ListBullet0"/>
      </w:pPr>
      <w:proofErr w:type="gramStart"/>
      <w:r w:rsidRPr="00C70157">
        <w:t>the</w:t>
      </w:r>
      <w:proofErr w:type="gramEnd"/>
      <w:r w:rsidRPr="00C70157">
        <w:t xml:space="preserve"> number of students receiving VET certificates at various levels.</w:t>
      </w:r>
    </w:p>
    <w:p w:rsidR="00F63150" w:rsidRPr="00F63150" w:rsidRDefault="002A7569" w:rsidP="000C109B">
      <w:pPr>
        <w:pStyle w:val="BodyText"/>
      </w:pPr>
      <w:r w:rsidRPr="002D63E4">
        <w:t>The QSA worked closely with schools to ensure the accuracy of the data, and to communicate the implications of the data to school communities.</w:t>
      </w:r>
      <w:r w:rsidR="00F63150">
        <w:br w:type="page"/>
      </w:r>
    </w:p>
    <w:p w:rsidR="002A7569" w:rsidRDefault="002A7569" w:rsidP="002A7569">
      <w:pPr>
        <w:pStyle w:val="Heading3"/>
      </w:pPr>
      <w:r w:rsidRPr="00FE6D47">
        <w:lastRenderedPageBreak/>
        <w:t>Vocatio</w:t>
      </w:r>
      <w:r w:rsidR="003D64A0">
        <w:t>nal education and training</w:t>
      </w:r>
    </w:p>
    <w:p w:rsidR="008C6A52" w:rsidRDefault="00DA5C65" w:rsidP="000C109B">
      <w:pPr>
        <w:pStyle w:val="BodyText"/>
      </w:pPr>
      <w:r>
        <w:t xml:space="preserve">The QSA worked in partnership with the Australian Skills Quality Authority (ASQA), national industry skills councils and the three schooling sectors to support the delivery of vocational education and training </w:t>
      </w:r>
      <w:r w:rsidR="003D64A0">
        <w:t xml:space="preserve">(VET) </w:t>
      </w:r>
      <w:r>
        <w:t>for school students.</w:t>
      </w:r>
    </w:p>
    <w:p w:rsidR="008C6A52" w:rsidRDefault="00DA5C65" w:rsidP="000C109B">
      <w:pPr>
        <w:pStyle w:val="BodyText"/>
      </w:pPr>
      <w:r>
        <w:t>It registered schools as registered training organisations (RTOs) to Australian Qualifications Framework Certificate IV level (except declared Apprenticeship Certificates III). This registration function was performed under a delegation from ASQA</w:t>
      </w:r>
      <w:r w:rsidRPr="00DA5C65">
        <w:t>.</w:t>
      </w:r>
    </w:p>
    <w:p w:rsidR="002A7569" w:rsidRDefault="00DA5C65" w:rsidP="000C109B">
      <w:pPr>
        <w:pStyle w:val="BodyText"/>
      </w:pPr>
      <w:r>
        <w:t>The QSA provided leadership, advice and support to schools on:</w:t>
      </w:r>
    </w:p>
    <w:p w:rsidR="008C6A52" w:rsidRDefault="00DA5C65" w:rsidP="00723ED2">
      <w:pPr>
        <w:pStyle w:val="ListBullet0"/>
        <w:spacing w:before="52"/>
      </w:pPr>
      <w:r>
        <w:t>becoming an RTO</w:t>
      </w:r>
    </w:p>
    <w:p w:rsidR="00DA5C65" w:rsidRDefault="00DA5C65" w:rsidP="00723ED2">
      <w:pPr>
        <w:pStyle w:val="ListBullet0"/>
        <w:spacing w:before="52"/>
      </w:pPr>
      <w:r>
        <w:t>maintaining RTO compliance</w:t>
      </w:r>
      <w:r w:rsidR="000B0306">
        <w:t xml:space="preserve"> with the VET Quality Framework</w:t>
      </w:r>
    </w:p>
    <w:p w:rsidR="00DA5C65" w:rsidRDefault="00DA5C65" w:rsidP="00723ED2">
      <w:pPr>
        <w:pStyle w:val="ListBullet0"/>
        <w:spacing w:before="52"/>
      </w:pPr>
      <w:r>
        <w:t>meeting data provision requirements</w:t>
      </w:r>
    </w:p>
    <w:p w:rsidR="00DA5C65" w:rsidRDefault="00DA5C65" w:rsidP="00723ED2">
      <w:pPr>
        <w:pStyle w:val="ListBullet0"/>
        <w:spacing w:before="52"/>
      </w:pPr>
      <w:r>
        <w:t>implementing selected qualifications from National Training Packages</w:t>
      </w:r>
    </w:p>
    <w:p w:rsidR="00DA5C65" w:rsidRDefault="00DA5C65" w:rsidP="00723ED2">
      <w:pPr>
        <w:pStyle w:val="ListBullet0"/>
        <w:spacing w:before="52"/>
      </w:pPr>
      <w:r>
        <w:t>school RTO management</w:t>
      </w:r>
    </w:p>
    <w:p w:rsidR="00DA5C65" w:rsidRPr="002D63E4" w:rsidRDefault="00DA5C65" w:rsidP="00723ED2">
      <w:pPr>
        <w:pStyle w:val="ListBullet0"/>
        <w:spacing w:before="52"/>
      </w:pPr>
      <w:proofErr w:type="gramStart"/>
      <w:r>
        <w:t>quality</w:t>
      </w:r>
      <w:proofErr w:type="gramEnd"/>
      <w:r>
        <w:t xml:space="preserve"> training and assessment.</w:t>
      </w:r>
    </w:p>
    <w:p w:rsidR="000149AF" w:rsidRPr="003717FB" w:rsidRDefault="000149AF" w:rsidP="003717FB">
      <w:pPr>
        <w:pStyle w:val="Heading4"/>
      </w:pPr>
      <w:bookmarkStart w:id="68" w:name="_Toc300136513"/>
      <w:r w:rsidRPr="003717FB">
        <w:t>School support</w:t>
      </w:r>
    </w:p>
    <w:p w:rsidR="008C6A52" w:rsidRDefault="00305CF5" w:rsidP="000C109B">
      <w:pPr>
        <w:pStyle w:val="BodyText"/>
      </w:pPr>
      <w:r>
        <w:t xml:space="preserve">The QSA conducted </w:t>
      </w:r>
      <w:r w:rsidR="000149AF" w:rsidRPr="000149AF">
        <w:t>professional development workshops to explain the use and implementation of the new resources</w:t>
      </w:r>
      <w:r>
        <w:t xml:space="preserve"> over the first half of 2014</w:t>
      </w:r>
      <w:r w:rsidR="000149AF" w:rsidRPr="000149AF">
        <w:t xml:space="preserve">. </w:t>
      </w:r>
      <w:r>
        <w:t>Thirteen</w:t>
      </w:r>
      <w:r w:rsidR="000149AF" w:rsidRPr="000149AF">
        <w:t xml:space="preserve"> VET assessment workshops were attended by 393 school</w:t>
      </w:r>
      <w:r>
        <w:t>-</w:t>
      </w:r>
      <w:r w:rsidR="000149AF" w:rsidRPr="000149AF">
        <w:t>based trainers, assessor</w:t>
      </w:r>
      <w:r w:rsidR="00C8683D">
        <w:t>s</w:t>
      </w:r>
      <w:r w:rsidR="000149AF" w:rsidRPr="000149AF">
        <w:t xml:space="preserve"> and managers. This directly addressed </w:t>
      </w:r>
      <w:r>
        <w:t>QSA’s</w:t>
      </w:r>
      <w:r w:rsidR="000149AF" w:rsidRPr="000149AF">
        <w:t xml:space="preserve"> delegated responsibilities to conduct training programs related to regulation of RTOs and to promote and encourage continuous improvement and capacity building of school RTOs to provide VET courses.</w:t>
      </w:r>
    </w:p>
    <w:p w:rsidR="000149AF" w:rsidRPr="000149AF" w:rsidRDefault="000149AF" w:rsidP="000C109B">
      <w:pPr>
        <w:pStyle w:val="BodyText"/>
      </w:pPr>
      <w:r w:rsidRPr="000149AF">
        <w:t>T</w:t>
      </w:r>
      <w:r w:rsidR="00121209">
        <w:t>he QSA provided the following resources t</w:t>
      </w:r>
      <w:r w:rsidRPr="000149AF">
        <w:t>o support</w:t>
      </w:r>
      <w:r w:rsidR="00305CF5">
        <w:t xml:space="preserve"> school RTOs in implementing q</w:t>
      </w:r>
      <w:r w:rsidRPr="000149AF">
        <w:t>uality VET programs and maintaining compliance with the VET Quality Framework:</w:t>
      </w:r>
    </w:p>
    <w:p w:rsidR="000149AF" w:rsidRPr="000149AF" w:rsidRDefault="00723ED2" w:rsidP="00723ED2">
      <w:pPr>
        <w:pStyle w:val="ListBullet0"/>
        <w:spacing w:before="52"/>
      </w:pPr>
      <w:r>
        <w:t>quarterly VET e-</w:t>
      </w:r>
      <w:r w:rsidR="000149AF" w:rsidRPr="000149AF">
        <w:t>newsletter</w:t>
      </w:r>
    </w:p>
    <w:p w:rsidR="000149AF" w:rsidRPr="000149AF" w:rsidRDefault="000149AF" w:rsidP="00723ED2">
      <w:pPr>
        <w:pStyle w:val="ListBullet0"/>
        <w:spacing w:before="52"/>
      </w:pPr>
      <w:r w:rsidRPr="000149AF">
        <w:t>assessment sample tools</w:t>
      </w:r>
    </w:p>
    <w:p w:rsidR="000149AF" w:rsidRPr="000149AF" w:rsidRDefault="000149AF" w:rsidP="00723ED2">
      <w:pPr>
        <w:pStyle w:val="ListBullet0"/>
        <w:spacing w:before="52"/>
      </w:pPr>
      <w:r w:rsidRPr="000149AF">
        <w:t>assessment mapping tools</w:t>
      </w:r>
    </w:p>
    <w:p w:rsidR="000149AF" w:rsidRPr="000149AF" w:rsidRDefault="000149AF" w:rsidP="00723ED2">
      <w:pPr>
        <w:pStyle w:val="ListBullet0"/>
        <w:spacing w:before="52"/>
      </w:pPr>
      <w:proofErr w:type="gramStart"/>
      <w:r w:rsidRPr="000149AF">
        <w:t>training</w:t>
      </w:r>
      <w:proofErr w:type="gramEnd"/>
      <w:r w:rsidRPr="000149AF">
        <w:t xml:space="preserve"> and assessment strategy sample tools</w:t>
      </w:r>
      <w:r>
        <w:t>.</w:t>
      </w:r>
    </w:p>
    <w:p w:rsidR="00F63150" w:rsidRPr="003717FB" w:rsidRDefault="00F63150" w:rsidP="00F63150">
      <w:pPr>
        <w:pStyle w:val="Heading4"/>
      </w:pPr>
      <w:bookmarkStart w:id="69" w:name="_Toc300136511"/>
      <w:r w:rsidRPr="003717FB">
        <w:t>School audits</w:t>
      </w:r>
      <w:bookmarkEnd w:id="69"/>
    </w:p>
    <w:p w:rsidR="00F63150" w:rsidRDefault="00F63150" w:rsidP="000C109B">
      <w:pPr>
        <w:pStyle w:val="BodyText"/>
      </w:pPr>
      <w:r w:rsidRPr="002D63E4">
        <w:t>As part of the registration process, schools</w:t>
      </w:r>
      <w:r>
        <w:t xml:space="preserve"> were</w:t>
      </w:r>
      <w:r w:rsidRPr="002D63E4">
        <w:t xml:space="preserve"> audited by </w:t>
      </w:r>
      <w:r>
        <w:t xml:space="preserve">the </w:t>
      </w:r>
      <w:r w:rsidRPr="002D63E4">
        <w:t>QSA for compliance with the National VET Quality Framework.</w:t>
      </w:r>
    </w:p>
    <w:p w:rsidR="00F63150" w:rsidRPr="002D63E4" w:rsidRDefault="00F63150" w:rsidP="000C109B">
      <w:pPr>
        <w:pStyle w:val="BodyText"/>
      </w:pPr>
      <w:r w:rsidRPr="002D63E4">
        <w:t xml:space="preserve">In the past year, the QSA conducted </w:t>
      </w:r>
      <w:r>
        <w:t>67</w:t>
      </w:r>
      <w:r w:rsidRPr="002D63E4">
        <w:t xml:space="preserve"> site audits and </w:t>
      </w:r>
      <w:r>
        <w:t>81</w:t>
      </w:r>
      <w:r w:rsidRPr="002D63E4">
        <w:t xml:space="preserve"> desk audits.</w:t>
      </w:r>
    </w:p>
    <w:p w:rsidR="00F63150" w:rsidRPr="003717FB" w:rsidRDefault="00F63150" w:rsidP="003D64A0">
      <w:pPr>
        <w:pStyle w:val="Heading4"/>
      </w:pPr>
      <w:bookmarkStart w:id="70" w:name="_Toc300136512"/>
      <w:r w:rsidRPr="003717FB">
        <w:t>Registration activity</w:t>
      </w:r>
      <w:bookmarkEnd w:id="70"/>
    </w:p>
    <w:p w:rsidR="00F63150" w:rsidRDefault="00F63150" w:rsidP="000C109B">
      <w:pPr>
        <w:pStyle w:val="BodyText"/>
      </w:pPr>
      <w:r>
        <w:t>T</w:t>
      </w:r>
      <w:r w:rsidRPr="002D63E4">
        <w:t xml:space="preserve">he QSA processed </w:t>
      </w:r>
      <w:r>
        <w:t>1076</w:t>
      </w:r>
      <w:r w:rsidRPr="002D63E4">
        <w:t xml:space="preserve"> registration activities for the 3</w:t>
      </w:r>
      <w:r>
        <w:t>39</w:t>
      </w:r>
      <w:r w:rsidRPr="002D63E4">
        <w:t> schools registered as RTOs.</w:t>
      </w:r>
    </w:p>
    <w:p w:rsidR="002A7569" w:rsidRPr="003717FB" w:rsidRDefault="002A7569" w:rsidP="003717FB">
      <w:pPr>
        <w:pStyle w:val="Heading4"/>
      </w:pPr>
      <w:r w:rsidRPr="003717FB">
        <w:lastRenderedPageBreak/>
        <w:t>VET and the QCE</w:t>
      </w:r>
      <w:bookmarkEnd w:id="68"/>
    </w:p>
    <w:p w:rsidR="00121209" w:rsidRDefault="002A7569" w:rsidP="000C109B">
      <w:pPr>
        <w:pStyle w:val="BodyText"/>
      </w:pPr>
      <w:r w:rsidRPr="002D63E4">
        <w:t>The QSA work</w:t>
      </w:r>
      <w:r w:rsidR="00541FB9">
        <w:t>ed</w:t>
      </w:r>
      <w:r w:rsidRPr="002D63E4">
        <w:t xml:space="preserve"> with the State Training Agency Clearinghouse to ensure accurate banking of VET achievements from non-school RTOs. The QSA also banked student VET achievements gained at schools in other states.</w:t>
      </w:r>
    </w:p>
    <w:p w:rsidR="008C6A52" w:rsidRDefault="007562DF" w:rsidP="000C109B">
      <w:pPr>
        <w:pStyle w:val="BodyText"/>
      </w:pPr>
      <w:r>
        <w:t>In 2013 over 89</w:t>
      </w:r>
      <w:r>
        <w:rPr>
          <w:rFonts w:ascii="Times New Roman" w:hAnsi="Times New Roman"/>
        </w:rPr>
        <w:t> </w:t>
      </w:r>
      <w:r w:rsidR="000149AF" w:rsidRPr="000149AF">
        <w:t>000 students were enrolled in VET qualifications at school</w:t>
      </w:r>
      <w:r w:rsidR="00723ED2">
        <w:t>,</w:t>
      </w:r>
      <w:r w:rsidR="000149AF" w:rsidRPr="000149AF">
        <w:t xml:space="preserve"> with 89</w:t>
      </w:r>
      <w:r>
        <w:rPr>
          <w:rFonts w:ascii="Times New Roman" w:hAnsi="Times New Roman"/>
        </w:rPr>
        <w:t> </w:t>
      </w:r>
      <w:r w:rsidR="000149AF" w:rsidRPr="000149AF">
        <w:t>310 qualifications awarded to students in Queensland from school RTOs registered with the QSA as delegate for ASQA.</w:t>
      </w:r>
    </w:p>
    <w:p w:rsidR="00D94A19" w:rsidRDefault="00D94A19" w:rsidP="00012ABC">
      <w:pPr>
        <w:pStyle w:val="Heading2"/>
      </w:pPr>
      <w:bookmarkStart w:id="71" w:name="_Toc365984774"/>
      <w:bookmarkStart w:id="72" w:name="_Toc397589535"/>
      <w:r>
        <w:t>Co</w:t>
      </w:r>
      <w:r w:rsidR="00723ED2">
        <w:t>rporate support and co</w:t>
      </w:r>
      <w:r>
        <w:t>mmunication</w:t>
      </w:r>
      <w:bookmarkEnd w:id="71"/>
      <w:bookmarkEnd w:id="72"/>
    </w:p>
    <w:p w:rsidR="00723ED2" w:rsidRDefault="00EE49F2" w:rsidP="000C109B">
      <w:pPr>
        <w:pStyle w:val="BodyText"/>
      </w:pPr>
      <w:r>
        <w:t>The QSA’s e</w:t>
      </w:r>
      <w:r w:rsidR="00D94A19" w:rsidRPr="002D63E4">
        <w:t xml:space="preserve">ffective communication and partnerships with schools, industry, academia and the </w:t>
      </w:r>
      <w:r w:rsidR="00D94A19">
        <w:t xml:space="preserve">wider </w:t>
      </w:r>
      <w:r w:rsidR="00D94A19" w:rsidRPr="002D63E4">
        <w:t>community ensure</w:t>
      </w:r>
      <w:r w:rsidR="00D94A19">
        <w:t>d</w:t>
      </w:r>
      <w:r w:rsidR="00D94A19" w:rsidRPr="002D63E4">
        <w:t xml:space="preserve"> that the QSA’s products and services me</w:t>
      </w:r>
      <w:r w:rsidR="00D94A19">
        <w:t>t</w:t>
      </w:r>
      <w:r w:rsidR="00D94A19" w:rsidRPr="002D63E4">
        <w:t xml:space="preserve"> the needs of stakeholders.</w:t>
      </w:r>
    </w:p>
    <w:p w:rsidR="00723ED2" w:rsidRPr="002D63E4" w:rsidRDefault="00723ED2" w:rsidP="000C109B">
      <w:pPr>
        <w:pStyle w:val="BodyText"/>
      </w:pPr>
      <w:r w:rsidRPr="002D63E4">
        <w:t xml:space="preserve">Corporate support functions </w:t>
      </w:r>
      <w:r w:rsidR="006F68B2">
        <w:t xml:space="preserve">were fundamental </w:t>
      </w:r>
      <w:r w:rsidRPr="002D63E4">
        <w:t>in developing the governance framework of the QSA and leading the development and implementation of effective resource management and capability development strategies.</w:t>
      </w:r>
    </w:p>
    <w:p w:rsidR="00D94A19" w:rsidRPr="002A7569" w:rsidRDefault="00723ED2" w:rsidP="002A7569">
      <w:pPr>
        <w:pStyle w:val="Heading3"/>
      </w:pPr>
      <w:r>
        <w:t>Careers market</w:t>
      </w:r>
    </w:p>
    <w:p w:rsidR="00D94A19" w:rsidRPr="002D63E4" w:rsidRDefault="00D94A19" w:rsidP="000C109B">
      <w:pPr>
        <w:pStyle w:val="BodyText"/>
      </w:pPr>
      <w:r w:rsidRPr="002D63E4">
        <w:t>The QSA provided advice for students, parents, and prospective tertiary applicants at the Tertiary Studies Expo (TSXPO)</w:t>
      </w:r>
      <w:r>
        <w:t xml:space="preserve"> </w:t>
      </w:r>
      <w:r w:rsidRPr="002D63E4">
        <w:t>in Brisbane.</w:t>
      </w:r>
    </w:p>
    <w:p w:rsidR="00D94A19" w:rsidRPr="002A7569" w:rsidRDefault="00D94A19" w:rsidP="002A7569">
      <w:pPr>
        <w:pStyle w:val="Heading3"/>
      </w:pPr>
      <w:r w:rsidRPr="002A7569">
        <w:t>Enquiry service</w:t>
      </w:r>
    </w:p>
    <w:p w:rsidR="00D94A19" w:rsidRPr="002D63E4" w:rsidRDefault="00D94A19" w:rsidP="000C109B">
      <w:pPr>
        <w:pStyle w:val="BodyText"/>
      </w:pPr>
      <w:r w:rsidRPr="002D63E4">
        <w:t>The QSA maintained its toll-free Student Connect hotline service for students, parents/carers and school</w:t>
      </w:r>
      <w:r w:rsidR="00723ED2">
        <w:t>s</w:t>
      </w:r>
      <w:r w:rsidRPr="002D63E4">
        <w:t>.</w:t>
      </w:r>
    </w:p>
    <w:p w:rsidR="00D94A19" w:rsidRPr="002D63E4" w:rsidRDefault="00D94A19" w:rsidP="000C109B">
      <w:pPr>
        <w:pStyle w:val="BodyText"/>
      </w:pPr>
      <w:r w:rsidRPr="002D63E4">
        <w:t>During the 201</w:t>
      </w:r>
      <w:r>
        <w:t>3</w:t>
      </w:r>
      <w:r w:rsidRPr="002D63E4">
        <w:t xml:space="preserve"> release of the Senior Education Profile, hotline staff assisted with approximately </w:t>
      </w:r>
      <w:r>
        <w:t>650</w:t>
      </w:r>
      <w:r w:rsidRPr="002D63E4">
        <w:t xml:space="preserve"> student certification-related queries.</w:t>
      </w:r>
    </w:p>
    <w:p w:rsidR="00D94A19" w:rsidRPr="002A7569" w:rsidRDefault="00D94A19" w:rsidP="000D6636">
      <w:pPr>
        <w:pStyle w:val="Heading3"/>
      </w:pPr>
      <w:bookmarkStart w:id="73" w:name="_Toc300136522"/>
      <w:bookmarkStart w:id="74" w:name="_Toc300136525"/>
      <w:r w:rsidRPr="002A7569">
        <w:t>Pro</w:t>
      </w:r>
      <w:r w:rsidR="00723ED2">
        <w:t>fessional development</w:t>
      </w:r>
    </w:p>
    <w:p w:rsidR="00D94A19" w:rsidRPr="00F63150" w:rsidRDefault="00D94A19" w:rsidP="00F63150">
      <w:pPr>
        <w:pStyle w:val="BodyText"/>
      </w:pPr>
      <w:r w:rsidRPr="00F63150">
        <w:t>During 2013–14, the QSA delivered more than 175</w:t>
      </w:r>
      <w:r w:rsidR="007A40DD">
        <w:t xml:space="preserve"> workshops to approximately 5500</w:t>
      </w:r>
      <w:r w:rsidRPr="00F63150">
        <w:t xml:space="preserve"> educators to support the introduction and implementation of curriculum, assessment and reporting initiatives across </w:t>
      </w:r>
      <w:r>
        <w:t xml:space="preserve">kindergarten to </w:t>
      </w:r>
      <w:r w:rsidRPr="00F63150">
        <w:t>Year 12. Participants received certification appropriate for teacher registration renewal based on the Australian Professional Standards for Teachers and the Queensland College of Teachers’ Continuing Professional Development Framework.</w:t>
      </w:r>
    </w:p>
    <w:p w:rsidR="00D94A19" w:rsidRPr="00F63150" w:rsidRDefault="00D94A19" w:rsidP="00F63150">
      <w:pPr>
        <w:pStyle w:val="BodyText"/>
      </w:pPr>
      <w:r w:rsidRPr="00F63150">
        <w:t xml:space="preserve">The QSA organised 46 presentations in response to requests for professional development services from schools, higher education institutions and professional associations. Topics included the Australian </w:t>
      </w:r>
      <w:r w:rsidRPr="00F63150">
        <w:lastRenderedPageBreak/>
        <w:t>Curriculum, assessment, the QCS Test, tertiary pathways, senior syllabuses and the QKLG.</w:t>
      </w:r>
    </w:p>
    <w:p w:rsidR="00D94A19" w:rsidRPr="00F63150" w:rsidRDefault="00D94A19" w:rsidP="00F63150">
      <w:pPr>
        <w:pStyle w:val="BodyText"/>
      </w:pPr>
      <w:r w:rsidRPr="00F63150">
        <w:t>International delegations visited QSA in 2013–14 seeking expert advice on a range of topi</w:t>
      </w:r>
      <w:r w:rsidR="006F68B2">
        <w:t>cs including curriculum, school-</w:t>
      </w:r>
      <w:r w:rsidRPr="00F63150">
        <w:t>based assessment, testing and certification. The delegates came from China, United</w:t>
      </w:r>
      <w:r w:rsidR="006F68B2">
        <w:t> </w:t>
      </w:r>
      <w:r w:rsidRPr="00F63150">
        <w:t>Kingdom, the Philippines and Africa.</w:t>
      </w:r>
    </w:p>
    <w:bookmarkEnd w:id="73"/>
    <w:p w:rsidR="00D94A19" w:rsidRPr="002A7569" w:rsidRDefault="00D94A19" w:rsidP="002A7569">
      <w:pPr>
        <w:pStyle w:val="Heading3"/>
      </w:pPr>
      <w:r w:rsidRPr="002A7569">
        <w:t>Publications</w:t>
      </w:r>
      <w:bookmarkEnd w:id="74"/>
    </w:p>
    <w:p w:rsidR="00D94A19" w:rsidRPr="002D63E4" w:rsidRDefault="00D94A19" w:rsidP="000C109B">
      <w:pPr>
        <w:pStyle w:val="BodyText"/>
      </w:pPr>
      <w:r w:rsidRPr="002D63E4">
        <w:t>Regular publications produced by the QSA include</w:t>
      </w:r>
      <w:r>
        <w:t>d</w:t>
      </w:r>
      <w:r w:rsidRPr="002D63E4">
        <w:t>:</w:t>
      </w:r>
    </w:p>
    <w:p w:rsidR="00D94A19" w:rsidRPr="00CC4681" w:rsidRDefault="00D94A19" w:rsidP="00CC4681">
      <w:pPr>
        <w:pStyle w:val="ListBullet0"/>
      </w:pPr>
      <w:r w:rsidRPr="000D6636">
        <w:rPr>
          <w:rStyle w:val="Emphasis"/>
        </w:rPr>
        <w:t>QSA Connect</w:t>
      </w:r>
      <w:r w:rsidRPr="00CC4681">
        <w:t>, a fortnightly email newsletter that update</w:t>
      </w:r>
      <w:r>
        <w:t>d</w:t>
      </w:r>
      <w:r w:rsidRPr="00CC4681">
        <w:t xml:space="preserve"> </w:t>
      </w:r>
      <w:r w:rsidR="003B4E6B">
        <w:t>over</w:t>
      </w:r>
      <w:r w:rsidR="006F68B2">
        <w:t xml:space="preserve"> 12 </w:t>
      </w:r>
      <w:r w:rsidRPr="00CC4681">
        <w:t>500 subscribers about QSA initiatives, professional development activities and events</w:t>
      </w:r>
    </w:p>
    <w:p w:rsidR="00D94A19" w:rsidRPr="00CC4681" w:rsidRDefault="00D94A19" w:rsidP="00CC4681">
      <w:pPr>
        <w:pStyle w:val="ListBullet0"/>
      </w:pPr>
      <w:r w:rsidRPr="000D6636">
        <w:rPr>
          <w:rStyle w:val="Emphasis"/>
        </w:rPr>
        <w:t>NAPLAN</w:t>
      </w:r>
      <w:r w:rsidRPr="00CC4681">
        <w:t>, a monthly online bulletin keeping schools informed about processes and procedures for the National Assessment Program — Literacy and Numeracy tests</w:t>
      </w:r>
    </w:p>
    <w:p w:rsidR="00D94A19" w:rsidRDefault="00D94A19" w:rsidP="00CC4681">
      <w:pPr>
        <w:pStyle w:val="ListBullet0"/>
      </w:pPr>
      <w:r w:rsidRPr="000D6636">
        <w:rPr>
          <w:rStyle w:val="Emphasis"/>
        </w:rPr>
        <w:t>Student Connect</w:t>
      </w:r>
      <w:r w:rsidRPr="00CC4681">
        <w:t>, a magazine published twice a year providing Year 12 students with news, study tips and information about further education, training and career pathways</w:t>
      </w:r>
    </w:p>
    <w:p w:rsidR="00D94A19" w:rsidRPr="00CC4681" w:rsidRDefault="00D94A19" w:rsidP="00E33B61">
      <w:pPr>
        <w:pStyle w:val="ListBullet0"/>
      </w:pPr>
      <w:r>
        <w:rPr>
          <w:rStyle w:val="Emphasis"/>
        </w:rPr>
        <w:t>Trends &amp; issues in curriculum &amp; assessment</w:t>
      </w:r>
      <w:r>
        <w:t xml:space="preserve">, </w:t>
      </w:r>
      <w:r w:rsidRPr="00E33B61">
        <w:rPr>
          <w:rStyle w:val="Emphasis"/>
          <w:i w:val="0"/>
        </w:rPr>
        <w:t>an</w:t>
      </w:r>
      <w:r w:rsidR="006F68B2">
        <w:rPr>
          <w:rStyle w:val="Emphasis"/>
          <w:i w:val="0"/>
        </w:rPr>
        <w:t> </w:t>
      </w:r>
      <w:r w:rsidRPr="00E33B61">
        <w:rPr>
          <w:rStyle w:val="Emphasis"/>
          <w:i w:val="0"/>
        </w:rPr>
        <w:t xml:space="preserve">occasional </w:t>
      </w:r>
      <w:r w:rsidRPr="006F1DB6">
        <w:rPr>
          <w:rStyle w:val="Emphasis"/>
          <w:i w:val="0"/>
        </w:rPr>
        <w:t xml:space="preserve">e-bulletin drawing on QSA data to inform </w:t>
      </w:r>
      <w:r w:rsidRPr="00E33B61">
        <w:rPr>
          <w:rStyle w:val="Emphasis"/>
          <w:i w:val="0"/>
        </w:rPr>
        <w:t>education de</w:t>
      </w:r>
      <w:r w:rsidRPr="006F1DB6">
        <w:rPr>
          <w:rStyle w:val="Emphasis"/>
          <w:i w:val="0"/>
        </w:rPr>
        <w:t xml:space="preserve">bates and support leadership and </w:t>
      </w:r>
      <w:r w:rsidRPr="00E33B61">
        <w:rPr>
          <w:rStyle w:val="Emphasis"/>
          <w:i w:val="0"/>
        </w:rPr>
        <w:t>instructional effe</w:t>
      </w:r>
      <w:r w:rsidR="003B4E6B">
        <w:rPr>
          <w:rStyle w:val="Emphasis"/>
          <w:i w:val="0"/>
        </w:rPr>
        <w:t>ctiveness in Queensland schools</w:t>
      </w:r>
    </w:p>
    <w:p w:rsidR="00D94A19" w:rsidRPr="00CC4681" w:rsidRDefault="00D94A19" w:rsidP="00CC4681">
      <w:pPr>
        <w:pStyle w:val="ListBullet0"/>
      </w:pPr>
      <w:r w:rsidRPr="000D6636">
        <w:rPr>
          <w:rStyle w:val="Emphasis"/>
        </w:rPr>
        <w:t>VET Update</w:t>
      </w:r>
      <w:r w:rsidRPr="00CC4681">
        <w:t>, a quarterly update about practical aspects of VET in schools for VET coordinators and</w:t>
      </w:r>
      <w:r w:rsidR="003B4E6B">
        <w:t> </w:t>
      </w:r>
      <w:r w:rsidRPr="00CC4681">
        <w:t>principals</w:t>
      </w:r>
    </w:p>
    <w:p w:rsidR="00D94A19" w:rsidRPr="003B4E6B" w:rsidRDefault="00D94A19" w:rsidP="00CC4681">
      <w:pPr>
        <w:pStyle w:val="ListBullet0"/>
        <w:rPr>
          <w:spacing w:val="-2"/>
        </w:rPr>
      </w:pPr>
      <w:proofErr w:type="gramStart"/>
      <w:r w:rsidRPr="00873BF3">
        <w:t>memos</w:t>
      </w:r>
      <w:proofErr w:type="gramEnd"/>
      <w:r>
        <w:t xml:space="preserve"> —</w:t>
      </w:r>
      <w:r w:rsidRPr="00CC4681">
        <w:t xml:space="preserve"> </w:t>
      </w:r>
      <w:r w:rsidRPr="003B4E6B">
        <w:rPr>
          <w:spacing w:val="-2"/>
        </w:rPr>
        <w:t xml:space="preserve">timely online advice to schools about </w:t>
      </w:r>
      <w:r w:rsidR="003B4E6B" w:rsidRPr="003B4E6B">
        <w:rPr>
          <w:spacing w:val="-2"/>
        </w:rPr>
        <w:t>important</w:t>
      </w:r>
      <w:r w:rsidRPr="003B4E6B">
        <w:rPr>
          <w:spacing w:val="-2"/>
        </w:rPr>
        <w:t xml:space="preserve"> curriculum, assessment, testing and certification issues.</w:t>
      </w:r>
    </w:p>
    <w:p w:rsidR="00012ABC" w:rsidRPr="0049501B" w:rsidRDefault="00012ABC" w:rsidP="0049501B">
      <w:pPr>
        <w:pStyle w:val="Heading3"/>
      </w:pPr>
      <w:bookmarkStart w:id="75" w:name="_Toc300136524"/>
      <w:bookmarkStart w:id="76" w:name="_Toc300136523"/>
      <w:r w:rsidRPr="0049501B">
        <w:t>Advice and compliance</w:t>
      </w:r>
    </w:p>
    <w:p w:rsidR="00012ABC" w:rsidRPr="002D63E4" w:rsidRDefault="00012ABC" w:rsidP="000C109B">
      <w:pPr>
        <w:pStyle w:val="BodyText"/>
      </w:pPr>
      <w:bookmarkStart w:id="77" w:name="_Toc300136535"/>
      <w:r w:rsidRPr="002D63E4">
        <w:t>During 201</w:t>
      </w:r>
      <w:r>
        <w:t>3</w:t>
      </w:r>
      <w:r w:rsidRPr="002D63E4">
        <w:t>–1</w:t>
      </w:r>
      <w:r>
        <w:t>4</w:t>
      </w:r>
      <w:r w:rsidRPr="002D63E4">
        <w:t>, the QSA provided advice on administrative, financial, human resource, service improvement and publishing issues that influenced the performance of the organisation. This included reviewing, developing, improving and implementing policies and procedures to ensure that the QSA’s corporate service</w:t>
      </w:r>
      <w:r w:rsidRPr="002D63E4">
        <w:rPr>
          <w:rFonts w:eastAsia="MS Mincho"/>
        </w:rPr>
        <w:t>-</w:t>
      </w:r>
      <w:r w:rsidRPr="002D63E4">
        <w:t>related activities complied with whole</w:t>
      </w:r>
      <w:r w:rsidRPr="002D63E4">
        <w:rPr>
          <w:rFonts w:eastAsia="MS Mincho"/>
        </w:rPr>
        <w:t>-</w:t>
      </w:r>
      <w:r w:rsidRPr="002D63E4">
        <w:t>of</w:t>
      </w:r>
      <w:r w:rsidRPr="002D63E4">
        <w:rPr>
          <w:rFonts w:eastAsia="MS Mincho"/>
        </w:rPr>
        <w:t>-</w:t>
      </w:r>
      <w:r w:rsidRPr="002D63E4">
        <w:t>government legislation, policies and directives.</w:t>
      </w:r>
    </w:p>
    <w:p w:rsidR="00012ABC" w:rsidRPr="002D63E4" w:rsidRDefault="00012ABC" w:rsidP="000C109B">
      <w:pPr>
        <w:pStyle w:val="BodyText"/>
      </w:pPr>
      <w:r w:rsidRPr="002D63E4">
        <w:t>The</w:t>
      </w:r>
      <w:r>
        <w:t xml:space="preserve"> annual </w:t>
      </w:r>
      <w:r w:rsidRPr="002D63E4">
        <w:t>internal audit was performed by DETE’s Internal Audit Unit, and the external audit was performed by Prosperity Advisers Pty Ltd, a contractor of the Queensland Audit Office. There were no significant issues arising from either the internal or external audits in 201</w:t>
      </w:r>
      <w:r>
        <w:t>3</w:t>
      </w:r>
      <w:r w:rsidRPr="002D63E4">
        <w:t>–1</w:t>
      </w:r>
      <w:r>
        <w:t>4</w:t>
      </w:r>
      <w:r w:rsidRPr="002D63E4">
        <w:t>.</w:t>
      </w:r>
    </w:p>
    <w:p w:rsidR="00012ABC" w:rsidRPr="002D63E4" w:rsidRDefault="00012ABC" w:rsidP="000C109B">
      <w:pPr>
        <w:pStyle w:val="BodyText"/>
      </w:pPr>
      <w:r w:rsidRPr="002D63E4">
        <w:t xml:space="preserve">The QSA also engaged DETE’s Internal Audit Unit to undertake an independent examination of all activity associated with the calculation and reconciliation of costs involved in the QSA’s administration of the </w:t>
      </w:r>
      <w:r w:rsidRPr="002D63E4">
        <w:lastRenderedPageBreak/>
        <w:t>NAPLAN tests. Internal Audit found QSA’s processes to be sound.</w:t>
      </w:r>
    </w:p>
    <w:p w:rsidR="00012ABC" w:rsidRPr="003717FB" w:rsidRDefault="00012ABC" w:rsidP="003717FB">
      <w:pPr>
        <w:pStyle w:val="Heading4"/>
      </w:pPr>
      <w:r w:rsidRPr="003717FB">
        <w:t>Audit and risk management</w:t>
      </w:r>
    </w:p>
    <w:p w:rsidR="00012ABC" w:rsidRPr="002D63E4" w:rsidRDefault="00012ABC" w:rsidP="000C109B">
      <w:pPr>
        <w:pStyle w:val="BodyText"/>
      </w:pPr>
      <w:r w:rsidRPr="002D63E4">
        <w:t xml:space="preserve">The </w:t>
      </w:r>
      <w:r w:rsidR="003B4E6B">
        <w:t>charter of the QSA’s</w:t>
      </w:r>
      <w:r w:rsidRPr="002D63E4">
        <w:t xml:space="preserve"> Audit Committee </w:t>
      </w:r>
      <w:r>
        <w:t>was</w:t>
      </w:r>
      <w:r w:rsidRPr="002D63E4">
        <w:t xml:space="preserve"> consistent with the Queensland Treasury Audit Committee Guidelines. Its membership, duties and responsibilities are listed in </w:t>
      </w:r>
      <w:hyperlink w:anchor="AuditCommittee" w:history="1">
        <w:r w:rsidRPr="00296046">
          <w:rPr>
            <w:rStyle w:val="Hyperlink"/>
          </w:rPr>
          <w:t>Appendix</w:t>
        </w:r>
        <w:r w:rsidR="00296046" w:rsidRPr="00296046">
          <w:rPr>
            <w:rStyle w:val="Hyperlink"/>
          </w:rPr>
          <w:t xml:space="preserve"> 1</w:t>
        </w:r>
      </w:hyperlink>
      <w:r w:rsidRPr="002D63E4">
        <w:t>.</w:t>
      </w:r>
    </w:p>
    <w:p w:rsidR="00A671D2" w:rsidRDefault="00012ABC" w:rsidP="000C109B">
      <w:pPr>
        <w:pStyle w:val="BodyText"/>
      </w:pPr>
      <w:r w:rsidRPr="002D63E4">
        <w:t>The QSA’s internal audit plan was informed by its strategic plan, operational plan, and strategic risk assessment.</w:t>
      </w:r>
    </w:p>
    <w:p w:rsidR="00012ABC" w:rsidRPr="003717FB" w:rsidRDefault="00012ABC" w:rsidP="003717FB">
      <w:pPr>
        <w:pStyle w:val="Heading4"/>
      </w:pPr>
      <w:r w:rsidRPr="003717FB">
        <w:t>Delegations</w:t>
      </w:r>
      <w:bookmarkEnd w:id="77"/>
    </w:p>
    <w:p w:rsidR="00012ABC" w:rsidRPr="002D63E4" w:rsidRDefault="00012ABC" w:rsidP="000C109B">
      <w:pPr>
        <w:pStyle w:val="BodyText"/>
      </w:pPr>
      <w:r w:rsidRPr="002D63E4">
        <w:t>During 201</w:t>
      </w:r>
      <w:r>
        <w:t>3</w:t>
      </w:r>
      <w:r w:rsidRPr="002D63E4">
        <w:t>–1</w:t>
      </w:r>
      <w:r>
        <w:t>4</w:t>
      </w:r>
      <w:r w:rsidRPr="002D63E4">
        <w:t xml:space="preserve">, the QSA reviewed and endorsed all financial, procurement, and human resource management activities in accordance with their delegations. These were subject to the </w:t>
      </w:r>
      <w:r w:rsidRPr="005F1162">
        <w:rPr>
          <w:rStyle w:val="Emphasis"/>
        </w:rPr>
        <w:t>Financial Accountability Act 2009</w:t>
      </w:r>
      <w:r w:rsidRPr="002D63E4">
        <w:t xml:space="preserve"> and </w:t>
      </w:r>
      <w:r w:rsidRPr="00B56C26">
        <w:t>Financial and Performance Management Standard 2009</w:t>
      </w:r>
      <w:r w:rsidRPr="002D63E4">
        <w:t>.</w:t>
      </w:r>
    </w:p>
    <w:p w:rsidR="00E64C91" w:rsidRPr="00A671D2" w:rsidRDefault="00E64C91" w:rsidP="00A671D2">
      <w:pPr>
        <w:keepNext/>
        <w:keepLines/>
        <w:spacing w:before="200" w:after="80" w:line="240" w:lineRule="auto"/>
        <w:outlineLvl w:val="3"/>
        <w:rPr>
          <w:rFonts w:ascii="MetaBoldLF-Italic" w:hAnsi="MetaBoldLF-Italic"/>
          <w:sz w:val="24"/>
          <w:szCs w:val="24"/>
        </w:rPr>
      </w:pPr>
      <w:r>
        <w:rPr>
          <w:rFonts w:ascii="MetaBoldLF-Italic" w:hAnsi="MetaBoldLF-Italic"/>
          <w:sz w:val="24"/>
          <w:szCs w:val="24"/>
        </w:rPr>
        <w:t>Information sy</w:t>
      </w:r>
      <w:r w:rsidR="007A40DD">
        <w:rPr>
          <w:rFonts w:ascii="MetaBoldLF-Italic" w:hAnsi="MetaBoldLF-Italic"/>
          <w:sz w:val="24"/>
          <w:szCs w:val="24"/>
        </w:rPr>
        <w:t>s</w:t>
      </w:r>
      <w:r>
        <w:rPr>
          <w:rFonts w:ascii="MetaBoldLF-Italic" w:hAnsi="MetaBoldLF-Italic"/>
          <w:sz w:val="24"/>
          <w:szCs w:val="24"/>
        </w:rPr>
        <w:t>tems and record</w:t>
      </w:r>
      <w:r w:rsidR="00A21957">
        <w:rPr>
          <w:rFonts w:ascii="MetaBoldLF-Italic" w:hAnsi="MetaBoldLF-Italic"/>
          <w:sz w:val="24"/>
          <w:szCs w:val="24"/>
        </w:rPr>
        <w:t xml:space="preserve"> </w:t>
      </w:r>
      <w:r>
        <w:rPr>
          <w:rFonts w:ascii="MetaBoldLF-Italic" w:hAnsi="MetaBoldLF-Italic"/>
          <w:sz w:val="24"/>
          <w:szCs w:val="24"/>
        </w:rPr>
        <w:t>keeping</w:t>
      </w:r>
    </w:p>
    <w:p w:rsidR="00E64C91" w:rsidRPr="002D63E4" w:rsidRDefault="00E64C91" w:rsidP="000C109B">
      <w:pPr>
        <w:pStyle w:val="BodyText"/>
      </w:pPr>
      <w:r>
        <w:t>The Authority had an approved retention and disposal schedule in place for its public records.</w:t>
      </w:r>
    </w:p>
    <w:p w:rsidR="00012ABC" w:rsidRPr="003717FB" w:rsidRDefault="00012ABC" w:rsidP="003717FB">
      <w:pPr>
        <w:pStyle w:val="Heading4"/>
      </w:pPr>
      <w:r w:rsidRPr="003717FB">
        <w:t>Workplace ethics</w:t>
      </w:r>
    </w:p>
    <w:p w:rsidR="00012ABC" w:rsidRPr="002D63E4" w:rsidRDefault="00012ABC" w:rsidP="000C109B">
      <w:pPr>
        <w:pStyle w:val="BodyText"/>
      </w:pPr>
      <w:r w:rsidRPr="002D63E4">
        <w:t xml:space="preserve">The </w:t>
      </w:r>
      <w:r>
        <w:t xml:space="preserve">QSA’s </w:t>
      </w:r>
      <w:r w:rsidRPr="005F1162">
        <w:rPr>
          <w:rStyle w:val="Emphasis"/>
        </w:rPr>
        <w:t>Code of Conduct</w:t>
      </w:r>
      <w:r w:rsidRPr="005F1162">
        <w:rPr>
          <w:iCs/>
        </w:rPr>
        <w:t xml:space="preserve"> </w:t>
      </w:r>
      <w:r>
        <w:rPr>
          <w:iCs/>
        </w:rPr>
        <w:t>was</w:t>
      </w:r>
      <w:r w:rsidRPr="002D63E4">
        <w:t xml:space="preserve"> </w:t>
      </w:r>
      <w:r w:rsidRPr="00DA7DC4">
        <w:t xml:space="preserve">informed by the </w:t>
      </w:r>
      <w:r w:rsidRPr="00DA7DC4">
        <w:rPr>
          <w:rStyle w:val="Emphasis"/>
        </w:rPr>
        <w:t>Public</w:t>
      </w:r>
      <w:r w:rsidR="00370BED">
        <w:rPr>
          <w:rStyle w:val="Emphasis"/>
        </w:rPr>
        <w:t> </w:t>
      </w:r>
      <w:r w:rsidRPr="00DA7DC4">
        <w:rPr>
          <w:rStyle w:val="Emphasis"/>
        </w:rPr>
        <w:t>Sector Ethics Act 2004</w:t>
      </w:r>
      <w:r w:rsidRPr="00DA7DC4">
        <w:t xml:space="preserve"> and </w:t>
      </w:r>
      <w:r w:rsidRPr="002D63E4">
        <w:t>published on the QSA website. All QSA employees undert</w:t>
      </w:r>
      <w:r>
        <w:t>ook</w:t>
      </w:r>
      <w:r w:rsidRPr="002D63E4">
        <w:t xml:space="preserve"> education and tra</w:t>
      </w:r>
      <w:r w:rsidR="006F68B2">
        <w:t>ining about the Code of Conduct</w:t>
      </w:r>
      <w:r w:rsidRPr="002D63E4">
        <w:t xml:space="preserve"> at induction and regularly throughout their employment.</w:t>
      </w:r>
      <w:r w:rsidR="006F68B2">
        <w:t xml:space="preserve"> This included </w:t>
      </w:r>
      <w:r w:rsidR="006F68B2" w:rsidRPr="002D63E4">
        <w:t>the application of ethics principles</w:t>
      </w:r>
      <w:r w:rsidR="006F68B2">
        <w:t>,</w:t>
      </w:r>
      <w:r w:rsidR="006F68B2" w:rsidRPr="002D63E4">
        <w:t xml:space="preserve"> and o</w:t>
      </w:r>
      <w:r w:rsidR="006F68B2">
        <w:t>bligations of public officials.</w:t>
      </w:r>
    </w:p>
    <w:p w:rsidR="00D94A19" w:rsidRPr="002A7569" w:rsidRDefault="00D94A19" w:rsidP="00A62F7E">
      <w:pPr>
        <w:pStyle w:val="Heading3"/>
      </w:pPr>
      <w:bookmarkStart w:id="78" w:name="_Toc300136530"/>
      <w:r w:rsidRPr="002A7569">
        <w:t>Consultation mechanisms</w:t>
      </w:r>
    </w:p>
    <w:p w:rsidR="00D94A19" w:rsidRDefault="00D94A19" w:rsidP="000C109B">
      <w:pPr>
        <w:pStyle w:val="BodyText"/>
      </w:pPr>
      <w:r w:rsidRPr="00531A13">
        <w:t>The QSA work</w:t>
      </w:r>
      <w:r>
        <w:t>ed</w:t>
      </w:r>
      <w:r w:rsidRPr="00531A13">
        <w:t xml:space="preserve"> closely with the education sectors, the teaching profession and the wider community to ensure its work </w:t>
      </w:r>
      <w:r>
        <w:t>was</w:t>
      </w:r>
      <w:r w:rsidRPr="00531A13">
        <w:t xml:space="preserve"> classroom-focused and relevant to all schools.</w:t>
      </w:r>
    </w:p>
    <w:p w:rsidR="00D94A19" w:rsidRDefault="00D94A19" w:rsidP="000C109B">
      <w:pPr>
        <w:pStyle w:val="BodyText"/>
      </w:pPr>
      <w:r w:rsidRPr="002D63E4">
        <w:t>Ten committees provide</w:t>
      </w:r>
      <w:r>
        <w:t>d</w:t>
      </w:r>
      <w:r w:rsidRPr="002D63E4">
        <w:t xml:space="preserve"> advice to the QSA Governing Body to ensure its decision making </w:t>
      </w:r>
      <w:r>
        <w:t>was</w:t>
      </w:r>
      <w:r w:rsidRPr="002D63E4">
        <w:t xml:space="preserve"> well informed. These committees </w:t>
      </w:r>
      <w:r>
        <w:t xml:space="preserve">were </w:t>
      </w:r>
      <w:r w:rsidRPr="002D63E4">
        <w:t>an important part of the consultation framework that assist</w:t>
      </w:r>
      <w:r>
        <w:t>ed</w:t>
      </w:r>
      <w:r w:rsidRPr="002D63E4">
        <w:t xml:space="preserve"> the QSA to develop high quality products and services</w:t>
      </w:r>
      <w:r>
        <w:t>.</w:t>
      </w:r>
    </w:p>
    <w:p w:rsidR="00D94A19" w:rsidRPr="002D63E4" w:rsidRDefault="00D94A19" w:rsidP="000C109B">
      <w:pPr>
        <w:pStyle w:val="BodyText"/>
      </w:pPr>
      <w:r w:rsidRPr="00531A13">
        <w:t>To foster more productive and enduring relationships with principals, the QSA conducted a series of forums in Term 3, 2013 for school leadership team</w:t>
      </w:r>
      <w:r w:rsidR="003B4E6B">
        <w:t xml:space="preserve">s on issues </w:t>
      </w:r>
      <w:r w:rsidR="00340F31">
        <w:t xml:space="preserve">affecting </w:t>
      </w:r>
      <w:r w:rsidRPr="00531A13">
        <w:t xml:space="preserve">secondary schools. The forums commenced with a targeted briefing for principals on the changing education landscape and how it will impact on schools. </w:t>
      </w:r>
      <w:r w:rsidR="003B4E6B">
        <w:t>T</w:t>
      </w:r>
      <w:r w:rsidRPr="00531A13">
        <w:t>hree practical sessions on themes relevant to senior secondary schooling</w:t>
      </w:r>
      <w:r w:rsidR="003B4E6B">
        <w:t xml:space="preserve"> followed</w:t>
      </w:r>
      <w:r w:rsidRPr="00531A13">
        <w:t>, including managing curriculum change and using data to help improve teaching and learning outcomes.</w:t>
      </w:r>
    </w:p>
    <w:p w:rsidR="00723ED2" w:rsidRPr="0049501B" w:rsidRDefault="00723ED2" w:rsidP="00723ED2">
      <w:pPr>
        <w:pStyle w:val="Heading3"/>
      </w:pPr>
      <w:r w:rsidRPr="0049501B">
        <w:lastRenderedPageBreak/>
        <w:t>Information</w:t>
      </w:r>
    </w:p>
    <w:p w:rsidR="00723ED2" w:rsidRDefault="00723ED2" w:rsidP="000C109B">
      <w:pPr>
        <w:pStyle w:val="BodyText"/>
      </w:pPr>
      <w:r w:rsidRPr="002D63E4">
        <w:t>Information provision</w:t>
      </w:r>
      <w:r>
        <w:t xml:space="preserve"> was</w:t>
      </w:r>
      <w:r w:rsidRPr="002D63E4">
        <w:t xml:space="preserve"> undertaken by the QSA in accordance with Sections 13–15 and 17 of the </w:t>
      </w:r>
      <w:r w:rsidRPr="005F1162">
        <w:rPr>
          <w:rStyle w:val="Emphasis"/>
        </w:rPr>
        <w:t>Education (Queensland Studies Authority) Act</w:t>
      </w:r>
      <w:r>
        <w:rPr>
          <w:rStyle w:val="Emphasis"/>
        </w:rPr>
        <w:t xml:space="preserve"> 2002</w:t>
      </w:r>
      <w:r w:rsidRPr="002D63E4">
        <w:t>.</w:t>
      </w:r>
    </w:p>
    <w:p w:rsidR="00723ED2" w:rsidRPr="003717FB" w:rsidRDefault="00F826F5" w:rsidP="00723ED2">
      <w:pPr>
        <w:pStyle w:val="Heading4"/>
      </w:pPr>
      <w:r>
        <w:t>Certified c</w:t>
      </w:r>
      <w:r w:rsidR="00723ED2" w:rsidRPr="003717FB">
        <w:t>opies of certificates</w:t>
      </w:r>
    </w:p>
    <w:p w:rsidR="00723ED2" w:rsidRDefault="00723ED2" w:rsidP="000C109B">
      <w:pPr>
        <w:pStyle w:val="BodyText"/>
      </w:pPr>
      <w:r w:rsidRPr="002D63E4">
        <w:t>As outlined in Part 7 of the Education (Queensland Studies Authority) Regulation 2002, certified copies of certificates issued by the QSA were provided on request to those who had previously been awarded a Junior Certificate, Senior Certificate, Queensland Certificate of Individual Achievement, Queensland Certificate of Education and/or Tertiary Entrance Statement.</w:t>
      </w:r>
    </w:p>
    <w:p w:rsidR="00723ED2" w:rsidRPr="003717FB" w:rsidRDefault="00723ED2" w:rsidP="00723ED2">
      <w:pPr>
        <w:pStyle w:val="Heading4"/>
      </w:pPr>
      <w:r w:rsidRPr="003717FB">
        <w:t>Right to Information</w:t>
      </w:r>
    </w:p>
    <w:p w:rsidR="00723ED2" w:rsidRDefault="00723ED2" w:rsidP="000C109B">
      <w:pPr>
        <w:pStyle w:val="BodyText"/>
      </w:pPr>
      <w:r w:rsidRPr="002D63E4">
        <w:t>The QSA received no applications under the</w:t>
      </w:r>
      <w:r>
        <w:t xml:space="preserve"> </w:t>
      </w:r>
      <w:r w:rsidRPr="000D6636">
        <w:rPr>
          <w:rStyle w:val="Emphasis"/>
        </w:rPr>
        <w:t>Information Privacy Act 2009</w:t>
      </w:r>
      <w:r w:rsidRPr="001D6268">
        <w:t xml:space="preserve"> or the</w:t>
      </w:r>
      <w:r>
        <w:rPr>
          <w:rStyle w:val="Emphasis"/>
        </w:rPr>
        <w:t xml:space="preserve"> </w:t>
      </w:r>
      <w:r w:rsidRPr="0045776C">
        <w:rPr>
          <w:rStyle w:val="Emphasis"/>
        </w:rPr>
        <w:t>Right to Information</w:t>
      </w:r>
      <w:r w:rsidRPr="001D6268">
        <w:t xml:space="preserve"> provisions</w:t>
      </w:r>
      <w:r w:rsidR="00F826F5">
        <w:t xml:space="preserve"> d</w:t>
      </w:r>
      <w:r w:rsidR="00F826F5" w:rsidRPr="002D63E4">
        <w:t>uring 201</w:t>
      </w:r>
      <w:r w:rsidR="00F826F5">
        <w:t>3</w:t>
      </w:r>
      <w:r w:rsidR="00F826F5" w:rsidRPr="002D63E4">
        <w:t>–1</w:t>
      </w:r>
      <w:r w:rsidR="00F826F5">
        <w:t>4</w:t>
      </w:r>
      <w:r w:rsidRPr="002D63E4">
        <w:t>.</w:t>
      </w:r>
    </w:p>
    <w:p w:rsidR="00D94A19" w:rsidRPr="00BB397A" w:rsidRDefault="00D94A19" w:rsidP="00BB397A">
      <w:pPr>
        <w:pStyle w:val="Heading3"/>
      </w:pPr>
      <w:r w:rsidRPr="00BB397A">
        <w:t>Information and communications technology (ICT)</w:t>
      </w:r>
    </w:p>
    <w:p w:rsidR="00D94A19" w:rsidRPr="002D63E4" w:rsidRDefault="00D94A19" w:rsidP="000C109B">
      <w:pPr>
        <w:pStyle w:val="BodyText"/>
      </w:pPr>
      <w:r w:rsidRPr="002D63E4">
        <w:t xml:space="preserve">Efficient ICT systems </w:t>
      </w:r>
      <w:r>
        <w:t>were</w:t>
      </w:r>
      <w:r w:rsidRPr="002D63E4">
        <w:t xml:space="preserve"> essential </w:t>
      </w:r>
      <w:r w:rsidR="00F826F5">
        <w:t>in ensuring</w:t>
      </w:r>
      <w:r w:rsidRPr="002D63E4">
        <w:t xml:space="preserve"> the delivery of the QSA’s strategic initiatives and support</w:t>
      </w:r>
      <w:r w:rsidR="00F826F5">
        <w:t>ing</w:t>
      </w:r>
      <w:r w:rsidRPr="002D63E4">
        <w:t xml:space="preserve"> the delivery of accurate and timely data to schools, teachers, students and other stakeholders, particularly for testing and senior certification programs.</w:t>
      </w:r>
    </w:p>
    <w:p w:rsidR="00D94A19" w:rsidRPr="003717FB" w:rsidRDefault="00D94A19" w:rsidP="003717FB">
      <w:pPr>
        <w:pStyle w:val="Heading4"/>
      </w:pPr>
      <w:r w:rsidRPr="003717FB">
        <w:t>Senior Learning Information Management System (SLIMS)</w:t>
      </w:r>
    </w:p>
    <w:p w:rsidR="00D94A19" w:rsidRPr="002D63E4" w:rsidRDefault="00D94A19" w:rsidP="000C109B">
      <w:pPr>
        <w:pStyle w:val="BodyText"/>
      </w:pPr>
      <w:r>
        <w:t xml:space="preserve">Hardware supporting the SLIMS application, </w:t>
      </w:r>
      <w:r w:rsidRPr="002D63E4">
        <w:t xml:space="preserve">which registers young people working towards the QCE and records information about their enrolments and results, </w:t>
      </w:r>
      <w:r>
        <w:t>was replaced in 2013–14.</w:t>
      </w:r>
    </w:p>
    <w:p w:rsidR="00D94A19" w:rsidRPr="003717FB" w:rsidRDefault="00D94A19" w:rsidP="003717FB">
      <w:pPr>
        <w:pStyle w:val="Heading4"/>
      </w:pPr>
      <w:r w:rsidRPr="003717FB">
        <w:t>Student Data Capture System (SDCS)</w:t>
      </w:r>
    </w:p>
    <w:p w:rsidR="00D94A19" w:rsidRDefault="00D94A19" w:rsidP="000C109B">
      <w:pPr>
        <w:pStyle w:val="BodyText"/>
      </w:pPr>
      <w:r w:rsidRPr="008963E9">
        <w:t xml:space="preserve">Redevelopment of the </w:t>
      </w:r>
      <w:r>
        <w:t xml:space="preserve">SDCS application — </w:t>
      </w:r>
      <w:r w:rsidRPr="008963E9">
        <w:t xml:space="preserve">used by all secondary schools across Queensland </w:t>
      </w:r>
      <w:r>
        <w:t>to capture</w:t>
      </w:r>
      <w:r w:rsidRPr="008963E9">
        <w:t xml:space="preserve"> data on student achievements and results</w:t>
      </w:r>
      <w:r>
        <w:t xml:space="preserve"> — </w:t>
      </w:r>
      <w:r w:rsidRPr="008963E9">
        <w:t>is continuing</w:t>
      </w:r>
      <w:r>
        <w:t xml:space="preserve"> under the QCAA</w:t>
      </w:r>
      <w:r w:rsidRPr="008963E9">
        <w:t xml:space="preserve">. </w:t>
      </w:r>
      <w:r>
        <w:t xml:space="preserve">Implementation of the </w:t>
      </w:r>
      <w:r w:rsidRPr="008963E9">
        <w:t xml:space="preserve">new </w:t>
      </w:r>
      <w:r w:rsidRPr="00687F0A">
        <w:t xml:space="preserve">application, </w:t>
      </w:r>
      <w:proofErr w:type="spellStart"/>
      <w:r w:rsidRPr="00687F0A">
        <w:t>EASeL</w:t>
      </w:r>
      <w:proofErr w:type="spellEnd"/>
      <w:r w:rsidRPr="00687F0A">
        <w:t xml:space="preserve"> (Enrolments</w:t>
      </w:r>
      <w:r w:rsidRPr="00682196">
        <w:t xml:space="preserve"> and Achievements for Senior Learners</w:t>
      </w:r>
      <w:r>
        <w:t>),</w:t>
      </w:r>
      <w:r w:rsidR="00F74F32">
        <w:t xml:space="preserve"> </w:t>
      </w:r>
      <w:r w:rsidRPr="008963E9">
        <w:t>w</w:t>
      </w:r>
      <w:r>
        <w:t xml:space="preserve">ill </w:t>
      </w:r>
      <w:r w:rsidR="00F74F32">
        <w:t xml:space="preserve">roll out over </w:t>
      </w:r>
      <w:r w:rsidRPr="008963E9">
        <w:t>2014</w:t>
      </w:r>
      <w:r w:rsidR="00F74F32">
        <w:t xml:space="preserve"> and</w:t>
      </w:r>
      <w:r w:rsidRPr="008963E9">
        <w:t xml:space="preserve"> 2015</w:t>
      </w:r>
      <w:r>
        <w:t>.</w:t>
      </w:r>
    </w:p>
    <w:p w:rsidR="00D94A19" w:rsidRPr="00BB397A" w:rsidRDefault="00D94A19" w:rsidP="008C6A52">
      <w:pPr>
        <w:pStyle w:val="Heading3"/>
      </w:pPr>
      <w:r w:rsidRPr="00BB397A">
        <w:t>ICT governance</w:t>
      </w:r>
    </w:p>
    <w:p w:rsidR="00D94A19" w:rsidRDefault="00D94A19" w:rsidP="000C109B">
      <w:pPr>
        <w:pStyle w:val="BodyText"/>
      </w:pPr>
      <w:r w:rsidRPr="002D63E4">
        <w:t xml:space="preserve">The QSA’s </w:t>
      </w:r>
      <w:r w:rsidRPr="00A32E71">
        <w:rPr>
          <w:rStyle w:val="Emphasis"/>
        </w:rPr>
        <w:t>ICT Strategic Plan</w:t>
      </w:r>
      <w:r w:rsidRPr="002D63E4">
        <w:t xml:space="preserve"> </w:t>
      </w:r>
      <w:r w:rsidR="00F74F32" w:rsidRPr="002D63E4">
        <w:t>guide</w:t>
      </w:r>
      <w:r w:rsidR="00F74F32">
        <w:t>d</w:t>
      </w:r>
      <w:r w:rsidRPr="002D63E4">
        <w:t xml:space="preserve"> development, investment and maintenance decisions relating to QSA’s ICT systems.</w:t>
      </w:r>
    </w:p>
    <w:p w:rsidR="00D94A19" w:rsidRPr="0049501B" w:rsidRDefault="00D94A19" w:rsidP="00012ABC">
      <w:pPr>
        <w:pStyle w:val="Heading3"/>
      </w:pPr>
      <w:r w:rsidRPr="0049501B">
        <w:lastRenderedPageBreak/>
        <w:t xml:space="preserve">Governance </w:t>
      </w:r>
      <w:r w:rsidR="007A40DD">
        <w:t>activities</w:t>
      </w:r>
    </w:p>
    <w:p w:rsidR="00D94A19" w:rsidRPr="002D63E4" w:rsidRDefault="00D94A19" w:rsidP="000C109B">
      <w:pPr>
        <w:pStyle w:val="BodyText"/>
      </w:pPr>
      <w:r w:rsidRPr="002D63E4">
        <w:t xml:space="preserve">The QSA </w:t>
      </w:r>
      <w:r>
        <w:t>undertook</w:t>
      </w:r>
      <w:r w:rsidRPr="002D63E4">
        <w:t xml:space="preserve"> a range of initiatives aimed at ensuring its sustainability and compliance with legislative requirements. These include</w:t>
      </w:r>
      <w:r>
        <w:t>d</w:t>
      </w:r>
      <w:r w:rsidRPr="002D63E4">
        <w:t>:</w:t>
      </w:r>
    </w:p>
    <w:p w:rsidR="00D94A19" w:rsidRPr="00C70157" w:rsidRDefault="00D94A19" w:rsidP="00012ABC">
      <w:pPr>
        <w:pStyle w:val="ListBullet0"/>
      </w:pPr>
      <w:r w:rsidRPr="00C70157">
        <w:t xml:space="preserve">engaging </w:t>
      </w:r>
      <w:r w:rsidR="00F826F5">
        <w:t>DETE</w:t>
      </w:r>
      <w:r w:rsidRPr="00C70157">
        <w:t xml:space="preserve"> to provide internal audit services (financial compliance and performance audits)</w:t>
      </w:r>
    </w:p>
    <w:p w:rsidR="00D94A19" w:rsidRPr="00C70157" w:rsidRDefault="00D94A19" w:rsidP="00012ABC">
      <w:pPr>
        <w:pStyle w:val="ListBullet0"/>
      </w:pPr>
      <w:r w:rsidRPr="00C70157">
        <w:t>review</w:t>
      </w:r>
      <w:r>
        <w:t>ing</w:t>
      </w:r>
      <w:r w:rsidRPr="00C70157">
        <w:t xml:space="preserve"> the strategic risk assessment and ensuring risk minimisatio</w:t>
      </w:r>
      <w:r w:rsidR="00F826F5">
        <w:t>n or mitigation actions we</w:t>
      </w:r>
      <w:r w:rsidRPr="00C70157">
        <w:t>re in place</w:t>
      </w:r>
    </w:p>
    <w:p w:rsidR="00D94A19" w:rsidRPr="00C70157" w:rsidRDefault="00D94A19" w:rsidP="00012ABC">
      <w:pPr>
        <w:pStyle w:val="ListBullet0"/>
      </w:pPr>
      <w:r w:rsidRPr="00C70157">
        <w:t>developing the 201</w:t>
      </w:r>
      <w:r>
        <w:t>3</w:t>
      </w:r>
      <w:r w:rsidRPr="00C70157">
        <w:t>–1</w:t>
      </w:r>
      <w:r>
        <w:t>4</w:t>
      </w:r>
      <w:r w:rsidRPr="00C70157">
        <w:t xml:space="preserve"> operating and capital budgets to support strategic priorities and accountabilities</w:t>
      </w:r>
    </w:p>
    <w:p w:rsidR="00D94A19" w:rsidRPr="00C70157" w:rsidRDefault="00D94A19" w:rsidP="00012ABC">
      <w:pPr>
        <w:pStyle w:val="ListBullet0"/>
      </w:pPr>
      <w:r w:rsidRPr="00C70157">
        <w:t>improv</w:t>
      </w:r>
      <w:r>
        <w:t>ing</w:t>
      </w:r>
      <w:r w:rsidRPr="00C70157">
        <w:t xml:space="preserve"> internal reporting systems</w:t>
      </w:r>
    </w:p>
    <w:p w:rsidR="00D94A19" w:rsidRPr="00C70157" w:rsidRDefault="00D94A19" w:rsidP="00012ABC">
      <w:pPr>
        <w:pStyle w:val="ListBullet0"/>
      </w:pPr>
      <w:r w:rsidRPr="00C70157">
        <w:t>promot</w:t>
      </w:r>
      <w:r>
        <w:t>ing</w:t>
      </w:r>
      <w:r w:rsidRPr="00C70157">
        <w:t xml:space="preserve"> requirements of the </w:t>
      </w:r>
      <w:r w:rsidRPr="00A32E71">
        <w:rPr>
          <w:rStyle w:val="Emphasis"/>
        </w:rPr>
        <w:t>State Procurement Policy</w:t>
      </w:r>
      <w:r w:rsidRPr="00C70157">
        <w:t xml:space="preserve"> and strengthen</w:t>
      </w:r>
      <w:r w:rsidR="007A40DD">
        <w:t>ing</w:t>
      </w:r>
      <w:r w:rsidRPr="00C70157">
        <w:t xml:space="preserve"> purchasing through targeted training</w:t>
      </w:r>
    </w:p>
    <w:p w:rsidR="00D94A19" w:rsidRDefault="00D94A19" w:rsidP="00012ABC">
      <w:pPr>
        <w:pStyle w:val="ListBullet0"/>
      </w:pPr>
      <w:r w:rsidRPr="00C70157">
        <w:t xml:space="preserve">providing </w:t>
      </w:r>
      <w:r w:rsidR="00F826F5">
        <w:t>on</w:t>
      </w:r>
      <w:r>
        <w:t xml:space="preserve">going </w:t>
      </w:r>
      <w:r w:rsidRPr="00C70157">
        <w:t xml:space="preserve">records management training </w:t>
      </w:r>
      <w:r>
        <w:t>and support to staff</w:t>
      </w:r>
    </w:p>
    <w:p w:rsidR="00D94A19" w:rsidRPr="00C70157" w:rsidRDefault="00D94A19" w:rsidP="00012ABC">
      <w:pPr>
        <w:pStyle w:val="ListBullet0"/>
      </w:pPr>
      <w:r w:rsidRPr="00C70157">
        <w:t>review</w:t>
      </w:r>
      <w:r>
        <w:t>ing</w:t>
      </w:r>
      <w:r w:rsidRPr="00C70157">
        <w:t xml:space="preserve"> business processes to identify opportunities for improvements and innovation</w:t>
      </w:r>
    </w:p>
    <w:p w:rsidR="00D94A19" w:rsidRPr="00C70157" w:rsidRDefault="00D94A19" w:rsidP="00012ABC">
      <w:pPr>
        <w:pStyle w:val="ListBullet0"/>
      </w:pPr>
      <w:proofErr w:type="gramStart"/>
      <w:r w:rsidRPr="00C70157">
        <w:t>monitoring</w:t>
      </w:r>
      <w:proofErr w:type="gramEnd"/>
      <w:r w:rsidRPr="00C70157">
        <w:t xml:space="preserve"> QSA corporate and management performance against branch operational plans and performance accountabilities for managers and branch budgets.</w:t>
      </w:r>
    </w:p>
    <w:p w:rsidR="00D94A19" w:rsidRPr="006F54FD" w:rsidRDefault="00D94A19" w:rsidP="006F54FD">
      <w:pPr>
        <w:pStyle w:val="Heading3"/>
      </w:pPr>
      <w:r w:rsidRPr="006F54FD">
        <w:t>Workforce planning, attraction and retention</w:t>
      </w:r>
      <w:bookmarkEnd w:id="78"/>
    </w:p>
    <w:p w:rsidR="00D94A19" w:rsidRPr="002D63E4" w:rsidRDefault="00D94A19" w:rsidP="000C109B">
      <w:pPr>
        <w:pStyle w:val="BodyText"/>
      </w:pPr>
      <w:bookmarkStart w:id="79" w:name="_Toc300136531"/>
      <w:r w:rsidRPr="002D63E4">
        <w:t>In 201</w:t>
      </w:r>
      <w:r>
        <w:t>3</w:t>
      </w:r>
      <w:r w:rsidRPr="002D63E4">
        <w:t>–1</w:t>
      </w:r>
      <w:r>
        <w:t>4</w:t>
      </w:r>
      <w:r w:rsidRPr="002D63E4">
        <w:t>, the QSA was staffed by 21</w:t>
      </w:r>
      <w:r>
        <w:t>3</w:t>
      </w:r>
      <w:r w:rsidRPr="002D63E4">
        <w:t xml:space="preserve"> full-time equivalent staff. The permanent retention rate during this period was </w:t>
      </w:r>
      <w:r>
        <w:t>90.6%</w:t>
      </w:r>
      <w:r w:rsidRPr="002D63E4">
        <w:t xml:space="preserve"> and the permanent separation rate was </w:t>
      </w:r>
      <w:r>
        <w:t>9.4%</w:t>
      </w:r>
      <w:r w:rsidRPr="002D63E4">
        <w:t>.</w:t>
      </w:r>
    </w:p>
    <w:p w:rsidR="00D94A19" w:rsidRDefault="00D94A19" w:rsidP="000C109B">
      <w:pPr>
        <w:pStyle w:val="BodyText"/>
      </w:pPr>
      <w:bookmarkStart w:id="80" w:name="_Toc300136532"/>
      <w:bookmarkEnd w:id="79"/>
      <w:r>
        <w:t>Initiatives undertaken by QSA to support the attraction, development and retention of high performing staff included:</w:t>
      </w:r>
    </w:p>
    <w:p w:rsidR="00D94A19" w:rsidRDefault="00D94A19" w:rsidP="006F1DB6">
      <w:pPr>
        <w:pStyle w:val="ListBullet0"/>
        <w:rPr>
          <w:rStyle w:val="Emphasis"/>
          <w:i w:val="0"/>
        </w:rPr>
      </w:pPr>
      <w:r>
        <w:rPr>
          <w:rStyle w:val="Emphasis"/>
          <w:i w:val="0"/>
        </w:rPr>
        <w:t>i</w:t>
      </w:r>
      <w:r w:rsidR="00F826F5">
        <w:rPr>
          <w:rStyle w:val="Emphasis"/>
          <w:i w:val="0"/>
        </w:rPr>
        <w:t>mplementation of formal performance and development p</w:t>
      </w:r>
      <w:r w:rsidRPr="006F1DB6">
        <w:rPr>
          <w:rStyle w:val="Emphasis"/>
          <w:i w:val="0"/>
        </w:rPr>
        <w:t>lans for all staff to complement regular feedback provided to staff under QSA’</w:t>
      </w:r>
      <w:r w:rsidR="002F3C99">
        <w:rPr>
          <w:rStyle w:val="Emphasis"/>
          <w:i w:val="0"/>
        </w:rPr>
        <w:t xml:space="preserve">s </w:t>
      </w:r>
      <w:r w:rsidR="002F3C99" w:rsidRPr="002F3C99">
        <w:rPr>
          <w:rStyle w:val="Emphasis"/>
        </w:rPr>
        <w:t>Engaged w</w:t>
      </w:r>
      <w:r w:rsidRPr="002F3C99">
        <w:rPr>
          <w:rStyle w:val="Emphasis"/>
        </w:rPr>
        <w:t>orkplaces</w:t>
      </w:r>
      <w:r>
        <w:rPr>
          <w:rStyle w:val="Emphasis"/>
          <w:i w:val="0"/>
        </w:rPr>
        <w:t xml:space="preserve"> initiative</w:t>
      </w:r>
    </w:p>
    <w:p w:rsidR="00D94A19" w:rsidRDefault="00D94A19" w:rsidP="006F1DB6">
      <w:pPr>
        <w:pStyle w:val="ListBullet0"/>
        <w:rPr>
          <w:rStyle w:val="Emphasis"/>
          <w:i w:val="0"/>
        </w:rPr>
      </w:pPr>
      <w:r>
        <w:rPr>
          <w:rStyle w:val="Emphasis"/>
          <w:i w:val="0"/>
        </w:rPr>
        <w:t>r</w:t>
      </w:r>
      <w:r w:rsidRPr="006F1DB6">
        <w:rPr>
          <w:rStyle w:val="Emphasis"/>
          <w:i w:val="0"/>
        </w:rPr>
        <w:t>ecruitment practices where</w:t>
      </w:r>
      <w:r w:rsidR="00F826F5">
        <w:rPr>
          <w:rStyle w:val="Emphasis"/>
          <w:i w:val="0"/>
        </w:rPr>
        <w:t>by</w:t>
      </w:r>
      <w:r w:rsidRPr="006F1DB6">
        <w:rPr>
          <w:rStyle w:val="Emphasis"/>
          <w:i w:val="0"/>
        </w:rPr>
        <w:t xml:space="preserve"> QSA vacancies </w:t>
      </w:r>
      <w:r w:rsidR="00F826F5">
        <w:rPr>
          <w:rStyle w:val="Emphasis"/>
          <w:i w:val="0"/>
        </w:rPr>
        <w:t>we</w:t>
      </w:r>
      <w:r w:rsidRPr="006F1DB6">
        <w:rPr>
          <w:rStyle w:val="Emphasis"/>
          <w:i w:val="0"/>
        </w:rPr>
        <w:t xml:space="preserve">re widely advertised </w:t>
      </w:r>
      <w:r w:rsidR="00F826F5">
        <w:rPr>
          <w:rStyle w:val="Emphasis"/>
          <w:i w:val="0"/>
        </w:rPr>
        <w:t>to</w:t>
      </w:r>
      <w:r w:rsidRPr="006F1DB6">
        <w:rPr>
          <w:rStyle w:val="Emphasis"/>
          <w:i w:val="0"/>
        </w:rPr>
        <w:t xml:space="preserve"> maximise the potential to att</w:t>
      </w:r>
      <w:r>
        <w:rPr>
          <w:rStyle w:val="Emphasis"/>
          <w:i w:val="0"/>
        </w:rPr>
        <w:t>ract quality applicant pools</w:t>
      </w:r>
    </w:p>
    <w:p w:rsidR="00D94A19" w:rsidRPr="006F1DB6" w:rsidRDefault="00D94A19" w:rsidP="006F1DB6">
      <w:pPr>
        <w:pStyle w:val="ListBullet0"/>
        <w:rPr>
          <w:rStyle w:val="Emphasis"/>
          <w:i w:val="0"/>
        </w:rPr>
      </w:pPr>
      <w:r>
        <w:rPr>
          <w:rStyle w:val="Emphasis"/>
          <w:i w:val="0"/>
        </w:rPr>
        <w:t>c</w:t>
      </w:r>
      <w:r w:rsidRPr="006F1DB6">
        <w:rPr>
          <w:rStyle w:val="Emphasis"/>
          <w:i w:val="0"/>
        </w:rPr>
        <w:t>ontinued im</w:t>
      </w:r>
      <w:r w:rsidR="00F826F5">
        <w:rPr>
          <w:rStyle w:val="Emphasis"/>
          <w:i w:val="0"/>
        </w:rPr>
        <w:t xml:space="preserve">plementation of QSA’s </w:t>
      </w:r>
      <w:r w:rsidR="00F826F5" w:rsidRPr="00F826F5">
        <w:rPr>
          <w:rStyle w:val="Emphasis"/>
        </w:rPr>
        <w:t>Flexible w</w:t>
      </w:r>
      <w:r w:rsidRPr="00F826F5">
        <w:rPr>
          <w:rStyle w:val="Emphasis"/>
        </w:rPr>
        <w:t>orkplaces</w:t>
      </w:r>
      <w:r w:rsidRPr="006F1DB6">
        <w:rPr>
          <w:rStyle w:val="Emphasis"/>
          <w:i w:val="0"/>
        </w:rPr>
        <w:t xml:space="preserve"> policy to provide staff with access to work</w:t>
      </w:r>
      <w:r>
        <w:rPr>
          <w:rStyle w:val="Emphasis"/>
          <w:i w:val="0"/>
        </w:rPr>
        <w:t>–life balance initiatives</w:t>
      </w:r>
    </w:p>
    <w:p w:rsidR="00723ED2" w:rsidRDefault="00D94A19" w:rsidP="00723ED2">
      <w:pPr>
        <w:pStyle w:val="ListBullet0"/>
      </w:pPr>
      <w:proofErr w:type="gramStart"/>
      <w:r w:rsidRPr="00723ED2">
        <w:rPr>
          <w:rStyle w:val="Emphasis"/>
          <w:i w:val="0"/>
        </w:rPr>
        <w:t>providing</w:t>
      </w:r>
      <w:proofErr w:type="gramEnd"/>
      <w:r w:rsidRPr="00723ED2">
        <w:rPr>
          <w:rStyle w:val="Emphasis"/>
          <w:i w:val="0"/>
        </w:rPr>
        <w:t xml:space="preserve"> targeted professional development opportunities where appropriate.</w:t>
      </w:r>
    </w:p>
    <w:p w:rsidR="00723ED2" w:rsidRDefault="00723ED2" w:rsidP="00723ED2">
      <w:pPr>
        <w:pStyle w:val="ListBullet0"/>
        <w:sectPr w:rsidR="00723ED2" w:rsidSect="00C602B1">
          <w:type w:val="continuous"/>
          <w:pgSz w:w="11907" w:h="16840" w:code="9"/>
          <w:pgMar w:top="1134" w:right="1191" w:bottom="1418" w:left="1191" w:header="567" w:footer="680" w:gutter="0"/>
          <w:cols w:num="2" w:space="567"/>
          <w:formProt w:val="0"/>
          <w:noEndnote/>
          <w:docGrid w:linePitch="299"/>
        </w:sectPr>
      </w:pPr>
      <w:bookmarkStart w:id="81" w:name="_Toc365984775"/>
    </w:p>
    <w:p w:rsidR="00D9696D" w:rsidRDefault="00D9696D" w:rsidP="00723ED2">
      <w:pPr>
        <w:pStyle w:val="Heading1"/>
        <w:spacing w:before="0"/>
      </w:pPr>
      <w:bookmarkStart w:id="82" w:name="_Ref363040595"/>
      <w:bookmarkStart w:id="83" w:name="_Toc397589536"/>
      <w:bookmarkEnd w:id="75"/>
      <w:bookmarkEnd w:id="76"/>
      <w:bookmarkEnd w:id="80"/>
      <w:r w:rsidRPr="00E54CE5">
        <w:lastRenderedPageBreak/>
        <w:t>Financial</w:t>
      </w:r>
      <w:r>
        <w:t xml:space="preserve"> report 201</w:t>
      </w:r>
      <w:r w:rsidR="0048158C">
        <w:t>3</w:t>
      </w:r>
      <w:r>
        <w:t>–1</w:t>
      </w:r>
      <w:r w:rsidR="0048158C">
        <w:t>4</w:t>
      </w:r>
      <w:bookmarkEnd w:id="81"/>
      <w:bookmarkEnd w:id="82"/>
      <w:bookmarkEnd w:id="83"/>
    </w:p>
    <w:p w:rsidR="0049501B" w:rsidRDefault="00D9696D" w:rsidP="005B5580">
      <w:pPr>
        <w:pStyle w:val="TOCHeading"/>
        <w:outlineLvl w:val="9"/>
      </w:pPr>
      <w:r w:rsidRPr="00E54CE5">
        <w:t>Contents</w:t>
      </w:r>
    </w:p>
    <w:bookmarkStart w:id="84" w:name="_Toc274045256"/>
    <w:bookmarkStart w:id="85" w:name="_Toc300136542"/>
    <w:bookmarkStart w:id="86" w:name="_Toc362947465"/>
    <w:p w:rsidR="00C41AFC" w:rsidRDefault="00CA2CF2">
      <w:pPr>
        <w:pStyle w:val="TOC2"/>
        <w:rPr>
          <w:rFonts w:asciiTheme="minorHAnsi" w:eastAsiaTheme="minorEastAsia" w:hAnsiTheme="minorHAnsi" w:cstheme="minorBidi"/>
          <w:color w:val="auto"/>
          <w:sz w:val="22"/>
          <w:szCs w:val="22"/>
          <w:lang w:eastAsia="en-AU"/>
        </w:rPr>
      </w:pPr>
      <w:r>
        <w:rPr>
          <w:rFonts w:ascii="MetaBookLF-Roman" w:hAnsi="MetaBookLF-Roman"/>
          <w:b/>
        </w:rPr>
        <w:fldChar w:fldCharType="begin"/>
      </w:r>
      <w:r>
        <w:rPr>
          <w:rFonts w:ascii="MetaBookLF-Roman" w:hAnsi="MetaBookLF-Roman"/>
          <w:b/>
        </w:rPr>
        <w:instrText xml:space="preserve"> TOC \f \h \z \t "Heading 2 Financials,2" </w:instrText>
      </w:r>
      <w:r>
        <w:rPr>
          <w:rFonts w:ascii="MetaBookLF-Roman" w:hAnsi="MetaBookLF-Roman"/>
          <w:b/>
        </w:rPr>
        <w:fldChar w:fldCharType="separate"/>
      </w:r>
      <w:hyperlink w:anchor="_Toc397589551" w:history="1">
        <w:r w:rsidR="00C41AFC" w:rsidRPr="007F7752">
          <w:rPr>
            <w:rStyle w:val="Hyperlink"/>
          </w:rPr>
          <w:t>Statement of comprehensive income</w:t>
        </w:r>
        <w:r w:rsidR="00C41AFC">
          <w:rPr>
            <w:webHidden/>
          </w:rPr>
          <w:tab/>
        </w:r>
        <w:r w:rsidR="00C41AFC">
          <w:rPr>
            <w:webHidden/>
          </w:rPr>
          <w:fldChar w:fldCharType="begin"/>
        </w:r>
        <w:r w:rsidR="00C41AFC">
          <w:rPr>
            <w:webHidden/>
          </w:rPr>
          <w:instrText xml:space="preserve"> PAGEREF _Toc397589551 \h </w:instrText>
        </w:r>
        <w:r w:rsidR="00C41AFC">
          <w:rPr>
            <w:webHidden/>
          </w:rPr>
        </w:r>
        <w:r w:rsidR="00C41AFC">
          <w:rPr>
            <w:webHidden/>
          </w:rPr>
          <w:fldChar w:fldCharType="separate"/>
        </w:r>
        <w:r w:rsidR="00C41AFC">
          <w:rPr>
            <w:webHidden/>
          </w:rPr>
          <w:t>20</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52" w:history="1">
        <w:r w:rsidR="00C41AFC" w:rsidRPr="007F7752">
          <w:rPr>
            <w:rStyle w:val="Hyperlink"/>
          </w:rPr>
          <w:t>Statement of financial position</w:t>
        </w:r>
        <w:r w:rsidR="00C41AFC">
          <w:rPr>
            <w:webHidden/>
          </w:rPr>
          <w:tab/>
        </w:r>
        <w:r w:rsidR="00C41AFC">
          <w:rPr>
            <w:webHidden/>
          </w:rPr>
          <w:fldChar w:fldCharType="begin"/>
        </w:r>
        <w:r w:rsidR="00C41AFC">
          <w:rPr>
            <w:webHidden/>
          </w:rPr>
          <w:instrText xml:space="preserve"> PAGEREF _Toc397589552 \h </w:instrText>
        </w:r>
        <w:r w:rsidR="00C41AFC">
          <w:rPr>
            <w:webHidden/>
          </w:rPr>
        </w:r>
        <w:r w:rsidR="00C41AFC">
          <w:rPr>
            <w:webHidden/>
          </w:rPr>
          <w:fldChar w:fldCharType="separate"/>
        </w:r>
        <w:r w:rsidR="00C41AFC">
          <w:rPr>
            <w:webHidden/>
          </w:rPr>
          <w:t>21</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53" w:history="1">
        <w:r w:rsidR="00C41AFC" w:rsidRPr="007F7752">
          <w:rPr>
            <w:rStyle w:val="Hyperlink"/>
          </w:rPr>
          <w:t>Statement of changes in equity</w:t>
        </w:r>
        <w:r w:rsidR="00C41AFC">
          <w:rPr>
            <w:webHidden/>
          </w:rPr>
          <w:tab/>
        </w:r>
        <w:r w:rsidR="00C41AFC">
          <w:rPr>
            <w:webHidden/>
          </w:rPr>
          <w:fldChar w:fldCharType="begin"/>
        </w:r>
        <w:r w:rsidR="00C41AFC">
          <w:rPr>
            <w:webHidden/>
          </w:rPr>
          <w:instrText xml:space="preserve"> PAGEREF _Toc397589553 \h </w:instrText>
        </w:r>
        <w:r w:rsidR="00C41AFC">
          <w:rPr>
            <w:webHidden/>
          </w:rPr>
        </w:r>
        <w:r w:rsidR="00C41AFC">
          <w:rPr>
            <w:webHidden/>
          </w:rPr>
          <w:fldChar w:fldCharType="separate"/>
        </w:r>
        <w:r w:rsidR="00C41AFC">
          <w:rPr>
            <w:webHidden/>
          </w:rPr>
          <w:t>22</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54" w:history="1">
        <w:r w:rsidR="00C41AFC" w:rsidRPr="007F7752">
          <w:rPr>
            <w:rStyle w:val="Hyperlink"/>
          </w:rPr>
          <w:t>Statement of cash flows</w:t>
        </w:r>
        <w:r w:rsidR="00C41AFC">
          <w:rPr>
            <w:webHidden/>
          </w:rPr>
          <w:tab/>
        </w:r>
        <w:r w:rsidR="00C41AFC">
          <w:rPr>
            <w:webHidden/>
          </w:rPr>
          <w:fldChar w:fldCharType="begin"/>
        </w:r>
        <w:r w:rsidR="00C41AFC">
          <w:rPr>
            <w:webHidden/>
          </w:rPr>
          <w:instrText xml:space="preserve"> PAGEREF _Toc397589554 \h </w:instrText>
        </w:r>
        <w:r w:rsidR="00C41AFC">
          <w:rPr>
            <w:webHidden/>
          </w:rPr>
        </w:r>
        <w:r w:rsidR="00C41AFC">
          <w:rPr>
            <w:webHidden/>
          </w:rPr>
          <w:fldChar w:fldCharType="separate"/>
        </w:r>
        <w:r w:rsidR="00C41AFC">
          <w:rPr>
            <w:webHidden/>
          </w:rPr>
          <w:t>23</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55" w:history="1">
        <w:r w:rsidR="00C41AFC" w:rsidRPr="007F7752">
          <w:rPr>
            <w:rStyle w:val="Hyperlink"/>
          </w:rPr>
          <w:t>Notes to and forming part of the financial statements</w:t>
        </w:r>
        <w:r w:rsidR="00C41AFC">
          <w:rPr>
            <w:webHidden/>
          </w:rPr>
          <w:tab/>
        </w:r>
        <w:r w:rsidR="00C41AFC">
          <w:rPr>
            <w:webHidden/>
          </w:rPr>
          <w:fldChar w:fldCharType="begin"/>
        </w:r>
        <w:r w:rsidR="00C41AFC">
          <w:rPr>
            <w:webHidden/>
          </w:rPr>
          <w:instrText xml:space="preserve"> PAGEREF _Toc397589555 \h </w:instrText>
        </w:r>
        <w:r w:rsidR="00C41AFC">
          <w:rPr>
            <w:webHidden/>
          </w:rPr>
        </w:r>
        <w:r w:rsidR="00C41AFC">
          <w:rPr>
            <w:webHidden/>
          </w:rPr>
          <w:fldChar w:fldCharType="separate"/>
        </w:r>
        <w:r w:rsidR="00C41AFC">
          <w:rPr>
            <w:webHidden/>
          </w:rPr>
          <w:t>24</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56" w:history="1">
        <w:r w:rsidR="00C41AFC" w:rsidRPr="007F7752">
          <w:rPr>
            <w:rStyle w:val="Hyperlink"/>
          </w:rPr>
          <w:t>Certificate of the Queensland Studies Authority</w:t>
        </w:r>
        <w:r w:rsidR="00C41AFC">
          <w:rPr>
            <w:webHidden/>
          </w:rPr>
          <w:tab/>
        </w:r>
        <w:r w:rsidR="00C41AFC">
          <w:rPr>
            <w:webHidden/>
          </w:rPr>
          <w:fldChar w:fldCharType="begin"/>
        </w:r>
        <w:r w:rsidR="00C41AFC">
          <w:rPr>
            <w:webHidden/>
          </w:rPr>
          <w:instrText xml:space="preserve"> PAGEREF _Toc397589556 \h </w:instrText>
        </w:r>
        <w:r w:rsidR="00C41AFC">
          <w:rPr>
            <w:webHidden/>
          </w:rPr>
        </w:r>
        <w:r w:rsidR="00C41AFC">
          <w:rPr>
            <w:webHidden/>
          </w:rPr>
          <w:fldChar w:fldCharType="separate"/>
        </w:r>
        <w:r w:rsidR="00C41AFC">
          <w:rPr>
            <w:webHidden/>
          </w:rPr>
          <w:t>45</w:t>
        </w:r>
        <w:r w:rsidR="00C41AFC">
          <w:rPr>
            <w:webHidden/>
          </w:rPr>
          <w:fldChar w:fldCharType="end"/>
        </w:r>
      </w:hyperlink>
    </w:p>
    <w:p w:rsidR="00C41AFC" w:rsidRDefault="00297BD5">
      <w:pPr>
        <w:pStyle w:val="TOC2"/>
        <w:rPr>
          <w:rFonts w:asciiTheme="minorHAnsi" w:eastAsiaTheme="minorEastAsia" w:hAnsiTheme="minorHAnsi" w:cstheme="minorBidi"/>
          <w:color w:val="auto"/>
          <w:sz w:val="22"/>
          <w:szCs w:val="22"/>
          <w:lang w:eastAsia="en-AU"/>
        </w:rPr>
      </w:pPr>
      <w:hyperlink w:anchor="_Toc397589557" w:history="1">
        <w:r w:rsidR="00C41AFC" w:rsidRPr="007F7752">
          <w:rPr>
            <w:rStyle w:val="Hyperlink"/>
          </w:rPr>
          <w:t>Independent auditor’s report</w:t>
        </w:r>
        <w:r w:rsidR="00C41AFC">
          <w:rPr>
            <w:webHidden/>
          </w:rPr>
          <w:tab/>
        </w:r>
        <w:r w:rsidR="00C41AFC">
          <w:rPr>
            <w:webHidden/>
          </w:rPr>
          <w:fldChar w:fldCharType="begin"/>
        </w:r>
        <w:r w:rsidR="00C41AFC">
          <w:rPr>
            <w:webHidden/>
          </w:rPr>
          <w:instrText xml:space="preserve"> PAGEREF _Toc397589557 \h </w:instrText>
        </w:r>
        <w:r w:rsidR="00C41AFC">
          <w:rPr>
            <w:webHidden/>
          </w:rPr>
        </w:r>
        <w:r w:rsidR="00C41AFC">
          <w:rPr>
            <w:webHidden/>
          </w:rPr>
          <w:fldChar w:fldCharType="separate"/>
        </w:r>
        <w:r w:rsidR="00C41AFC">
          <w:rPr>
            <w:webHidden/>
          </w:rPr>
          <w:t>46</w:t>
        </w:r>
        <w:r w:rsidR="00C41AFC">
          <w:rPr>
            <w:webHidden/>
          </w:rPr>
          <w:fldChar w:fldCharType="end"/>
        </w:r>
      </w:hyperlink>
    </w:p>
    <w:p w:rsidR="00E54CE5" w:rsidRDefault="00CA2CF2" w:rsidP="00736D81">
      <w:pPr>
        <w:pStyle w:val="TOCentry"/>
        <w:spacing w:before="840"/>
      </w:pPr>
      <w:r>
        <w:rPr>
          <w:rFonts w:ascii="MetaBookLF-Roman" w:eastAsia="Times New Roman" w:hAnsi="MetaBookLF-Roman"/>
          <w:b/>
          <w:noProof/>
          <w:color w:val="000000" w:themeColor="text1"/>
          <w:sz w:val="20"/>
          <w:szCs w:val="24"/>
          <w:lang w:eastAsia="en-US"/>
        </w:rPr>
        <w:fldChar w:fldCharType="end"/>
      </w:r>
    </w:p>
    <w:tbl>
      <w:tblPr>
        <w:tblStyle w:val="TableGrid"/>
        <w:tblW w:w="4457" w:type="pct"/>
        <w:tblInd w:w="568"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CellMar>
          <w:right w:w="28" w:type="dxa"/>
        </w:tblCellMar>
        <w:tblLook w:val="0600" w:firstRow="0" w:lastRow="0" w:firstColumn="0" w:lastColumn="0" w:noHBand="1" w:noVBand="1"/>
      </w:tblPr>
      <w:tblGrid>
        <w:gridCol w:w="8612"/>
      </w:tblGrid>
      <w:tr w:rsidR="00E54CE5" w:rsidTr="002F3C99">
        <w:tc>
          <w:tcPr>
            <w:tcW w:w="8612" w:type="dxa"/>
            <w:shd w:val="clear" w:color="auto" w:fill="F2F2F2" w:themeFill="background2"/>
          </w:tcPr>
          <w:p w:rsidR="00E54CE5" w:rsidRPr="003F084A" w:rsidRDefault="00E54CE5" w:rsidP="00E54CE5">
            <w:pPr>
              <w:pStyle w:val="Heading5nonavigation"/>
            </w:pPr>
            <w:bookmarkStart w:id="87" w:name="_Toc365984783"/>
            <w:r w:rsidRPr="003F084A">
              <w:t>General information</w:t>
            </w:r>
          </w:p>
          <w:p w:rsidR="0001550C" w:rsidRPr="002D63E4" w:rsidRDefault="00E54CE5" w:rsidP="0001550C">
            <w:pPr>
              <w:pStyle w:val="BodyText"/>
            </w:pPr>
            <w:r w:rsidRPr="002F3C99">
              <w:t>This financial report covers the Queensland Studies Authority</w:t>
            </w:r>
            <w:r w:rsidR="0001550C" w:rsidRPr="002F3C99">
              <w:t xml:space="preserve"> (QSA), </w:t>
            </w:r>
            <w:r w:rsidRPr="002F3C99">
              <w:t xml:space="preserve">a statutory body established under the </w:t>
            </w:r>
            <w:r w:rsidRPr="002F3C99">
              <w:rPr>
                <w:rStyle w:val="Emphasis"/>
              </w:rPr>
              <w:t>Education (Queensland Studies Authority) Act 2002</w:t>
            </w:r>
            <w:r w:rsidR="002F3C99" w:rsidRPr="002F3C99">
              <w:t xml:space="preserve"> and </w:t>
            </w:r>
            <w:r w:rsidR="0001550C" w:rsidRPr="002F3C99">
              <w:t>controlled by the State of Queensland, its ultimate parent.</w:t>
            </w:r>
            <w:r w:rsidR="002F3C99">
              <w:t xml:space="preserve"> </w:t>
            </w:r>
            <w:r w:rsidR="0001550C">
              <w:t xml:space="preserve">The QSA was replaced by the </w:t>
            </w:r>
            <w:r w:rsidR="0001550C" w:rsidRPr="002E4F3C">
              <w:t>Queensland Curriculum and Assessment Authority (QCAA)</w:t>
            </w:r>
            <w:r w:rsidR="0001550C">
              <w:t xml:space="preserve"> from 1 July 2014.</w:t>
            </w:r>
          </w:p>
          <w:p w:rsidR="00E54CE5" w:rsidRDefault="00E54CE5" w:rsidP="00E54CE5">
            <w:pPr>
              <w:pStyle w:val="BodyText"/>
            </w:pPr>
            <w:r w:rsidRPr="001D6268">
              <w:t xml:space="preserve">The </w:t>
            </w:r>
            <w:r>
              <w:t xml:space="preserve">head office and </w:t>
            </w:r>
            <w:r w:rsidRPr="001D6268">
              <w:t xml:space="preserve">principal place of business </w:t>
            </w:r>
            <w:r>
              <w:t xml:space="preserve">of the Authority </w:t>
            </w:r>
            <w:r w:rsidR="0001550C">
              <w:t>wa</w:t>
            </w:r>
            <w:r w:rsidRPr="001D6268">
              <w:t>s:</w:t>
            </w:r>
          </w:p>
          <w:p w:rsidR="00E54CE5" w:rsidRPr="001D6268" w:rsidRDefault="00026433" w:rsidP="00E54CE5">
            <w:pPr>
              <w:pStyle w:val="BodyText"/>
              <w:spacing w:before="40"/>
              <w:ind w:left="284"/>
            </w:pPr>
            <w:r>
              <w:t xml:space="preserve">Level 7, </w:t>
            </w:r>
            <w:r w:rsidR="00E54CE5" w:rsidRPr="001D6268">
              <w:t>154 Melbourne Street</w:t>
            </w:r>
            <w:r w:rsidR="00E54CE5" w:rsidRPr="001D6268">
              <w:br/>
              <w:t>South Brisbane QLD 4101</w:t>
            </w:r>
          </w:p>
          <w:p w:rsidR="00E54CE5" w:rsidRPr="001D6268" w:rsidRDefault="00E54CE5" w:rsidP="00E54CE5">
            <w:pPr>
              <w:pStyle w:val="BodyText"/>
            </w:pPr>
            <w:r w:rsidRPr="001D6268">
              <w:t xml:space="preserve">A description of the nature of the </w:t>
            </w:r>
            <w:r>
              <w:t>Authority</w:t>
            </w:r>
            <w:r w:rsidRPr="001D6268">
              <w:t>’s operations and its principal activities is included in the notes to the financial statements.</w:t>
            </w:r>
          </w:p>
          <w:p w:rsidR="00E54CE5" w:rsidRPr="001D6268" w:rsidRDefault="00E54CE5" w:rsidP="00E54CE5">
            <w:pPr>
              <w:pStyle w:val="BodyText"/>
            </w:pPr>
            <w:r w:rsidRPr="001D6268">
              <w:t>For information in relation to the A</w:t>
            </w:r>
            <w:r>
              <w:t>uthority</w:t>
            </w:r>
            <w:r w:rsidRPr="001D6268">
              <w:t>’s financial report, please call (07) 3864 0222, email </w:t>
            </w:r>
            <w:hyperlink r:id="rId36" w:history="1">
              <w:r w:rsidRPr="009C63A4">
                <w:rPr>
                  <w:rStyle w:val="Hyperlink"/>
                </w:rPr>
                <w:t>finance@qcaa.qld.edu.au</w:t>
              </w:r>
            </w:hyperlink>
            <w:r w:rsidRPr="001D6268">
              <w:t xml:space="preserve"> or visit the </w:t>
            </w:r>
            <w:r w:rsidR="00E460C2">
              <w:t xml:space="preserve">QCAA </w:t>
            </w:r>
            <w:r w:rsidRPr="001D6268">
              <w:t>website</w:t>
            </w:r>
            <w:r w:rsidR="00975686">
              <w:t xml:space="preserve">: </w:t>
            </w:r>
            <w:hyperlink r:id="rId37" w:history="1">
              <w:r w:rsidRPr="009C63A4">
                <w:rPr>
                  <w:rStyle w:val="Hyperlink"/>
                </w:rPr>
                <w:t>www.qcaa.qld.edu.au</w:t>
              </w:r>
            </w:hyperlink>
            <w:r w:rsidRPr="001D6268">
              <w:t>.</w:t>
            </w:r>
          </w:p>
          <w:p w:rsidR="00E54CE5" w:rsidRPr="002D63E4" w:rsidRDefault="00E54CE5" w:rsidP="00E54CE5">
            <w:pPr>
              <w:pStyle w:val="BodyText"/>
            </w:pPr>
            <w:r w:rsidRPr="001D6268">
              <w:t>Amounts shown in this financial report may not add to the correct subtotals or totals due to rounding.</w:t>
            </w:r>
          </w:p>
        </w:tc>
      </w:tr>
    </w:tbl>
    <w:p w:rsidR="00D26D38" w:rsidRDefault="00D26D38">
      <w:pPr>
        <w:sectPr w:rsidR="00D26D38" w:rsidSect="00C602B1">
          <w:footerReference w:type="even" r:id="rId38"/>
          <w:footerReference w:type="default" r:id="rId39"/>
          <w:type w:val="continuous"/>
          <w:pgSz w:w="11907" w:h="16840" w:code="9"/>
          <w:pgMar w:top="1134" w:right="1191" w:bottom="1418" w:left="1191" w:header="567" w:footer="680" w:gutter="0"/>
          <w:cols w:space="720"/>
          <w:formProt w:val="0"/>
          <w:noEndnote/>
          <w:docGrid w:linePitch="299"/>
        </w:sectPr>
      </w:pPr>
    </w:p>
    <w:p w:rsidR="00CA2CF2" w:rsidRDefault="00CA2CF2" w:rsidP="00797E13">
      <w:pPr>
        <w:pStyle w:val="Heading2Financials"/>
      </w:pPr>
      <w:bookmarkStart w:id="88" w:name="_Toc397589537"/>
      <w:bookmarkStart w:id="89" w:name="_Toc397589551"/>
      <w:r w:rsidRPr="002D3E40">
        <w:lastRenderedPageBreak/>
        <w:t>Statement of comprehensive income</w:t>
      </w:r>
      <w:bookmarkEnd w:id="88"/>
      <w:bookmarkEnd w:id="89"/>
    </w:p>
    <w:p w:rsidR="00797E13" w:rsidRDefault="00797E13" w:rsidP="009D2836">
      <w:pPr>
        <w:pStyle w:val="Heading2Financialfollower"/>
      </w:pPr>
      <w:proofErr w:type="gramStart"/>
      <w:r w:rsidRPr="00803EDB">
        <w:t>for</w:t>
      </w:r>
      <w:proofErr w:type="gramEnd"/>
      <w:r w:rsidRPr="00803EDB">
        <w:t xml:space="preserve"> the year ended </w:t>
      </w:r>
      <w:r w:rsidRPr="009D2836">
        <w:t>30</w:t>
      </w:r>
      <w:r w:rsidRPr="00803EDB">
        <w:t xml:space="preserve"> June 2014</w:t>
      </w:r>
    </w:p>
    <w:tbl>
      <w:tblPr>
        <w:tblW w:w="4900" w:type="pct"/>
        <w:tblInd w:w="93" w:type="dxa"/>
        <w:tblLook w:val="04A0" w:firstRow="1" w:lastRow="0" w:firstColumn="1" w:lastColumn="0" w:noHBand="0" w:noVBand="1"/>
      </w:tblPr>
      <w:tblGrid>
        <w:gridCol w:w="435"/>
        <w:gridCol w:w="5345"/>
        <w:gridCol w:w="842"/>
        <w:gridCol w:w="1462"/>
        <w:gridCol w:w="1462"/>
      </w:tblGrid>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color w:val="000000"/>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2014</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2013</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b/>
                <w:bCs/>
                <w:color w:val="000000"/>
                <w:sz w:val="20"/>
                <w:szCs w:val="20"/>
              </w:rPr>
            </w:pPr>
            <w:r w:rsidRPr="00857B96">
              <w:rPr>
                <w:rFonts w:ascii="Arial" w:hAnsi="Arial" w:cs="Arial"/>
                <w:b/>
                <w:bCs/>
                <w:color w:val="000000"/>
                <w:sz w:val="20"/>
                <w:szCs w:val="20"/>
              </w:rPr>
              <w:t>Notes</w:t>
            </w: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$'000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$'000 </w:t>
            </w:r>
          </w:p>
        </w:tc>
      </w:tr>
      <w:tr w:rsidR="00857B96" w:rsidRPr="00857B96" w:rsidTr="00B56C26">
        <w:trPr>
          <w:trHeight w:val="360"/>
        </w:trPr>
        <w:tc>
          <w:tcPr>
            <w:tcW w:w="5780" w:type="dxa"/>
            <w:gridSpan w:val="2"/>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color w:val="000000"/>
                <w:sz w:val="20"/>
                <w:szCs w:val="20"/>
              </w:rPr>
            </w:pPr>
            <w:r w:rsidRPr="00857B96">
              <w:rPr>
                <w:rFonts w:ascii="Arial" w:hAnsi="Arial" w:cs="Arial"/>
                <w:b/>
                <w:bCs/>
                <w:color w:val="000000"/>
                <w:sz w:val="20"/>
                <w:szCs w:val="20"/>
              </w:rPr>
              <w:t>Income from Continuing Operations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color w:val="000000"/>
                <w:sz w:val="20"/>
                <w:szCs w:val="20"/>
              </w:rPr>
            </w:pPr>
            <w:r w:rsidRPr="00857B96">
              <w:rPr>
                <w:rFonts w:ascii="Arial" w:hAnsi="Arial" w:cs="Arial"/>
                <w:color w:val="000000"/>
                <w:sz w:val="20"/>
                <w:szCs w:val="20"/>
              </w:rPr>
              <w:t>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color w:val="000000"/>
                <w:sz w:val="20"/>
                <w:szCs w:val="20"/>
              </w:rPr>
            </w:pPr>
            <w:r w:rsidRPr="00857B96">
              <w:rPr>
                <w:rFonts w:ascii="Arial" w:hAnsi="Arial" w:cs="Arial"/>
                <w:color w:val="000000"/>
                <w:sz w:val="20"/>
                <w:szCs w:val="20"/>
              </w:rPr>
              <w:t>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color w:val="000000"/>
                <w:sz w:val="20"/>
                <w:szCs w:val="20"/>
              </w:rPr>
            </w:pPr>
            <w:r w:rsidRPr="00857B96">
              <w:rPr>
                <w:rFonts w:ascii="Arial" w:hAnsi="Arial" w:cs="Arial"/>
                <w:b/>
                <w:bCs/>
                <w:color w:val="000000"/>
                <w:sz w:val="20"/>
                <w:szCs w:val="20"/>
              </w:rPr>
              <w:t>Revenue</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color w:val="000000"/>
                <w:sz w:val="20"/>
                <w:szCs w:val="20"/>
              </w:rPr>
            </w:pPr>
            <w:r w:rsidRPr="00857B96">
              <w:rPr>
                <w:rFonts w:ascii="Arial" w:hAnsi="Arial" w:cs="Arial"/>
                <w:color w:val="000000"/>
                <w:sz w:val="20"/>
                <w:szCs w:val="20"/>
              </w:rPr>
              <w:t>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r w:rsidRPr="00857B96">
              <w:rPr>
                <w:rFonts w:ascii="Arial" w:hAnsi="Arial" w:cs="Arial"/>
                <w:color w:val="000000"/>
                <w:sz w:val="20"/>
                <w:szCs w:val="20"/>
              </w:rPr>
              <w:t>User charges and fees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r w:rsidRPr="00857B96">
              <w:rPr>
                <w:rFonts w:ascii="Arial" w:hAnsi="Arial" w:cs="Arial"/>
                <w:i/>
                <w:iCs/>
                <w:color w:val="000000"/>
                <w:sz w:val="20"/>
                <w:szCs w:val="20"/>
              </w:rPr>
              <w:t>3</w:t>
            </w:r>
          </w:p>
        </w:tc>
        <w:tc>
          <w:tcPr>
            <w:tcW w:w="1462" w:type="dxa"/>
            <w:tcBorders>
              <w:top w:val="nil"/>
              <w:left w:val="nil"/>
              <w:bottom w:val="nil"/>
              <w:right w:val="nil"/>
            </w:tcBorders>
            <w:shd w:val="clear" w:color="000000" w:fill="D9D9D9"/>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1,904 </w:t>
            </w:r>
          </w:p>
        </w:tc>
        <w:tc>
          <w:tcPr>
            <w:tcW w:w="1462" w:type="dxa"/>
            <w:tcBorders>
              <w:top w:val="nil"/>
              <w:left w:val="nil"/>
              <w:bottom w:val="nil"/>
              <w:right w:val="nil"/>
            </w:tcBorders>
            <w:shd w:val="clear" w:color="auto" w:fill="auto"/>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2,196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r w:rsidRPr="00857B96">
              <w:rPr>
                <w:rFonts w:ascii="Arial" w:hAnsi="Arial" w:cs="Arial"/>
                <w:color w:val="000000"/>
                <w:sz w:val="20"/>
                <w:szCs w:val="20"/>
              </w:rPr>
              <w:t>Grants and other contributions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r w:rsidRPr="00857B96">
              <w:rPr>
                <w:rFonts w:ascii="Arial" w:hAnsi="Arial" w:cs="Arial"/>
                <w:i/>
                <w:iCs/>
                <w:color w:val="000000"/>
                <w:sz w:val="20"/>
                <w:szCs w:val="20"/>
              </w:rPr>
              <w:t>4</w:t>
            </w:r>
          </w:p>
        </w:tc>
        <w:tc>
          <w:tcPr>
            <w:tcW w:w="1462" w:type="dxa"/>
            <w:tcBorders>
              <w:top w:val="nil"/>
              <w:left w:val="nil"/>
              <w:bottom w:val="nil"/>
              <w:right w:val="nil"/>
            </w:tcBorders>
            <w:shd w:val="clear" w:color="000000" w:fill="D9D9D9"/>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37,233 </w:t>
            </w:r>
          </w:p>
        </w:tc>
        <w:tc>
          <w:tcPr>
            <w:tcW w:w="1462" w:type="dxa"/>
            <w:tcBorders>
              <w:top w:val="nil"/>
              <w:left w:val="nil"/>
              <w:bottom w:val="nil"/>
              <w:right w:val="nil"/>
            </w:tcBorders>
            <w:shd w:val="clear" w:color="auto" w:fill="auto"/>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38,527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r w:rsidRPr="00857B96">
              <w:rPr>
                <w:rFonts w:ascii="Arial" w:hAnsi="Arial" w:cs="Arial"/>
                <w:color w:val="000000"/>
                <w:sz w:val="20"/>
                <w:szCs w:val="20"/>
              </w:rPr>
              <w:t>Interest</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371 </w:t>
            </w:r>
          </w:p>
        </w:tc>
        <w:tc>
          <w:tcPr>
            <w:tcW w:w="1462" w:type="dxa"/>
            <w:tcBorders>
              <w:top w:val="nil"/>
              <w:left w:val="nil"/>
              <w:bottom w:val="nil"/>
              <w:right w:val="nil"/>
            </w:tcBorders>
            <w:shd w:val="clear" w:color="auto" w:fill="auto"/>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561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r w:rsidRPr="00857B96">
              <w:rPr>
                <w:rFonts w:ascii="Arial" w:hAnsi="Arial" w:cs="Arial"/>
                <w:color w:val="000000"/>
                <w:sz w:val="20"/>
                <w:szCs w:val="20"/>
              </w:rPr>
              <w:t>Other revenues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color w:val="000000"/>
                <w:sz w:val="20"/>
                <w:szCs w:val="20"/>
              </w:rPr>
            </w:pPr>
            <w:r w:rsidRPr="00857B96">
              <w:rPr>
                <w:rFonts w:ascii="Arial" w:hAnsi="Arial" w:cs="Arial"/>
                <w:color w:val="000000"/>
                <w:sz w:val="20"/>
                <w:szCs w:val="20"/>
              </w:rPr>
              <w:t xml:space="preserve">2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r w:rsidRPr="00857B96">
              <w:rPr>
                <w:rFonts w:ascii="Arial" w:hAnsi="Arial" w:cs="Arial"/>
                <w:color w:val="000000"/>
                <w:sz w:val="20"/>
                <w:szCs w:val="20"/>
              </w:rPr>
              <w:t xml:space="preserve">3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color w:val="000000"/>
                <w:sz w:val="20"/>
                <w:szCs w:val="20"/>
              </w:rPr>
            </w:pPr>
            <w:r w:rsidRPr="00857B96">
              <w:rPr>
                <w:rFonts w:ascii="Arial" w:hAnsi="Arial" w:cs="Arial"/>
                <w:b/>
                <w:bCs/>
                <w:color w:val="000000"/>
                <w:sz w:val="20"/>
                <w:szCs w:val="20"/>
              </w:rPr>
              <w:t>Total Revenue</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single" w:sz="4" w:space="0" w:color="auto"/>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39,510 </w:t>
            </w:r>
          </w:p>
        </w:tc>
        <w:tc>
          <w:tcPr>
            <w:tcW w:w="1462" w:type="dxa"/>
            <w:tcBorders>
              <w:top w:val="single" w:sz="4" w:space="0" w:color="auto"/>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41,287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nil"/>
              <w:left w:val="nil"/>
              <w:bottom w:val="nil"/>
              <w:right w:val="nil"/>
            </w:tcBorders>
            <w:shd w:val="clear" w:color="000000" w:fill="D9D9D9"/>
            <w:noWrap/>
            <w:vAlign w:val="bottom"/>
            <w:hideMark/>
          </w:tcPr>
          <w:p w:rsidR="00857B96" w:rsidRPr="00370BED" w:rsidRDefault="00857B96" w:rsidP="00370BED">
            <w:pPr>
              <w:rPr>
                <w:rFonts w:ascii="Arial" w:hAnsi="Arial" w:cs="Arial"/>
                <w:bCs/>
                <w:color w:val="000000"/>
                <w:sz w:val="20"/>
                <w:szCs w:val="20"/>
              </w:rPr>
            </w:pPr>
            <w:r w:rsidRPr="00370BED">
              <w:rPr>
                <w:rFonts w:ascii="Arial" w:hAnsi="Arial" w:cs="Arial"/>
                <w:bCs/>
                <w:color w:val="000000"/>
                <w:sz w:val="20"/>
                <w:szCs w:val="20"/>
              </w:rPr>
              <w:t>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p>
        </w:tc>
      </w:tr>
      <w:tr w:rsidR="00857B96" w:rsidRPr="00857B96" w:rsidTr="00B56C26">
        <w:trPr>
          <w:trHeight w:val="360"/>
        </w:trPr>
        <w:tc>
          <w:tcPr>
            <w:tcW w:w="5780" w:type="dxa"/>
            <w:gridSpan w:val="2"/>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color w:val="000000"/>
                <w:sz w:val="20"/>
                <w:szCs w:val="20"/>
              </w:rPr>
            </w:pPr>
            <w:r w:rsidRPr="00857B96">
              <w:rPr>
                <w:rFonts w:ascii="Arial" w:hAnsi="Arial" w:cs="Arial"/>
                <w:b/>
                <w:bCs/>
                <w:color w:val="000000"/>
                <w:sz w:val="20"/>
                <w:szCs w:val="20"/>
              </w:rPr>
              <w:t>Total Income from Continuing Operations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single" w:sz="4" w:space="0" w:color="auto"/>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39,510 </w:t>
            </w:r>
          </w:p>
        </w:tc>
        <w:tc>
          <w:tcPr>
            <w:tcW w:w="1462" w:type="dxa"/>
            <w:tcBorders>
              <w:top w:val="single" w:sz="4" w:space="0" w:color="auto"/>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41,287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color w:val="000000"/>
                <w:sz w:val="20"/>
                <w:szCs w:val="20"/>
              </w:rPr>
            </w:pP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color w:val="000000"/>
                <w:sz w:val="20"/>
                <w:szCs w:val="20"/>
              </w:rPr>
            </w:pPr>
            <w:r w:rsidRPr="00857B96">
              <w:rPr>
                <w:rFonts w:ascii="Arial" w:hAnsi="Arial" w:cs="Arial"/>
                <w:color w:val="000000"/>
                <w:sz w:val="20"/>
                <w:szCs w:val="20"/>
              </w:rPr>
              <w:t>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p>
        </w:tc>
      </w:tr>
      <w:tr w:rsidR="00857B96" w:rsidRPr="00857B96" w:rsidTr="00B56C26">
        <w:trPr>
          <w:trHeight w:val="360"/>
        </w:trPr>
        <w:tc>
          <w:tcPr>
            <w:tcW w:w="5780" w:type="dxa"/>
            <w:gridSpan w:val="2"/>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color w:val="000000"/>
                <w:sz w:val="20"/>
                <w:szCs w:val="20"/>
              </w:rPr>
            </w:pPr>
            <w:r w:rsidRPr="00857B96">
              <w:rPr>
                <w:rFonts w:ascii="Arial" w:hAnsi="Arial" w:cs="Arial"/>
                <w:b/>
                <w:bCs/>
                <w:color w:val="000000"/>
                <w:sz w:val="20"/>
                <w:szCs w:val="20"/>
              </w:rPr>
              <w:t>Expenses from Continuing Operations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color w:val="000000"/>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color w:val="000000"/>
                <w:sz w:val="20"/>
                <w:szCs w:val="20"/>
              </w:rPr>
            </w:pPr>
            <w:r w:rsidRPr="00857B96">
              <w:rPr>
                <w:rFonts w:ascii="Arial" w:hAnsi="Arial" w:cs="Arial"/>
                <w:color w:val="000000"/>
                <w:sz w:val="20"/>
                <w:szCs w:val="20"/>
              </w:rPr>
              <w:t>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r w:rsidRPr="00857B96">
              <w:rPr>
                <w:rFonts w:ascii="Arial" w:hAnsi="Arial" w:cs="Arial"/>
                <w:sz w:val="20"/>
                <w:szCs w:val="20"/>
              </w:rPr>
              <w:t>Employee expenses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r w:rsidRPr="00857B96">
              <w:rPr>
                <w:rFonts w:ascii="Arial" w:hAnsi="Arial" w:cs="Arial"/>
                <w:i/>
                <w:iCs/>
                <w:sz w:val="20"/>
                <w:szCs w:val="20"/>
              </w:rPr>
              <w:t>5</w:t>
            </w:r>
          </w:p>
        </w:tc>
        <w:tc>
          <w:tcPr>
            <w:tcW w:w="1462" w:type="dxa"/>
            <w:tcBorders>
              <w:top w:val="nil"/>
              <w:left w:val="nil"/>
              <w:bottom w:val="nil"/>
              <w:right w:val="nil"/>
            </w:tcBorders>
            <w:shd w:val="clear" w:color="000000" w:fill="D9D9D9"/>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25,982 </w:t>
            </w:r>
          </w:p>
        </w:tc>
        <w:tc>
          <w:tcPr>
            <w:tcW w:w="1462" w:type="dxa"/>
            <w:tcBorders>
              <w:top w:val="nil"/>
              <w:left w:val="nil"/>
              <w:bottom w:val="nil"/>
              <w:right w:val="nil"/>
            </w:tcBorders>
            <w:shd w:val="clear" w:color="auto" w:fill="auto"/>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26,906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r w:rsidRPr="00857B96">
              <w:rPr>
                <w:rFonts w:ascii="Arial" w:hAnsi="Arial" w:cs="Arial"/>
                <w:sz w:val="20"/>
                <w:szCs w:val="20"/>
              </w:rPr>
              <w:t>Supplies and services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r w:rsidRPr="00857B96">
              <w:rPr>
                <w:rFonts w:ascii="Arial" w:hAnsi="Arial" w:cs="Arial"/>
                <w:i/>
                <w:iCs/>
                <w:sz w:val="20"/>
                <w:szCs w:val="20"/>
              </w:rPr>
              <w:t>7</w:t>
            </w: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sz w:val="20"/>
                <w:szCs w:val="20"/>
              </w:rPr>
            </w:pPr>
            <w:r w:rsidRPr="00857B96">
              <w:rPr>
                <w:rFonts w:ascii="Arial" w:hAnsi="Arial" w:cs="Arial"/>
                <w:sz w:val="20"/>
                <w:szCs w:val="20"/>
              </w:rPr>
              <w:t xml:space="preserve">12,086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r w:rsidRPr="00857B96">
              <w:rPr>
                <w:rFonts w:ascii="Arial" w:hAnsi="Arial" w:cs="Arial"/>
                <w:color w:val="000000"/>
                <w:sz w:val="20"/>
                <w:szCs w:val="20"/>
              </w:rPr>
              <w:t xml:space="preserve">11,693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r w:rsidRPr="00857B96">
              <w:rPr>
                <w:rFonts w:ascii="Arial" w:hAnsi="Arial" w:cs="Arial"/>
                <w:sz w:val="20"/>
                <w:szCs w:val="20"/>
              </w:rPr>
              <w:t>Grants and subsidies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6 </w:t>
            </w:r>
          </w:p>
        </w:tc>
        <w:tc>
          <w:tcPr>
            <w:tcW w:w="1462" w:type="dxa"/>
            <w:tcBorders>
              <w:top w:val="nil"/>
              <w:left w:val="nil"/>
              <w:bottom w:val="nil"/>
              <w:right w:val="nil"/>
            </w:tcBorders>
            <w:shd w:val="clear" w:color="auto" w:fill="auto"/>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26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r w:rsidRPr="00857B96">
              <w:rPr>
                <w:rFonts w:ascii="Arial" w:hAnsi="Arial" w:cs="Arial"/>
                <w:sz w:val="20"/>
                <w:szCs w:val="20"/>
              </w:rPr>
              <w:t>Depreciation and amortisation</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r w:rsidRPr="00857B96">
              <w:rPr>
                <w:rFonts w:ascii="Arial" w:hAnsi="Arial" w:cs="Arial"/>
                <w:i/>
                <w:iCs/>
                <w:sz w:val="20"/>
                <w:szCs w:val="20"/>
              </w:rPr>
              <w:t>8</w:t>
            </w:r>
          </w:p>
        </w:tc>
        <w:tc>
          <w:tcPr>
            <w:tcW w:w="1462" w:type="dxa"/>
            <w:tcBorders>
              <w:top w:val="nil"/>
              <w:left w:val="nil"/>
              <w:bottom w:val="nil"/>
              <w:right w:val="nil"/>
            </w:tcBorders>
            <w:shd w:val="clear" w:color="000000" w:fill="D9D9D9"/>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1,289 </w:t>
            </w:r>
          </w:p>
        </w:tc>
        <w:tc>
          <w:tcPr>
            <w:tcW w:w="1462" w:type="dxa"/>
            <w:tcBorders>
              <w:top w:val="nil"/>
              <w:left w:val="nil"/>
              <w:bottom w:val="nil"/>
              <w:right w:val="nil"/>
            </w:tcBorders>
            <w:shd w:val="clear" w:color="auto" w:fill="auto"/>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1,478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r w:rsidRPr="00857B96">
              <w:rPr>
                <w:rFonts w:ascii="Arial" w:hAnsi="Arial" w:cs="Arial"/>
                <w:sz w:val="20"/>
                <w:szCs w:val="20"/>
              </w:rPr>
              <w:t>Impairment losses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r w:rsidRPr="00857B96">
              <w:rPr>
                <w:rFonts w:ascii="Arial" w:hAnsi="Arial" w:cs="Arial"/>
                <w:i/>
                <w:iCs/>
                <w:sz w:val="20"/>
                <w:szCs w:val="20"/>
              </w:rPr>
              <w:t>9</w:t>
            </w:r>
          </w:p>
        </w:tc>
        <w:tc>
          <w:tcPr>
            <w:tcW w:w="1462" w:type="dxa"/>
            <w:tcBorders>
              <w:top w:val="nil"/>
              <w:left w:val="nil"/>
              <w:bottom w:val="nil"/>
              <w:right w:val="nil"/>
            </w:tcBorders>
            <w:shd w:val="clear" w:color="000000" w:fill="D9D9D9"/>
            <w:noWrap/>
            <w:vAlign w:val="bottom"/>
            <w:hideMark/>
          </w:tcPr>
          <w:p w:rsidR="00857B96" w:rsidRPr="00857B96" w:rsidRDefault="002C5C3C"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 </w:t>
            </w:r>
          </w:p>
        </w:tc>
        <w:tc>
          <w:tcPr>
            <w:tcW w:w="1462" w:type="dxa"/>
            <w:tcBorders>
              <w:top w:val="nil"/>
              <w:left w:val="nil"/>
              <w:bottom w:val="nil"/>
              <w:right w:val="nil"/>
            </w:tcBorders>
            <w:shd w:val="clear" w:color="auto" w:fill="auto"/>
            <w:noWrap/>
            <w:vAlign w:val="bottom"/>
            <w:hideMark/>
          </w:tcPr>
          <w:p w:rsidR="00857B96" w:rsidRPr="00857B96" w:rsidRDefault="00E92853"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857B96" w:rsidRPr="00857B96">
              <w:rPr>
                <w:rFonts w:ascii="Arial" w:hAnsi="Arial" w:cs="Arial"/>
                <w:color w:val="000000"/>
                <w:sz w:val="20"/>
                <w:szCs w:val="20"/>
              </w:rPr>
              <w:t xml:space="preserve">800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r w:rsidRPr="00857B96">
              <w:rPr>
                <w:rFonts w:ascii="Arial" w:hAnsi="Arial" w:cs="Arial"/>
                <w:sz w:val="20"/>
                <w:szCs w:val="20"/>
              </w:rPr>
              <w:t>Other expenses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r w:rsidRPr="00857B96">
              <w:rPr>
                <w:rFonts w:ascii="Arial" w:hAnsi="Arial" w:cs="Arial"/>
                <w:i/>
                <w:iCs/>
                <w:sz w:val="20"/>
                <w:szCs w:val="20"/>
              </w:rPr>
              <w:t>10</w:t>
            </w: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sz w:val="20"/>
                <w:szCs w:val="20"/>
              </w:rPr>
            </w:pPr>
            <w:r w:rsidRPr="00857B96">
              <w:rPr>
                <w:rFonts w:ascii="Arial" w:hAnsi="Arial" w:cs="Arial"/>
                <w:sz w:val="20"/>
                <w:szCs w:val="20"/>
              </w:rPr>
              <w:t xml:space="preserve">118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r w:rsidRPr="00857B96">
              <w:rPr>
                <w:rFonts w:ascii="Arial" w:hAnsi="Arial" w:cs="Arial"/>
                <w:color w:val="000000"/>
                <w:sz w:val="20"/>
                <w:szCs w:val="20"/>
              </w:rPr>
              <w:t xml:space="preserve">111 </w:t>
            </w:r>
          </w:p>
        </w:tc>
      </w:tr>
      <w:tr w:rsidR="00857B96" w:rsidRPr="00857B96" w:rsidTr="00B56C26">
        <w:trPr>
          <w:trHeight w:val="360"/>
        </w:trPr>
        <w:tc>
          <w:tcPr>
            <w:tcW w:w="5780" w:type="dxa"/>
            <w:gridSpan w:val="2"/>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sz w:val="20"/>
                <w:szCs w:val="20"/>
              </w:rPr>
            </w:pPr>
            <w:r w:rsidRPr="00857B96">
              <w:rPr>
                <w:rFonts w:ascii="Arial" w:hAnsi="Arial" w:cs="Arial"/>
                <w:b/>
                <w:bCs/>
                <w:sz w:val="20"/>
                <w:szCs w:val="20"/>
              </w:rPr>
              <w:t>Total Expenses from Continuing Operations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p>
        </w:tc>
        <w:tc>
          <w:tcPr>
            <w:tcW w:w="1462" w:type="dxa"/>
            <w:tcBorders>
              <w:top w:val="single" w:sz="4" w:space="0" w:color="auto"/>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39,481 </w:t>
            </w:r>
          </w:p>
        </w:tc>
        <w:tc>
          <w:tcPr>
            <w:tcW w:w="1462" w:type="dxa"/>
            <w:tcBorders>
              <w:top w:val="single" w:sz="4" w:space="0" w:color="auto"/>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41,014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sz w:val="20"/>
                <w:szCs w:val="20"/>
              </w:rPr>
            </w:pPr>
            <w:r w:rsidRPr="00857B96">
              <w:rPr>
                <w:rFonts w:ascii="Arial" w:hAnsi="Arial" w:cs="Arial"/>
                <w:sz w:val="20"/>
                <w:szCs w:val="20"/>
              </w:rPr>
              <w:t>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p>
        </w:tc>
      </w:tr>
      <w:tr w:rsidR="00857B96" w:rsidRPr="00857B96" w:rsidTr="00B56C26">
        <w:trPr>
          <w:trHeight w:val="360"/>
        </w:trPr>
        <w:tc>
          <w:tcPr>
            <w:tcW w:w="5780" w:type="dxa"/>
            <w:gridSpan w:val="2"/>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sz w:val="20"/>
                <w:szCs w:val="20"/>
              </w:rPr>
            </w:pPr>
            <w:r w:rsidRPr="00857B96">
              <w:rPr>
                <w:rFonts w:ascii="Arial" w:hAnsi="Arial" w:cs="Arial"/>
                <w:b/>
                <w:bCs/>
                <w:sz w:val="20"/>
                <w:szCs w:val="20"/>
              </w:rPr>
              <w:t>Operating Result from Continuing Operations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p>
        </w:tc>
        <w:tc>
          <w:tcPr>
            <w:tcW w:w="1462" w:type="dxa"/>
            <w:tcBorders>
              <w:top w:val="single" w:sz="4" w:space="0" w:color="auto"/>
              <w:left w:val="nil"/>
              <w:bottom w:val="double" w:sz="6" w:space="0" w:color="auto"/>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29 </w:t>
            </w:r>
          </w:p>
        </w:tc>
        <w:tc>
          <w:tcPr>
            <w:tcW w:w="1462" w:type="dxa"/>
            <w:tcBorders>
              <w:top w:val="single" w:sz="4" w:space="0" w:color="auto"/>
              <w:left w:val="nil"/>
              <w:bottom w:val="double" w:sz="6" w:space="0" w:color="auto"/>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273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sz w:val="20"/>
                <w:szCs w:val="20"/>
              </w:rPr>
            </w:pPr>
            <w:r w:rsidRPr="00857B96">
              <w:rPr>
                <w:rFonts w:ascii="Arial" w:hAnsi="Arial" w:cs="Arial"/>
                <w:sz w:val="20"/>
                <w:szCs w:val="20"/>
              </w:rPr>
              <w:t>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p>
        </w:tc>
      </w:tr>
      <w:tr w:rsidR="00857B96" w:rsidRPr="00857B96" w:rsidTr="00B56C26">
        <w:trPr>
          <w:trHeight w:val="360"/>
        </w:trPr>
        <w:tc>
          <w:tcPr>
            <w:tcW w:w="5780" w:type="dxa"/>
            <w:gridSpan w:val="2"/>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sz w:val="20"/>
                <w:szCs w:val="20"/>
              </w:rPr>
            </w:pPr>
            <w:r w:rsidRPr="00857B96">
              <w:rPr>
                <w:rFonts w:ascii="Arial" w:hAnsi="Arial" w:cs="Arial"/>
                <w:b/>
                <w:bCs/>
                <w:sz w:val="20"/>
                <w:szCs w:val="20"/>
              </w:rPr>
              <w:t>Other Comprehensive Income</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i/>
                <w:iCs/>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2C5C3C" w:rsidP="00857B96">
            <w:pPr>
              <w:spacing w:before="0" w:line="240" w:lineRule="auto"/>
              <w:jc w:val="right"/>
              <w:rPr>
                <w:rFonts w:ascii="Arial" w:hAnsi="Arial" w:cs="Arial"/>
                <w:sz w:val="20"/>
                <w:szCs w:val="20"/>
              </w:rPr>
            </w:pPr>
            <w:r>
              <w:rPr>
                <w:rFonts w:ascii="Arial" w:hAnsi="Arial" w:cs="Arial"/>
                <w:sz w:val="20"/>
                <w:szCs w:val="20"/>
              </w:rPr>
              <w:t xml:space="preserve"> – </w:t>
            </w:r>
          </w:p>
        </w:tc>
        <w:tc>
          <w:tcPr>
            <w:tcW w:w="1462" w:type="dxa"/>
            <w:tcBorders>
              <w:top w:val="nil"/>
              <w:left w:val="nil"/>
              <w:bottom w:val="nil"/>
              <w:right w:val="nil"/>
            </w:tcBorders>
            <w:shd w:val="clear" w:color="auto" w:fill="auto"/>
            <w:noWrap/>
            <w:vAlign w:val="bottom"/>
            <w:hideMark/>
          </w:tcPr>
          <w:p w:rsidR="00857B96" w:rsidRPr="00857B96" w:rsidRDefault="002C5C3C" w:rsidP="00857B96">
            <w:pPr>
              <w:spacing w:before="0" w:line="240" w:lineRule="auto"/>
              <w:jc w:val="right"/>
              <w:rPr>
                <w:rFonts w:ascii="Arial" w:hAnsi="Arial" w:cs="Arial"/>
                <w:color w:val="000000"/>
                <w:sz w:val="20"/>
                <w:szCs w:val="20"/>
              </w:rPr>
            </w:pPr>
            <w:r>
              <w:rPr>
                <w:rFonts w:ascii="Arial" w:hAnsi="Arial" w:cs="Arial"/>
                <w:color w:val="000000"/>
                <w:sz w:val="20"/>
                <w:szCs w:val="20"/>
              </w:rPr>
              <w:t xml:space="preserve"> –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sz w:val="20"/>
                <w:szCs w:val="20"/>
              </w:rPr>
            </w:pPr>
          </w:p>
        </w:tc>
        <w:tc>
          <w:tcPr>
            <w:tcW w:w="1462" w:type="dxa"/>
            <w:tcBorders>
              <w:top w:val="nil"/>
              <w:left w:val="nil"/>
              <w:bottom w:val="nil"/>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sz w:val="20"/>
                <w:szCs w:val="20"/>
              </w:rPr>
            </w:pPr>
            <w:r w:rsidRPr="00857B96">
              <w:rPr>
                <w:rFonts w:ascii="Arial" w:hAnsi="Arial" w:cs="Arial"/>
                <w:sz w:val="20"/>
                <w:szCs w:val="20"/>
              </w:rPr>
              <w:t> </w:t>
            </w: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p>
        </w:tc>
      </w:tr>
      <w:tr w:rsidR="00857B96" w:rsidRPr="00857B96" w:rsidTr="00B56C26">
        <w:trPr>
          <w:trHeight w:val="360"/>
        </w:trPr>
        <w:tc>
          <w:tcPr>
            <w:tcW w:w="5780" w:type="dxa"/>
            <w:gridSpan w:val="2"/>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sz w:val="20"/>
                <w:szCs w:val="20"/>
              </w:rPr>
            </w:pPr>
            <w:r w:rsidRPr="00857B96">
              <w:rPr>
                <w:rFonts w:ascii="Arial" w:hAnsi="Arial" w:cs="Arial"/>
                <w:b/>
                <w:bCs/>
                <w:sz w:val="20"/>
                <w:szCs w:val="20"/>
              </w:rPr>
              <w:t>Total Comprehensive Income</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sz w:val="20"/>
                <w:szCs w:val="20"/>
              </w:rPr>
            </w:pPr>
          </w:p>
        </w:tc>
        <w:tc>
          <w:tcPr>
            <w:tcW w:w="1462" w:type="dxa"/>
            <w:tcBorders>
              <w:top w:val="single" w:sz="4" w:space="0" w:color="auto"/>
              <w:left w:val="nil"/>
              <w:bottom w:val="double" w:sz="6" w:space="0" w:color="auto"/>
              <w:right w:val="nil"/>
            </w:tcBorders>
            <w:shd w:val="clear" w:color="000000" w:fill="D9D9D9"/>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29 </w:t>
            </w:r>
          </w:p>
        </w:tc>
        <w:tc>
          <w:tcPr>
            <w:tcW w:w="1462" w:type="dxa"/>
            <w:tcBorders>
              <w:top w:val="single" w:sz="4" w:space="0" w:color="auto"/>
              <w:left w:val="nil"/>
              <w:bottom w:val="double" w:sz="6" w:space="0" w:color="auto"/>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r w:rsidRPr="00857B96">
              <w:rPr>
                <w:rFonts w:ascii="Arial" w:hAnsi="Arial" w:cs="Arial"/>
                <w:b/>
                <w:bCs/>
                <w:color w:val="000000"/>
                <w:sz w:val="20"/>
                <w:szCs w:val="20"/>
              </w:rPr>
              <w:t xml:space="preserve">273 </w:t>
            </w:r>
          </w:p>
        </w:tc>
      </w:tr>
      <w:tr w:rsidR="00857B96" w:rsidRPr="00857B96" w:rsidTr="00B56C26">
        <w:trPr>
          <w:trHeight w:val="360"/>
        </w:trPr>
        <w:tc>
          <w:tcPr>
            <w:tcW w:w="43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b/>
                <w:bCs/>
                <w:sz w:val="20"/>
                <w:szCs w:val="20"/>
              </w:rPr>
            </w:pPr>
          </w:p>
        </w:tc>
        <w:tc>
          <w:tcPr>
            <w:tcW w:w="5345"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rPr>
                <w:rFonts w:ascii="Arial" w:hAnsi="Arial" w:cs="Arial"/>
                <w:sz w:val="20"/>
                <w:szCs w:val="20"/>
              </w:rPr>
            </w:pP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sz w:val="20"/>
                <w:szCs w:val="20"/>
              </w:rPr>
            </w:pP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b/>
                <w:bCs/>
                <w:color w:val="000000"/>
                <w:sz w:val="20"/>
                <w:szCs w:val="20"/>
              </w:rPr>
            </w:pPr>
          </w:p>
        </w:tc>
      </w:tr>
      <w:tr w:rsidR="00857B96" w:rsidRPr="00857B96" w:rsidTr="00B56C26">
        <w:trPr>
          <w:trHeight w:val="360"/>
        </w:trPr>
        <w:tc>
          <w:tcPr>
            <w:tcW w:w="5780" w:type="dxa"/>
            <w:gridSpan w:val="2"/>
            <w:tcBorders>
              <w:top w:val="nil"/>
              <w:left w:val="nil"/>
              <w:bottom w:val="nil"/>
              <w:right w:val="nil"/>
            </w:tcBorders>
            <w:shd w:val="clear" w:color="auto" w:fill="auto"/>
            <w:noWrap/>
            <w:vAlign w:val="bottom"/>
            <w:hideMark/>
          </w:tcPr>
          <w:p w:rsidR="00857B96" w:rsidRPr="00857B96" w:rsidRDefault="00857B96" w:rsidP="00B56C26">
            <w:pPr>
              <w:spacing w:before="0" w:after="40" w:line="240" w:lineRule="auto"/>
              <w:rPr>
                <w:rFonts w:ascii="Arial" w:hAnsi="Arial" w:cs="Arial"/>
                <w:i/>
                <w:iCs/>
                <w:sz w:val="20"/>
                <w:szCs w:val="20"/>
              </w:rPr>
            </w:pPr>
            <w:r w:rsidRPr="00857B96">
              <w:rPr>
                <w:rFonts w:ascii="Arial" w:hAnsi="Arial" w:cs="Arial"/>
                <w:i/>
                <w:iCs/>
                <w:sz w:val="20"/>
                <w:szCs w:val="20"/>
              </w:rPr>
              <w:t>The accompanying notes form part of these statements</w:t>
            </w:r>
          </w:p>
        </w:tc>
        <w:tc>
          <w:tcPr>
            <w:tcW w:w="84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center"/>
              <w:rPr>
                <w:rFonts w:ascii="Arial" w:hAnsi="Arial" w:cs="Arial"/>
                <w:sz w:val="20"/>
                <w:szCs w:val="20"/>
              </w:rPr>
            </w:pP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sz w:val="20"/>
                <w:szCs w:val="20"/>
              </w:rPr>
            </w:pPr>
          </w:p>
        </w:tc>
        <w:tc>
          <w:tcPr>
            <w:tcW w:w="1462" w:type="dxa"/>
            <w:tcBorders>
              <w:top w:val="nil"/>
              <w:left w:val="nil"/>
              <w:bottom w:val="nil"/>
              <w:right w:val="nil"/>
            </w:tcBorders>
            <w:shd w:val="clear" w:color="auto" w:fill="auto"/>
            <w:noWrap/>
            <w:vAlign w:val="bottom"/>
            <w:hideMark/>
          </w:tcPr>
          <w:p w:rsidR="00857B96" w:rsidRPr="00857B96" w:rsidRDefault="00857B96" w:rsidP="00857B96">
            <w:pPr>
              <w:spacing w:before="0" w:line="240" w:lineRule="auto"/>
              <w:jc w:val="right"/>
              <w:rPr>
                <w:rFonts w:ascii="Arial" w:hAnsi="Arial" w:cs="Arial"/>
                <w:color w:val="000000"/>
                <w:sz w:val="20"/>
                <w:szCs w:val="20"/>
              </w:rPr>
            </w:pPr>
          </w:p>
        </w:tc>
      </w:tr>
    </w:tbl>
    <w:p w:rsidR="00BE0F2F" w:rsidRPr="00CA2CF2" w:rsidRDefault="00BE0F2F" w:rsidP="00CA2CF2">
      <w:r w:rsidRPr="00CA2CF2">
        <w:br w:type="page"/>
      </w:r>
    </w:p>
    <w:p w:rsidR="00CA2CF2" w:rsidRDefault="00CA2CF2" w:rsidP="00797E13">
      <w:pPr>
        <w:pStyle w:val="Heading2Financials"/>
      </w:pPr>
      <w:bookmarkStart w:id="90" w:name="_Toc397589538"/>
      <w:bookmarkStart w:id="91" w:name="_Toc397589552"/>
      <w:r>
        <w:lastRenderedPageBreak/>
        <w:t>Statement of financial position</w:t>
      </w:r>
      <w:bookmarkEnd w:id="90"/>
      <w:bookmarkEnd w:id="91"/>
    </w:p>
    <w:p w:rsidR="00797E13" w:rsidRDefault="00797E13" w:rsidP="009D2836">
      <w:pPr>
        <w:pStyle w:val="Heading2Financialfollower"/>
      </w:pPr>
      <w:proofErr w:type="gramStart"/>
      <w:r>
        <w:t>as</w:t>
      </w:r>
      <w:proofErr w:type="gramEnd"/>
      <w:r>
        <w:t xml:space="preserve"> at </w:t>
      </w:r>
      <w:r w:rsidRPr="00803EDB">
        <w:t>30 June 2014</w:t>
      </w:r>
    </w:p>
    <w:tbl>
      <w:tblPr>
        <w:tblW w:w="4952" w:type="pct"/>
        <w:tblInd w:w="93" w:type="dxa"/>
        <w:tblLook w:val="04A0" w:firstRow="1" w:lastRow="0" w:firstColumn="1" w:lastColumn="0" w:noHBand="0" w:noVBand="1"/>
      </w:tblPr>
      <w:tblGrid>
        <w:gridCol w:w="444"/>
        <w:gridCol w:w="5466"/>
        <w:gridCol w:w="784"/>
        <w:gridCol w:w="1477"/>
        <w:gridCol w:w="1477"/>
      </w:tblGrid>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color w:val="000000"/>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2014</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2013</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b/>
                <w:bCs/>
                <w:color w:val="000000"/>
                <w:sz w:val="20"/>
                <w:szCs w:val="20"/>
              </w:rPr>
            </w:pPr>
            <w:r w:rsidRPr="00797E13">
              <w:rPr>
                <w:rFonts w:ascii="Arial" w:hAnsi="Arial" w:cs="Arial"/>
                <w:b/>
                <w:bCs/>
                <w:color w:val="000000"/>
                <w:sz w:val="20"/>
                <w:szCs w:val="20"/>
              </w:rPr>
              <w:t>Notes</w:t>
            </w: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r w:rsidRPr="00797E13">
              <w:rPr>
                <w:rFonts w:ascii="Arial" w:hAnsi="Arial" w:cs="Arial"/>
                <w:b/>
                <w:bCs/>
                <w:color w:val="000000"/>
                <w:sz w:val="20"/>
                <w:szCs w:val="20"/>
              </w:rPr>
              <w:t>Current Assets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Cash and cash equivalents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r w:rsidRPr="00797E13">
              <w:rPr>
                <w:rFonts w:ascii="Arial" w:hAnsi="Arial" w:cs="Arial"/>
                <w:i/>
                <w:iCs/>
                <w:color w:val="000000"/>
                <w:sz w:val="20"/>
                <w:szCs w:val="20"/>
              </w:rPr>
              <w:t>11</w:t>
            </w: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12,467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12,505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Receivables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r w:rsidRPr="00797E13">
              <w:rPr>
                <w:rFonts w:ascii="Arial" w:hAnsi="Arial" w:cs="Arial"/>
                <w:i/>
                <w:iCs/>
                <w:color w:val="000000"/>
                <w:sz w:val="20"/>
                <w:szCs w:val="20"/>
              </w:rPr>
              <w:t>12</w:t>
            </w: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566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916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Inventories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r w:rsidRPr="00797E13">
              <w:rPr>
                <w:rFonts w:ascii="Arial" w:hAnsi="Arial" w:cs="Arial"/>
                <w:i/>
                <w:iCs/>
                <w:color w:val="000000"/>
                <w:sz w:val="20"/>
                <w:szCs w:val="20"/>
              </w:rPr>
              <w:t>13</w:t>
            </w: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132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32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Prepayments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365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321 </w:t>
            </w: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r w:rsidRPr="00797E13">
              <w:rPr>
                <w:rFonts w:ascii="Arial" w:hAnsi="Arial" w:cs="Arial"/>
                <w:b/>
                <w:bCs/>
                <w:color w:val="000000"/>
                <w:sz w:val="20"/>
                <w:szCs w:val="20"/>
              </w:rPr>
              <w:t>Total Current Assets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77" w:type="dxa"/>
            <w:tcBorders>
              <w:top w:val="single" w:sz="4" w:space="0" w:color="auto"/>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13,530 </w:t>
            </w:r>
          </w:p>
        </w:tc>
        <w:tc>
          <w:tcPr>
            <w:tcW w:w="1477" w:type="dxa"/>
            <w:tcBorders>
              <w:top w:val="single" w:sz="4" w:space="0" w:color="auto"/>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13,774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r w:rsidRPr="00797E13">
              <w:rPr>
                <w:rFonts w:ascii="Arial" w:hAnsi="Arial" w:cs="Arial"/>
                <w:b/>
                <w:bCs/>
                <w:color w:val="000000"/>
                <w:sz w:val="20"/>
                <w:szCs w:val="20"/>
              </w:rPr>
              <w:t>Non-Current Assets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Intangible assets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r w:rsidRPr="00797E13">
              <w:rPr>
                <w:rFonts w:ascii="Arial" w:hAnsi="Arial" w:cs="Arial"/>
                <w:i/>
                <w:iCs/>
                <w:color w:val="000000"/>
                <w:sz w:val="20"/>
                <w:szCs w:val="20"/>
              </w:rPr>
              <w:t>14</w:t>
            </w: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3,542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3,765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Plant and equipment</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r w:rsidRPr="00797E13">
              <w:rPr>
                <w:rFonts w:ascii="Arial" w:hAnsi="Arial" w:cs="Arial"/>
                <w:i/>
                <w:iCs/>
                <w:color w:val="000000"/>
                <w:sz w:val="20"/>
                <w:szCs w:val="20"/>
              </w:rPr>
              <w:t>15</w:t>
            </w: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1,008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586 </w:t>
            </w: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r w:rsidRPr="00797E13">
              <w:rPr>
                <w:rFonts w:ascii="Arial" w:hAnsi="Arial" w:cs="Arial"/>
                <w:b/>
                <w:bCs/>
                <w:color w:val="000000"/>
                <w:sz w:val="20"/>
                <w:szCs w:val="20"/>
              </w:rPr>
              <w:t>Total Non-Current Assets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77" w:type="dxa"/>
            <w:tcBorders>
              <w:top w:val="single" w:sz="4" w:space="0" w:color="auto"/>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4,550 </w:t>
            </w:r>
          </w:p>
        </w:tc>
        <w:tc>
          <w:tcPr>
            <w:tcW w:w="1477" w:type="dxa"/>
            <w:tcBorders>
              <w:top w:val="single" w:sz="4" w:space="0" w:color="auto"/>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4,351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r w:rsidRPr="00797E13">
              <w:rPr>
                <w:rFonts w:ascii="Arial" w:hAnsi="Arial" w:cs="Arial"/>
                <w:b/>
                <w:bCs/>
                <w:color w:val="000000"/>
                <w:sz w:val="20"/>
                <w:szCs w:val="20"/>
              </w:rPr>
              <w:t>Total Assets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77"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18,080 </w:t>
            </w:r>
          </w:p>
        </w:tc>
        <w:tc>
          <w:tcPr>
            <w:tcW w:w="1477"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18,125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Current Liabilities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Payables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r w:rsidRPr="00797E13">
              <w:rPr>
                <w:rFonts w:ascii="Arial" w:hAnsi="Arial" w:cs="Arial"/>
                <w:i/>
                <w:iCs/>
                <w:sz w:val="20"/>
                <w:szCs w:val="20"/>
              </w:rPr>
              <w:t>16</w:t>
            </w: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xml:space="preserve">3,564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3,742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Accrued employee benefits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r w:rsidRPr="00797E13">
              <w:rPr>
                <w:rFonts w:ascii="Arial" w:hAnsi="Arial" w:cs="Arial"/>
                <w:i/>
                <w:iCs/>
                <w:sz w:val="20"/>
                <w:szCs w:val="20"/>
              </w:rPr>
              <w:t>17</w:t>
            </w: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xml:space="preserve">1,895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1,789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Unearned revenue</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255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257 </w:t>
            </w: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Total Current Liabilities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77" w:type="dxa"/>
            <w:tcBorders>
              <w:top w:val="single" w:sz="4" w:space="0" w:color="auto"/>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5,714 </w:t>
            </w:r>
          </w:p>
        </w:tc>
        <w:tc>
          <w:tcPr>
            <w:tcW w:w="1477" w:type="dxa"/>
            <w:tcBorders>
              <w:top w:val="single" w:sz="4" w:space="0" w:color="auto"/>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5,788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Total Liabilities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77"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5,714 </w:t>
            </w:r>
          </w:p>
        </w:tc>
        <w:tc>
          <w:tcPr>
            <w:tcW w:w="1477"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5,788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Net Assets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77"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12,366 </w:t>
            </w:r>
          </w:p>
        </w:tc>
        <w:tc>
          <w:tcPr>
            <w:tcW w:w="1477"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12,337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Equity</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Contributed equity</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xml:space="preserve">4,832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4,832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Accumulated surplus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77"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xml:space="preserve">7,534 </w:t>
            </w: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7,505 </w:t>
            </w: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Total Equity</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77"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12,366 </w:t>
            </w:r>
          </w:p>
        </w:tc>
        <w:tc>
          <w:tcPr>
            <w:tcW w:w="1477"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12,337 </w:t>
            </w:r>
          </w:p>
        </w:tc>
      </w:tr>
      <w:tr w:rsidR="00797E13" w:rsidRPr="00797E13" w:rsidTr="009D2836">
        <w:trPr>
          <w:trHeight w:val="360"/>
        </w:trPr>
        <w:tc>
          <w:tcPr>
            <w:tcW w:w="44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546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sz w:val="20"/>
                <w:szCs w:val="20"/>
              </w:rPr>
            </w:pP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5910" w:type="dxa"/>
            <w:gridSpan w:val="2"/>
            <w:tcBorders>
              <w:top w:val="nil"/>
              <w:left w:val="nil"/>
              <w:bottom w:val="nil"/>
              <w:right w:val="nil"/>
            </w:tcBorders>
            <w:shd w:val="clear" w:color="auto" w:fill="auto"/>
            <w:noWrap/>
            <w:vAlign w:val="bottom"/>
            <w:hideMark/>
          </w:tcPr>
          <w:p w:rsidR="00797E13" w:rsidRPr="00797E13" w:rsidRDefault="00797E13" w:rsidP="00B56C26">
            <w:pPr>
              <w:spacing w:before="0" w:after="40" w:line="240" w:lineRule="auto"/>
              <w:rPr>
                <w:rFonts w:ascii="Arial" w:hAnsi="Arial" w:cs="Arial"/>
                <w:i/>
                <w:iCs/>
                <w:color w:val="000000"/>
                <w:sz w:val="20"/>
                <w:szCs w:val="20"/>
              </w:rPr>
            </w:pPr>
            <w:r w:rsidRPr="00797E13">
              <w:rPr>
                <w:rFonts w:ascii="Arial" w:hAnsi="Arial" w:cs="Arial"/>
                <w:i/>
                <w:iCs/>
                <w:color w:val="000000"/>
                <w:sz w:val="20"/>
                <w:szCs w:val="20"/>
              </w:rPr>
              <w:t xml:space="preserve">The accompanying </w:t>
            </w:r>
            <w:r w:rsidRPr="00B56C26">
              <w:rPr>
                <w:rFonts w:ascii="Arial" w:hAnsi="Arial" w:cs="Arial"/>
                <w:i/>
                <w:iCs/>
                <w:sz w:val="20"/>
                <w:szCs w:val="20"/>
              </w:rPr>
              <w:t>notes</w:t>
            </w:r>
            <w:r w:rsidRPr="00797E13">
              <w:rPr>
                <w:rFonts w:ascii="Arial" w:hAnsi="Arial" w:cs="Arial"/>
                <w:i/>
                <w:iCs/>
                <w:color w:val="000000"/>
                <w:sz w:val="20"/>
                <w:szCs w:val="20"/>
              </w:rPr>
              <w:t xml:space="preserve"> form part of these statements</w:t>
            </w:r>
          </w:p>
        </w:tc>
        <w:tc>
          <w:tcPr>
            <w:tcW w:w="78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color w:val="000000"/>
                <w:sz w:val="20"/>
                <w:szCs w:val="20"/>
              </w:rPr>
            </w:pP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c>
          <w:tcPr>
            <w:tcW w:w="1477"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bl>
    <w:p w:rsidR="00B42A73" w:rsidRPr="00CA2CF2" w:rsidRDefault="00B42A73" w:rsidP="00CA2CF2">
      <w:r w:rsidRPr="00CA2CF2">
        <w:br w:type="page"/>
      </w:r>
    </w:p>
    <w:p w:rsidR="00CA2CF2" w:rsidRDefault="00CA2CF2" w:rsidP="00797E13">
      <w:pPr>
        <w:pStyle w:val="Heading2Financials"/>
      </w:pPr>
      <w:bookmarkStart w:id="92" w:name="_Toc397589539"/>
      <w:bookmarkStart w:id="93" w:name="_Toc397589553"/>
      <w:r>
        <w:lastRenderedPageBreak/>
        <w:t>Statement of changes in equity</w:t>
      </w:r>
      <w:bookmarkEnd w:id="92"/>
      <w:bookmarkEnd w:id="93"/>
    </w:p>
    <w:p w:rsidR="00797E13" w:rsidRDefault="00797E13" w:rsidP="009D2836">
      <w:pPr>
        <w:pStyle w:val="Heading2Financialfollower"/>
      </w:pPr>
      <w:proofErr w:type="gramStart"/>
      <w:r w:rsidRPr="00803EDB">
        <w:t>for</w:t>
      </w:r>
      <w:proofErr w:type="gramEnd"/>
      <w:r w:rsidRPr="00803EDB">
        <w:t xml:space="preserve"> the year ended 30 June 2014</w:t>
      </w:r>
    </w:p>
    <w:tbl>
      <w:tblPr>
        <w:tblW w:w="4952" w:type="pct"/>
        <w:tblInd w:w="93" w:type="dxa"/>
        <w:tblLook w:val="04A0" w:firstRow="1" w:lastRow="0" w:firstColumn="1" w:lastColumn="0" w:noHBand="0" w:noVBand="1"/>
      </w:tblPr>
      <w:tblGrid>
        <w:gridCol w:w="3954"/>
        <w:gridCol w:w="950"/>
        <w:gridCol w:w="950"/>
        <w:gridCol w:w="949"/>
        <w:gridCol w:w="948"/>
        <w:gridCol w:w="948"/>
        <w:gridCol w:w="949"/>
      </w:tblGrid>
      <w:tr w:rsidR="00797E13" w:rsidRPr="00797E13" w:rsidTr="00B56C26">
        <w:trPr>
          <w:trHeight w:val="360"/>
        </w:trPr>
        <w:tc>
          <w:tcPr>
            <w:tcW w:w="395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1900" w:type="dxa"/>
            <w:gridSpan w:val="2"/>
            <w:vMerge w:val="restart"/>
            <w:tcBorders>
              <w:top w:val="nil"/>
              <w:left w:val="nil"/>
              <w:bottom w:val="nil"/>
              <w:right w:val="nil"/>
            </w:tcBorders>
            <w:shd w:val="clear" w:color="auto" w:fill="auto"/>
            <w:vAlign w:val="center"/>
            <w:hideMark/>
          </w:tcPr>
          <w:p w:rsidR="00797E13" w:rsidRPr="00797E13" w:rsidRDefault="00797E13" w:rsidP="00797E13">
            <w:pPr>
              <w:spacing w:before="0" w:line="240" w:lineRule="auto"/>
              <w:jc w:val="center"/>
              <w:rPr>
                <w:rFonts w:ascii="Arial" w:hAnsi="Arial" w:cs="Arial"/>
                <w:b/>
                <w:bCs/>
                <w:color w:val="000000"/>
                <w:sz w:val="20"/>
                <w:szCs w:val="20"/>
              </w:rPr>
            </w:pPr>
            <w:r w:rsidRPr="00797E13">
              <w:rPr>
                <w:rFonts w:ascii="Arial" w:hAnsi="Arial" w:cs="Arial"/>
                <w:b/>
                <w:bCs/>
                <w:color w:val="000000"/>
                <w:sz w:val="20"/>
                <w:szCs w:val="20"/>
              </w:rPr>
              <w:t>Accumulated Surplus</w:t>
            </w:r>
          </w:p>
        </w:tc>
        <w:tc>
          <w:tcPr>
            <w:tcW w:w="1897" w:type="dxa"/>
            <w:gridSpan w:val="2"/>
            <w:vMerge w:val="restart"/>
            <w:tcBorders>
              <w:top w:val="nil"/>
              <w:left w:val="nil"/>
              <w:bottom w:val="nil"/>
              <w:right w:val="nil"/>
            </w:tcBorders>
            <w:shd w:val="clear" w:color="auto" w:fill="auto"/>
            <w:vAlign w:val="center"/>
            <w:hideMark/>
          </w:tcPr>
          <w:p w:rsidR="00797E13" w:rsidRPr="00797E13" w:rsidRDefault="00797E13" w:rsidP="00E92853">
            <w:pPr>
              <w:spacing w:before="0" w:line="240" w:lineRule="auto"/>
              <w:jc w:val="center"/>
              <w:rPr>
                <w:rFonts w:ascii="Arial" w:hAnsi="Arial" w:cs="Arial"/>
                <w:b/>
                <w:bCs/>
                <w:color w:val="000000"/>
                <w:sz w:val="20"/>
                <w:szCs w:val="20"/>
              </w:rPr>
            </w:pPr>
            <w:r w:rsidRPr="00797E13">
              <w:rPr>
                <w:rFonts w:ascii="Arial" w:hAnsi="Arial" w:cs="Arial"/>
                <w:b/>
                <w:bCs/>
                <w:color w:val="000000"/>
                <w:sz w:val="20"/>
                <w:szCs w:val="20"/>
              </w:rPr>
              <w:t>Contributed Equity</w:t>
            </w:r>
          </w:p>
        </w:tc>
        <w:tc>
          <w:tcPr>
            <w:tcW w:w="1897" w:type="dxa"/>
            <w:gridSpan w:val="2"/>
            <w:vMerge w:val="restart"/>
            <w:tcBorders>
              <w:top w:val="nil"/>
              <w:left w:val="nil"/>
              <w:bottom w:val="nil"/>
              <w:right w:val="nil"/>
            </w:tcBorders>
            <w:shd w:val="clear" w:color="auto" w:fill="auto"/>
            <w:vAlign w:val="center"/>
            <w:hideMark/>
          </w:tcPr>
          <w:p w:rsidR="00797E13" w:rsidRPr="00797E13" w:rsidRDefault="00797E13" w:rsidP="00797E13">
            <w:pPr>
              <w:spacing w:before="0" w:line="240" w:lineRule="auto"/>
              <w:jc w:val="center"/>
              <w:rPr>
                <w:rFonts w:ascii="Arial" w:hAnsi="Arial" w:cs="Arial"/>
                <w:b/>
                <w:bCs/>
                <w:color w:val="000000"/>
                <w:sz w:val="20"/>
                <w:szCs w:val="20"/>
              </w:rPr>
            </w:pPr>
            <w:r w:rsidRPr="00797E13">
              <w:rPr>
                <w:rFonts w:ascii="Arial" w:hAnsi="Arial" w:cs="Arial"/>
                <w:b/>
                <w:bCs/>
                <w:color w:val="000000"/>
                <w:sz w:val="20"/>
                <w:szCs w:val="20"/>
              </w:rPr>
              <w:t>Total</w:t>
            </w:r>
          </w:p>
        </w:tc>
      </w:tr>
      <w:tr w:rsidR="00797E13" w:rsidRPr="00797E13" w:rsidTr="00B56C26">
        <w:trPr>
          <w:trHeight w:val="360"/>
        </w:trPr>
        <w:tc>
          <w:tcPr>
            <w:tcW w:w="395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1900" w:type="dxa"/>
            <w:gridSpan w:val="2"/>
            <w:vMerge/>
            <w:tcBorders>
              <w:top w:val="nil"/>
              <w:left w:val="nil"/>
              <w:bottom w:val="nil"/>
              <w:right w:val="nil"/>
            </w:tcBorders>
            <w:vAlign w:val="center"/>
            <w:hideMark/>
          </w:tcPr>
          <w:p w:rsidR="00797E13" w:rsidRPr="00797E13" w:rsidRDefault="00797E13" w:rsidP="00797E13">
            <w:pPr>
              <w:spacing w:before="0" w:line="240" w:lineRule="auto"/>
              <w:rPr>
                <w:rFonts w:ascii="Arial" w:hAnsi="Arial" w:cs="Arial"/>
                <w:b/>
                <w:bCs/>
                <w:color w:val="000000"/>
                <w:sz w:val="20"/>
                <w:szCs w:val="20"/>
              </w:rPr>
            </w:pPr>
          </w:p>
        </w:tc>
        <w:tc>
          <w:tcPr>
            <w:tcW w:w="1897" w:type="dxa"/>
            <w:gridSpan w:val="2"/>
            <w:vMerge/>
            <w:tcBorders>
              <w:top w:val="nil"/>
              <w:left w:val="nil"/>
              <w:bottom w:val="nil"/>
              <w:right w:val="nil"/>
            </w:tcBorders>
            <w:vAlign w:val="center"/>
            <w:hideMark/>
          </w:tcPr>
          <w:p w:rsidR="00797E13" w:rsidRPr="00797E13" w:rsidRDefault="00797E13" w:rsidP="00797E13">
            <w:pPr>
              <w:spacing w:before="0" w:line="240" w:lineRule="auto"/>
              <w:rPr>
                <w:rFonts w:ascii="Arial" w:hAnsi="Arial" w:cs="Arial"/>
                <w:b/>
                <w:bCs/>
                <w:color w:val="000000"/>
                <w:sz w:val="20"/>
                <w:szCs w:val="20"/>
              </w:rPr>
            </w:pPr>
          </w:p>
        </w:tc>
        <w:tc>
          <w:tcPr>
            <w:tcW w:w="1897" w:type="dxa"/>
            <w:gridSpan w:val="2"/>
            <w:vMerge/>
            <w:tcBorders>
              <w:top w:val="nil"/>
              <w:left w:val="nil"/>
              <w:bottom w:val="nil"/>
              <w:right w:val="nil"/>
            </w:tcBorders>
            <w:vAlign w:val="center"/>
            <w:hideMark/>
          </w:tcPr>
          <w:p w:rsidR="00797E13" w:rsidRPr="00797E13" w:rsidRDefault="00797E13" w:rsidP="00797E13">
            <w:pPr>
              <w:spacing w:before="0" w:line="240" w:lineRule="auto"/>
              <w:rPr>
                <w:rFonts w:ascii="Arial" w:hAnsi="Arial" w:cs="Arial"/>
                <w:b/>
                <w:bCs/>
                <w:color w:val="000000"/>
                <w:sz w:val="20"/>
                <w:szCs w:val="20"/>
              </w:rPr>
            </w:pPr>
          </w:p>
        </w:tc>
      </w:tr>
      <w:tr w:rsidR="00797E13" w:rsidRPr="00797E13" w:rsidTr="00B56C26">
        <w:trPr>
          <w:trHeight w:val="360"/>
        </w:trPr>
        <w:tc>
          <w:tcPr>
            <w:tcW w:w="3954" w:type="dxa"/>
            <w:tcBorders>
              <w:top w:val="nil"/>
              <w:left w:val="nil"/>
              <w:bottom w:val="nil"/>
              <w:right w:val="nil"/>
            </w:tcBorders>
            <w:shd w:val="clear" w:color="auto" w:fill="auto"/>
            <w:noWrap/>
            <w:vAlign w:val="bottom"/>
            <w:hideMark/>
          </w:tcPr>
          <w:p w:rsidR="00797E13" w:rsidRPr="00797E13" w:rsidRDefault="00797E13" w:rsidP="002C5C3C">
            <w:pPr>
              <w:spacing w:before="60" w:line="240" w:lineRule="auto"/>
              <w:rPr>
                <w:rFonts w:ascii="Arial" w:hAnsi="Arial" w:cs="Arial"/>
                <w:color w:val="000000"/>
                <w:sz w:val="20"/>
                <w:szCs w:val="20"/>
              </w:rPr>
            </w:pPr>
          </w:p>
        </w:tc>
        <w:tc>
          <w:tcPr>
            <w:tcW w:w="950" w:type="dxa"/>
            <w:tcBorders>
              <w:top w:val="nil"/>
              <w:left w:val="nil"/>
              <w:bottom w:val="nil"/>
              <w:right w:val="nil"/>
            </w:tcBorders>
            <w:shd w:val="clear" w:color="000000" w:fill="D9D9D9"/>
            <w:noWrap/>
            <w:vAlign w:val="bottom"/>
            <w:hideMark/>
          </w:tcPr>
          <w:p w:rsidR="00797E13" w:rsidRPr="00797E13" w:rsidRDefault="00797E13" w:rsidP="0029578D">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2014</w:t>
            </w:r>
          </w:p>
        </w:tc>
        <w:tc>
          <w:tcPr>
            <w:tcW w:w="950" w:type="dxa"/>
            <w:tcBorders>
              <w:top w:val="nil"/>
              <w:left w:val="nil"/>
              <w:bottom w:val="nil"/>
              <w:right w:val="nil"/>
            </w:tcBorders>
            <w:shd w:val="clear" w:color="auto" w:fill="auto"/>
            <w:noWrap/>
            <w:vAlign w:val="bottom"/>
            <w:hideMark/>
          </w:tcPr>
          <w:p w:rsidR="00797E13" w:rsidRPr="00797E13" w:rsidRDefault="00797E13" w:rsidP="0029578D">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2013</w:t>
            </w:r>
          </w:p>
        </w:tc>
        <w:tc>
          <w:tcPr>
            <w:tcW w:w="949" w:type="dxa"/>
            <w:tcBorders>
              <w:top w:val="nil"/>
              <w:left w:val="nil"/>
              <w:bottom w:val="nil"/>
              <w:right w:val="nil"/>
            </w:tcBorders>
            <w:shd w:val="clear" w:color="000000" w:fill="D9D9D9"/>
            <w:noWrap/>
            <w:vAlign w:val="bottom"/>
            <w:hideMark/>
          </w:tcPr>
          <w:p w:rsidR="00797E13" w:rsidRPr="00797E13" w:rsidRDefault="00797E13" w:rsidP="0029578D">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2014</w:t>
            </w:r>
          </w:p>
        </w:tc>
        <w:tc>
          <w:tcPr>
            <w:tcW w:w="948" w:type="dxa"/>
            <w:tcBorders>
              <w:top w:val="nil"/>
              <w:left w:val="nil"/>
              <w:bottom w:val="nil"/>
              <w:right w:val="nil"/>
            </w:tcBorders>
            <w:shd w:val="clear" w:color="auto" w:fill="auto"/>
            <w:noWrap/>
            <w:vAlign w:val="bottom"/>
            <w:hideMark/>
          </w:tcPr>
          <w:p w:rsidR="00797E13" w:rsidRPr="00797E13" w:rsidRDefault="00797E13" w:rsidP="0029578D">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2013</w:t>
            </w:r>
          </w:p>
        </w:tc>
        <w:tc>
          <w:tcPr>
            <w:tcW w:w="948" w:type="dxa"/>
            <w:tcBorders>
              <w:top w:val="nil"/>
              <w:left w:val="nil"/>
              <w:bottom w:val="nil"/>
              <w:right w:val="nil"/>
            </w:tcBorders>
            <w:shd w:val="clear" w:color="000000" w:fill="D9D9D9"/>
            <w:noWrap/>
            <w:vAlign w:val="bottom"/>
            <w:hideMark/>
          </w:tcPr>
          <w:p w:rsidR="00797E13" w:rsidRPr="00797E13" w:rsidRDefault="00797E13" w:rsidP="0029578D">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2014</w:t>
            </w:r>
          </w:p>
        </w:tc>
        <w:tc>
          <w:tcPr>
            <w:tcW w:w="949" w:type="dxa"/>
            <w:tcBorders>
              <w:top w:val="nil"/>
              <w:left w:val="nil"/>
              <w:bottom w:val="nil"/>
              <w:right w:val="nil"/>
            </w:tcBorders>
            <w:shd w:val="clear" w:color="auto" w:fill="auto"/>
            <w:noWrap/>
            <w:vAlign w:val="bottom"/>
            <w:hideMark/>
          </w:tcPr>
          <w:p w:rsidR="00797E13" w:rsidRPr="00797E13" w:rsidRDefault="00797E13" w:rsidP="0029578D">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2013</w:t>
            </w:r>
          </w:p>
        </w:tc>
      </w:tr>
      <w:tr w:rsidR="00797E13" w:rsidRPr="00797E13" w:rsidTr="00B56C26">
        <w:trPr>
          <w:trHeight w:val="360"/>
        </w:trPr>
        <w:tc>
          <w:tcPr>
            <w:tcW w:w="3954" w:type="dxa"/>
            <w:tcBorders>
              <w:top w:val="nil"/>
              <w:left w:val="nil"/>
              <w:bottom w:val="nil"/>
              <w:right w:val="nil"/>
            </w:tcBorders>
            <w:shd w:val="clear" w:color="auto" w:fill="auto"/>
            <w:noWrap/>
            <w:vAlign w:val="bottom"/>
            <w:hideMark/>
          </w:tcPr>
          <w:p w:rsidR="00797E13" w:rsidRPr="00797E13" w:rsidRDefault="00797E13" w:rsidP="002C5C3C">
            <w:pPr>
              <w:spacing w:before="60" w:line="240" w:lineRule="auto"/>
              <w:rPr>
                <w:rFonts w:ascii="Arial" w:hAnsi="Arial" w:cs="Arial"/>
                <w:color w:val="000000"/>
                <w:sz w:val="20"/>
                <w:szCs w:val="20"/>
              </w:rPr>
            </w:pPr>
          </w:p>
        </w:tc>
        <w:tc>
          <w:tcPr>
            <w:tcW w:w="950"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c>
          <w:tcPr>
            <w:tcW w:w="950"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c>
          <w:tcPr>
            <w:tcW w:w="949"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c>
          <w:tcPr>
            <w:tcW w:w="94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c>
          <w:tcPr>
            <w:tcW w:w="948"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c>
          <w:tcPr>
            <w:tcW w:w="94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r>
      <w:tr w:rsidR="00797E13" w:rsidRPr="00797E13" w:rsidTr="00B56C26">
        <w:trPr>
          <w:trHeight w:val="360"/>
        </w:trPr>
        <w:tc>
          <w:tcPr>
            <w:tcW w:w="3954" w:type="dxa"/>
            <w:tcBorders>
              <w:top w:val="nil"/>
              <w:left w:val="nil"/>
              <w:bottom w:val="nil"/>
              <w:right w:val="nil"/>
            </w:tcBorders>
            <w:shd w:val="clear" w:color="auto" w:fill="auto"/>
            <w:noWrap/>
            <w:vAlign w:val="bottom"/>
            <w:hideMark/>
          </w:tcPr>
          <w:p w:rsidR="00797E13" w:rsidRPr="00797E13" w:rsidRDefault="00797E13" w:rsidP="002C5C3C">
            <w:pPr>
              <w:spacing w:before="60" w:line="240" w:lineRule="auto"/>
              <w:rPr>
                <w:rFonts w:ascii="Arial" w:hAnsi="Arial" w:cs="Arial"/>
                <w:color w:val="000000"/>
                <w:sz w:val="20"/>
                <w:szCs w:val="20"/>
              </w:rPr>
            </w:pPr>
            <w:r w:rsidRPr="00797E13">
              <w:rPr>
                <w:rFonts w:ascii="Arial" w:hAnsi="Arial" w:cs="Arial"/>
                <w:color w:val="000000"/>
                <w:sz w:val="20"/>
                <w:szCs w:val="20"/>
              </w:rPr>
              <w:t>Balance as at 1 July</w:t>
            </w:r>
          </w:p>
        </w:tc>
        <w:tc>
          <w:tcPr>
            <w:tcW w:w="950"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7,505 </w:t>
            </w:r>
          </w:p>
        </w:tc>
        <w:tc>
          <w:tcPr>
            <w:tcW w:w="950"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7,232 </w:t>
            </w:r>
          </w:p>
        </w:tc>
        <w:tc>
          <w:tcPr>
            <w:tcW w:w="949"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4,832 </w:t>
            </w:r>
          </w:p>
        </w:tc>
        <w:tc>
          <w:tcPr>
            <w:tcW w:w="94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4,832 </w:t>
            </w:r>
          </w:p>
        </w:tc>
        <w:tc>
          <w:tcPr>
            <w:tcW w:w="948"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12,337 </w:t>
            </w:r>
          </w:p>
        </w:tc>
        <w:tc>
          <w:tcPr>
            <w:tcW w:w="94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12,064 </w:t>
            </w:r>
          </w:p>
        </w:tc>
      </w:tr>
      <w:tr w:rsidR="00797E13" w:rsidRPr="00797E13" w:rsidTr="00B56C26">
        <w:trPr>
          <w:trHeight w:val="255"/>
        </w:trPr>
        <w:tc>
          <w:tcPr>
            <w:tcW w:w="3954" w:type="dxa"/>
            <w:tcBorders>
              <w:top w:val="nil"/>
              <w:left w:val="nil"/>
              <w:bottom w:val="nil"/>
              <w:right w:val="nil"/>
            </w:tcBorders>
            <w:shd w:val="clear" w:color="auto" w:fill="auto"/>
            <w:vAlign w:val="bottom"/>
            <w:hideMark/>
          </w:tcPr>
          <w:p w:rsidR="00797E13" w:rsidRPr="00797E13" w:rsidRDefault="00797E13" w:rsidP="002C5C3C">
            <w:pPr>
              <w:spacing w:before="60" w:line="240" w:lineRule="auto"/>
              <w:rPr>
                <w:rFonts w:ascii="Arial" w:hAnsi="Arial" w:cs="Arial"/>
                <w:color w:val="000000"/>
                <w:sz w:val="20"/>
                <w:szCs w:val="20"/>
              </w:rPr>
            </w:pPr>
            <w:r w:rsidRPr="00797E13">
              <w:rPr>
                <w:rFonts w:ascii="Arial" w:hAnsi="Arial" w:cs="Arial"/>
                <w:color w:val="000000"/>
                <w:sz w:val="20"/>
                <w:szCs w:val="20"/>
              </w:rPr>
              <w:t>Total Comprehensive Income for the Year</w:t>
            </w:r>
          </w:p>
        </w:tc>
        <w:tc>
          <w:tcPr>
            <w:tcW w:w="950"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29 </w:t>
            </w:r>
          </w:p>
        </w:tc>
        <w:tc>
          <w:tcPr>
            <w:tcW w:w="950"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273 </w:t>
            </w:r>
          </w:p>
        </w:tc>
        <w:tc>
          <w:tcPr>
            <w:tcW w:w="949" w:type="dxa"/>
            <w:tcBorders>
              <w:top w:val="nil"/>
              <w:left w:val="nil"/>
              <w:bottom w:val="nil"/>
              <w:right w:val="nil"/>
            </w:tcBorders>
            <w:shd w:val="clear" w:color="000000" w:fill="D9D9D9"/>
            <w:noWrap/>
            <w:vAlign w:val="bottom"/>
            <w:hideMark/>
          </w:tcPr>
          <w:p w:rsidR="00797E13" w:rsidRPr="00797E13" w:rsidRDefault="002C5C3C" w:rsidP="00797E13">
            <w:pPr>
              <w:spacing w:before="0" w:line="240" w:lineRule="auto"/>
              <w:jc w:val="right"/>
              <w:rPr>
                <w:rFonts w:ascii="Arial" w:hAnsi="Arial" w:cs="Arial"/>
                <w:color w:val="000000"/>
                <w:sz w:val="20"/>
                <w:szCs w:val="20"/>
              </w:rPr>
            </w:pPr>
            <w:r>
              <w:rPr>
                <w:rFonts w:ascii="Arial" w:hAnsi="Arial" w:cs="Arial"/>
                <w:color w:val="000000"/>
                <w:sz w:val="20"/>
                <w:szCs w:val="20"/>
              </w:rPr>
              <w:t xml:space="preserve"> – </w:t>
            </w:r>
          </w:p>
        </w:tc>
        <w:tc>
          <w:tcPr>
            <w:tcW w:w="948" w:type="dxa"/>
            <w:tcBorders>
              <w:top w:val="nil"/>
              <w:left w:val="nil"/>
              <w:bottom w:val="nil"/>
              <w:right w:val="nil"/>
            </w:tcBorders>
            <w:shd w:val="clear" w:color="auto" w:fill="auto"/>
            <w:noWrap/>
            <w:vAlign w:val="bottom"/>
            <w:hideMark/>
          </w:tcPr>
          <w:p w:rsidR="00797E13" w:rsidRPr="00797E13" w:rsidRDefault="002C5C3C" w:rsidP="00797E13">
            <w:pPr>
              <w:spacing w:before="0" w:line="240" w:lineRule="auto"/>
              <w:jc w:val="right"/>
              <w:rPr>
                <w:rFonts w:ascii="Arial" w:hAnsi="Arial" w:cs="Arial"/>
                <w:color w:val="000000"/>
                <w:sz w:val="20"/>
                <w:szCs w:val="20"/>
              </w:rPr>
            </w:pPr>
            <w:r>
              <w:rPr>
                <w:rFonts w:ascii="Arial" w:hAnsi="Arial" w:cs="Arial"/>
                <w:color w:val="000000"/>
                <w:sz w:val="20"/>
                <w:szCs w:val="20"/>
              </w:rPr>
              <w:t xml:space="preserve"> – </w:t>
            </w:r>
          </w:p>
        </w:tc>
        <w:tc>
          <w:tcPr>
            <w:tcW w:w="948"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29 </w:t>
            </w:r>
          </w:p>
        </w:tc>
        <w:tc>
          <w:tcPr>
            <w:tcW w:w="94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273 </w:t>
            </w:r>
          </w:p>
        </w:tc>
      </w:tr>
      <w:tr w:rsidR="00797E13" w:rsidRPr="00797E13" w:rsidTr="00B56C26">
        <w:trPr>
          <w:trHeight w:val="360"/>
        </w:trPr>
        <w:tc>
          <w:tcPr>
            <w:tcW w:w="3954" w:type="dxa"/>
            <w:tcBorders>
              <w:top w:val="nil"/>
              <w:left w:val="nil"/>
              <w:bottom w:val="nil"/>
              <w:right w:val="nil"/>
            </w:tcBorders>
            <w:shd w:val="clear" w:color="auto" w:fill="auto"/>
            <w:noWrap/>
            <w:vAlign w:val="bottom"/>
            <w:hideMark/>
          </w:tcPr>
          <w:p w:rsidR="00797E13" w:rsidRPr="00797E13" w:rsidRDefault="00797E13" w:rsidP="002C5C3C">
            <w:pPr>
              <w:spacing w:before="60" w:line="240" w:lineRule="auto"/>
              <w:rPr>
                <w:rFonts w:ascii="Arial" w:hAnsi="Arial" w:cs="Arial"/>
                <w:color w:val="000000"/>
                <w:sz w:val="20"/>
                <w:szCs w:val="20"/>
              </w:rPr>
            </w:pPr>
            <w:r w:rsidRPr="00797E13">
              <w:rPr>
                <w:rFonts w:ascii="Arial" w:hAnsi="Arial" w:cs="Arial"/>
                <w:color w:val="000000"/>
                <w:sz w:val="20"/>
                <w:szCs w:val="20"/>
              </w:rPr>
              <w:t>Balance as at 30 June</w:t>
            </w:r>
          </w:p>
        </w:tc>
        <w:tc>
          <w:tcPr>
            <w:tcW w:w="950"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7,534 </w:t>
            </w:r>
          </w:p>
        </w:tc>
        <w:tc>
          <w:tcPr>
            <w:tcW w:w="950"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7,505 </w:t>
            </w:r>
          </w:p>
        </w:tc>
        <w:tc>
          <w:tcPr>
            <w:tcW w:w="949"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4,832 </w:t>
            </w:r>
          </w:p>
        </w:tc>
        <w:tc>
          <w:tcPr>
            <w:tcW w:w="948"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4,832 </w:t>
            </w:r>
          </w:p>
        </w:tc>
        <w:tc>
          <w:tcPr>
            <w:tcW w:w="948"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12,366 </w:t>
            </w:r>
          </w:p>
        </w:tc>
        <w:tc>
          <w:tcPr>
            <w:tcW w:w="949"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12,337 </w:t>
            </w:r>
          </w:p>
        </w:tc>
      </w:tr>
      <w:tr w:rsidR="00797E13" w:rsidRPr="00797E13" w:rsidTr="00B56C26">
        <w:trPr>
          <w:trHeight w:val="360"/>
        </w:trPr>
        <w:tc>
          <w:tcPr>
            <w:tcW w:w="3954"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950"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950"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94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94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94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94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r>
      <w:tr w:rsidR="00797E13" w:rsidRPr="00797E13" w:rsidTr="00B56C26">
        <w:trPr>
          <w:trHeight w:val="360"/>
        </w:trPr>
        <w:tc>
          <w:tcPr>
            <w:tcW w:w="5854" w:type="dxa"/>
            <w:gridSpan w:val="3"/>
            <w:tcBorders>
              <w:top w:val="nil"/>
              <w:left w:val="nil"/>
              <w:bottom w:val="nil"/>
              <w:right w:val="nil"/>
            </w:tcBorders>
            <w:shd w:val="clear" w:color="auto" w:fill="auto"/>
            <w:noWrap/>
            <w:vAlign w:val="bottom"/>
            <w:hideMark/>
          </w:tcPr>
          <w:p w:rsidR="00797E13" w:rsidRPr="00797E13" w:rsidRDefault="00797E13" w:rsidP="00B56C26">
            <w:pPr>
              <w:spacing w:before="0" w:after="40" w:line="240" w:lineRule="auto"/>
              <w:rPr>
                <w:rFonts w:ascii="Arial" w:hAnsi="Arial" w:cs="Arial"/>
                <w:i/>
                <w:iCs/>
                <w:color w:val="000000"/>
                <w:sz w:val="20"/>
                <w:szCs w:val="20"/>
              </w:rPr>
            </w:pPr>
            <w:r w:rsidRPr="00797E13">
              <w:rPr>
                <w:rFonts w:ascii="Arial" w:hAnsi="Arial" w:cs="Arial"/>
                <w:i/>
                <w:iCs/>
                <w:color w:val="000000"/>
                <w:sz w:val="20"/>
                <w:szCs w:val="20"/>
              </w:rPr>
              <w:t>The accompanying notes form part of these statements</w:t>
            </w:r>
          </w:p>
        </w:tc>
        <w:tc>
          <w:tcPr>
            <w:tcW w:w="94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94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94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94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r>
    </w:tbl>
    <w:p w:rsidR="00B42A73" w:rsidRPr="00CA2CF2" w:rsidRDefault="00B42A73" w:rsidP="00CA2CF2">
      <w:r w:rsidRPr="00CA2CF2">
        <w:br w:type="page"/>
      </w:r>
    </w:p>
    <w:p w:rsidR="00CA2CF2" w:rsidRPr="00797E13" w:rsidRDefault="00CA2CF2" w:rsidP="00797E13">
      <w:pPr>
        <w:pStyle w:val="Heading2Financials"/>
      </w:pPr>
      <w:bookmarkStart w:id="94" w:name="_Toc397589540"/>
      <w:bookmarkStart w:id="95" w:name="_Toc397589554"/>
      <w:r w:rsidRPr="00797E13">
        <w:lastRenderedPageBreak/>
        <w:t>Statement of cash flows</w:t>
      </w:r>
      <w:bookmarkEnd w:id="94"/>
      <w:bookmarkEnd w:id="95"/>
    </w:p>
    <w:p w:rsidR="00797E13" w:rsidRPr="00803EDB" w:rsidRDefault="00797E13" w:rsidP="009D2836">
      <w:pPr>
        <w:pStyle w:val="Heading2Financialfollower"/>
      </w:pPr>
      <w:proofErr w:type="gramStart"/>
      <w:r w:rsidRPr="00803EDB">
        <w:t>for</w:t>
      </w:r>
      <w:proofErr w:type="gramEnd"/>
      <w:r w:rsidRPr="00803EDB">
        <w:t xml:space="preserve"> the year ended 30 June 2014</w:t>
      </w:r>
    </w:p>
    <w:tbl>
      <w:tblPr>
        <w:tblW w:w="4952" w:type="pct"/>
        <w:tblInd w:w="93" w:type="dxa"/>
        <w:tblLook w:val="04A0" w:firstRow="1" w:lastRow="0" w:firstColumn="1" w:lastColumn="0" w:noHBand="0" w:noVBand="1"/>
      </w:tblPr>
      <w:tblGrid>
        <w:gridCol w:w="436"/>
        <w:gridCol w:w="438"/>
        <w:gridCol w:w="5009"/>
        <w:gridCol w:w="843"/>
        <w:gridCol w:w="1461"/>
        <w:gridCol w:w="1461"/>
      </w:tblGrid>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2014</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2013</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b/>
                <w:bCs/>
                <w:color w:val="000000"/>
                <w:sz w:val="20"/>
                <w:szCs w:val="20"/>
              </w:rPr>
            </w:pPr>
            <w:r w:rsidRPr="00797E13">
              <w:rPr>
                <w:rFonts w:ascii="Arial" w:hAnsi="Arial" w:cs="Arial"/>
                <w:b/>
                <w:bCs/>
                <w:color w:val="000000"/>
                <w:sz w:val="20"/>
                <w:szCs w:val="20"/>
              </w:rPr>
              <w:t>Notes</w:t>
            </w: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$'000 </w:t>
            </w:r>
          </w:p>
        </w:tc>
      </w:tr>
      <w:tr w:rsidR="00797E13" w:rsidRPr="00797E13" w:rsidTr="009D2836">
        <w:trPr>
          <w:trHeight w:val="360"/>
        </w:trPr>
        <w:tc>
          <w:tcPr>
            <w:tcW w:w="5883" w:type="dxa"/>
            <w:gridSpan w:val="3"/>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r w:rsidRPr="00797E13">
              <w:rPr>
                <w:rFonts w:ascii="Arial" w:hAnsi="Arial" w:cs="Arial"/>
                <w:b/>
                <w:bCs/>
                <w:color w:val="000000"/>
                <w:sz w:val="20"/>
                <w:szCs w:val="20"/>
              </w:rPr>
              <w:t>Cash flows from operating activities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447"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i/>
                <w:iCs/>
                <w:color w:val="000000"/>
                <w:sz w:val="20"/>
                <w:szCs w:val="20"/>
              </w:rPr>
            </w:pPr>
            <w:r w:rsidRPr="00797E13">
              <w:rPr>
                <w:rFonts w:ascii="Arial" w:hAnsi="Arial" w:cs="Arial"/>
                <w:b/>
                <w:bCs/>
                <w:i/>
                <w:iCs/>
                <w:color w:val="000000"/>
                <w:sz w:val="20"/>
                <w:szCs w:val="20"/>
              </w:rPr>
              <w:t>Inflows: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User charges and fees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2,354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1,770 </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2C5C3C">
            <w:pPr>
              <w:spacing w:before="0" w:line="240" w:lineRule="auto"/>
              <w:rPr>
                <w:rFonts w:ascii="Arial" w:hAnsi="Arial" w:cs="Arial"/>
                <w:color w:val="000000"/>
                <w:sz w:val="20"/>
                <w:szCs w:val="20"/>
              </w:rPr>
            </w:pPr>
            <w:r w:rsidRPr="00797E13">
              <w:rPr>
                <w:rFonts w:ascii="Arial" w:hAnsi="Arial" w:cs="Arial"/>
                <w:color w:val="000000"/>
                <w:sz w:val="20"/>
                <w:szCs w:val="20"/>
              </w:rPr>
              <w:t>Grants and other contributions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37,233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38,527 </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Interest receipts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367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650 </w:t>
            </w:r>
          </w:p>
        </w:tc>
      </w:tr>
      <w:tr w:rsidR="00E92853" w:rsidRPr="00797E13" w:rsidTr="009D2836">
        <w:trPr>
          <w:trHeight w:val="360"/>
        </w:trPr>
        <w:tc>
          <w:tcPr>
            <w:tcW w:w="436" w:type="dxa"/>
            <w:tcBorders>
              <w:top w:val="nil"/>
              <w:left w:val="nil"/>
              <w:bottom w:val="nil"/>
              <w:right w:val="nil"/>
            </w:tcBorders>
            <w:shd w:val="clear" w:color="auto" w:fill="auto"/>
            <w:noWrap/>
            <w:vAlign w:val="bottom"/>
            <w:hideMark/>
          </w:tcPr>
          <w:p w:rsidR="00E92853" w:rsidRPr="00797E13" w:rsidRDefault="00E9285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E92853" w:rsidRPr="00797E13" w:rsidRDefault="00E9285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E92853" w:rsidRPr="00797E13" w:rsidRDefault="00E92853" w:rsidP="00797E13">
            <w:pPr>
              <w:spacing w:before="0" w:line="240" w:lineRule="auto"/>
              <w:rPr>
                <w:rFonts w:ascii="Arial" w:hAnsi="Arial" w:cs="Arial"/>
                <w:color w:val="000000"/>
                <w:sz w:val="20"/>
                <w:szCs w:val="20"/>
              </w:rPr>
            </w:pPr>
            <w:r w:rsidRPr="00797E13">
              <w:rPr>
                <w:rFonts w:ascii="Arial" w:hAnsi="Arial" w:cs="Arial"/>
                <w:color w:val="000000"/>
                <w:sz w:val="20"/>
                <w:szCs w:val="20"/>
              </w:rPr>
              <w:t>GST input tax credits from</w:t>
            </w:r>
            <w:r>
              <w:rPr>
                <w:rFonts w:ascii="Arial" w:hAnsi="Arial" w:cs="Arial"/>
                <w:color w:val="000000"/>
                <w:sz w:val="20"/>
                <w:szCs w:val="20"/>
              </w:rPr>
              <w:t xml:space="preserve"> Australian Taxation Office</w:t>
            </w:r>
          </w:p>
        </w:tc>
        <w:tc>
          <w:tcPr>
            <w:tcW w:w="843" w:type="dxa"/>
            <w:tcBorders>
              <w:top w:val="nil"/>
              <w:left w:val="nil"/>
              <w:bottom w:val="nil"/>
              <w:right w:val="nil"/>
            </w:tcBorders>
            <w:shd w:val="clear" w:color="auto" w:fill="auto"/>
            <w:vAlign w:val="bottom"/>
          </w:tcPr>
          <w:p w:rsidR="00E92853" w:rsidRPr="00797E13" w:rsidRDefault="00E92853" w:rsidP="00797E13">
            <w:pPr>
              <w:spacing w:before="0" w:line="240" w:lineRule="auto"/>
              <w:rPr>
                <w:rFonts w:ascii="Arial" w:hAnsi="Arial" w:cs="Arial"/>
                <w:color w:val="000000"/>
                <w:sz w:val="20"/>
                <w:szCs w:val="20"/>
              </w:rPr>
            </w:pPr>
          </w:p>
        </w:tc>
        <w:tc>
          <w:tcPr>
            <w:tcW w:w="1461" w:type="dxa"/>
            <w:tcBorders>
              <w:top w:val="nil"/>
              <w:left w:val="nil"/>
              <w:bottom w:val="nil"/>
              <w:right w:val="nil"/>
            </w:tcBorders>
            <w:shd w:val="clear" w:color="000000" w:fill="D9D9D9"/>
            <w:noWrap/>
            <w:vAlign w:val="bottom"/>
            <w:hideMark/>
          </w:tcPr>
          <w:p w:rsidR="00E92853" w:rsidRPr="00797E13" w:rsidRDefault="00E9285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1,311 </w:t>
            </w:r>
          </w:p>
        </w:tc>
        <w:tc>
          <w:tcPr>
            <w:tcW w:w="1461" w:type="dxa"/>
            <w:tcBorders>
              <w:top w:val="nil"/>
              <w:left w:val="nil"/>
              <w:bottom w:val="nil"/>
              <w:right w:val="nil"/>
            </w:tcBorders>
            <w:shd w:val="clear" w:color="auto" w:fill="auto"/>
            <w:noWrap/>
            <w:vAlign w:val="bottom"/>
            <w:hideMark/>
          </w:tcPr>
          <w:p w:rsidR="00E92853" w:rsidRPr="00797E13" w:rsidRDefault="00E9285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1,201 </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GST collected from customers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149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181 </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 xml:space="preserve">Other </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16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67 </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447"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i/>
                <w:iCs/>
                <w:color w:val="000000"/>
                <w:sz w:val="20"/>
                <w:szCs w:val="20"/>
              </w:rPr>
            </w:pPr>
            <w:r w:rsidRPr="00797E13">
              <w:rPr>
                <w:rFonts w:ascii="Arial" w:hAnsi="Arial" w:cs="Arial"/>
                <w:b/>
                <w:bCs/>
                <w:i/>
                <w:iCs/>
                <w:color w:val="000000"/>
                <w:sz w:val="20"/>
                <w:szCs w:val="20"/>
              </w:rPr>
              <w:t>Outflows: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Employee expenses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(25,944)</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(27,093)</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Supplies and services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(12,455)</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(11,626)</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Grants and subsidies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(6)</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(26)</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color w:val="000000"/>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r w:rsidRPr="00797E13">
              <w:rPr>
                <w:rFonts w:ascii="Arial" w:hAnsi="Arial" w:cs="Arial"/>
                <w:color w:val="000000"/>
                <w:sz w:val="20"/>
                <w:szCs w:val="20"/>
              </w:rPr>
              <w:t>GST remitted to Australian Taxation Office</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color w:val="000000"/>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(151)</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(149)</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GST paid to suppliers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(1,328)</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(1,464)</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 xml:space="preserve">Other </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(94)</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(118)</w:t>
            </w:r>
          </w:p>
        </w:tc>
      </w:tr>
      <w:tr w:rsidR="00797E13" w:rsidRPr="00797E13" w:rsidTr="009D2836">
        <w:trPr>
          <w:trHeight w:val="360"/>
        </w:trPr>
        <w:tc>
          <w:tcPr>
            <w:tcW w:w="5883" w:type="dxa"/>
            <w:gridSpan w:val="3"/>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Net cash provided by operating activities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r w:rsidRPr="00797E13">
              <w:rPr>
                <w:rFonts w:ascii="Arial" w:hAnsi="Arial" w:cs="Arial"/>
                <w:i/>
                <w:iCs/>
                <w:sz w:val="20"/>
                <w:szCs w:val="20"/>
              </w:rPr>
              <w:t>18</w:t>
            </w:r>
          </w:p>
        </w:tc>
        <w:tc>
          <w:tcPr>
            <w:tcW w:w="1461"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1,452 </w:t>
            </w:r>
          </w:p>
        </w:tc>
        <w:tc>
          <w:tcPr>
            <w:tcW w:w="1461"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1,920 </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5883" w:type="dxa"/>
            <w:gridSpan w:val="3"/>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Cash flows from investing activities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447" w:type="dxa"/>
            <w:gridSpan w:val="2"/>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i/>
                <w:iCs/>
                <w:color w:val="000000"/>
                <w:sz w:val="20"/>
                <w:szCs w:val="20"/>
              </w:rPr>
            </w:pPr>
            <w:r w:rsidRPr="00797E13">
              <w:rPr>
                <w:rFonts w:ascii="Arial" w:hAnsi="Arial" w:cs="Arial"/>
                <w:b/>
                <w:bCs/>
                <w:i/>
                <w:iCs/>
                <w:color w:val="000000"/>
                <w:sz w:val="20"/>
                <w:szCs w:val="20"/>
              </w:rPr>
              <w:t>Outflows: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Payments for plant and equipment</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(649)</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(65)</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Payments for intangibles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(841)</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(89)</w:t>
            </w:r>
          </w:p>
        </w:tc>
      </w:tr>
      <w:tr w:rsidR="00797E13" w:rsidRPr="00797E13" w:rsidTr="009D2836">
        <w:trPr>
          <w:trHeight w:val="360"/>
        </w:trPr>
        <w:tc>
          <w:tcPr>
            <w:tcW w:w="5883" w:type="dxa"/>
            <w:gridSpan w:val="3"/>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Net cash used in investing activities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61"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(1,490)</w:t>
            </w:r>
          </w:p>
        </w:tc>
        <w:tc>
          <w:tcPr>
            <w:tcW w:w="1461"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(154)</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5883" w:type="dxa"/>
            <w:gridSpan w:val="3"/>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Net increase/(decrease) in cash and cash equivalents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(38)</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1,766 </w:t>
            </w:r>
          </w:p>
        </w:tc>
      </w:tr>
      <w:tr w:rsidR="00797E13" w:rsidRPr="00797E13" w:rsidTr="009D2836">
        <w:trPr>
          <w:trHeight w:val="360"/>
        </w:trPr>
        <w:tc>
          <w:tcPr>
            <w:tcW w:w="5883" w:type="dxa"/>
            <w:gridSpan w:val="3"/>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r w:rsidRPr="00797E13">
              <w:rPr>
                <w:rFonts w:ascii="Arial" w:hAnsi="Arial" w:cs="Arial"/>
                <w:sz w:val="20"/>
                <w:szCs w:val="20"/>
              </w:rPr>
              <w:t>Cash and cash equivalents at beginning of financial year</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12,505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r w:rsidRPr="00797E13">
              <w:rPr>
                <w:rFonts w:ascii="Arial" w:hAnsi="Arial" w:cs="Arial"/>
                <w:color w:val="000000"/>
                <w:sz w:val="20"/>
                <w:szCs w:val="20"/>
              </w:rPr>
              <w:t xml:space="preserve">10,739 </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438"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p>
        </w:tc>
        <w:tc>
          <w:tcPr>
            <w:tcW w:w="5009"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sz w:val="20"/>
                <w:szCs w:val="20"/>
              </w:rPr>
            </w:pP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61" w:type="dxa"/>
            <w:tcBorders>
              <w:top w:val="nil"/>
              <w:left w:val="nil"/>
              <w:bottom w:val="nil"/>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sz w:val="20"/>
                <w:szCs w:val="20"/>
              </w:rPr>
            </w:pPr>
            <w:r w:rsidRPr="00797E13">
              <w:rPr>
                <w:rFonts w:ascii="Arial" w:hAnsi="Arial" w:cs="Arial"/>
                <w:sz w:val="20"/>
                <w:szCs w:val="20"/>
              </w:rPr>
              <w:t> </w:t>
            </w: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color w:val="000000"/>
                <w:sz w:val="20"/>
                <w:szCs w:val="20"/>
              </w:rPr>
            </w:pPr>
          </w:p>
        </w:tc>
      </w:tr>
      <w:tr w:rsidR="00797E13" w:rsidRPr="00797E13" w:rsidTr="009D2836">
        <w:trPr>
          <w:trHeight w:val="360"/>
        </w:trPr>
        <w:tc>
          <w:tcPr>
            <w:tcW w:w="5883" w:type="dxa"/>
            <w:gridSpan w:val="3"/>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b/>
                <w:bCs/>
                <w:sz w:val="20"/>
                <w:szCs w:val="20"/>
              </w:rPr>
            </w:pPr>
            <w:r w:rsidRPr="00797E13">
              <w:rPr>
                <w:rFonts w:ascii="Arial" w:hAnsi="Arial" w:cs="Arial"/>
                <w:b/>
                <w:bCs/>
                <w:sz w:val="20"/>
                <w:szCs w:val="20"/>
              </w:rPr>
              <w:t>Cash and cash equivalents at end of financial year</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i/>
                <w:iCs/>
                <w:sz w:val="20"/>
                <w:szCs w:val="20"/>
              </w:rPr>
            </w:pPr>
            <w:r w:rsidRPr="00797E13">
              <w:rPr>
                <w:rFonts w:ascii="Arial" w:hAnsi="Arial" w:cs="Arial"/>
                <w:i/>
                <w:iCs/>
                <w:sz w:val="20"/>
                <w:szCs w:val="20"/>
              </w:rPr>
              <w:t>11</w:t>
            </w:r>
          </w:p>
        </w:tc>
        <w:tc>
          <w:tcPr>
            <w:tcW w:w="1461" w:type="dxa"/>
            <w:tcBorders>
              <w:top w:val="single" w:sz="4" w:space="0" w:color="auto"/>
              <w:left w:val="nil"/>
              <w:bottom w:val="double" w:sz="6" w:space="0" w:color="auto"/>
              <w:right w:val="nil"/>
            </w:tcBorders>
            <w:shd w:val="clear" w:color="000000" w:fill="D9D9D9"/>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12,467 </w:t>
            </w:r>
          </w:p>
        </w:tc>
        <w:tc>
          <w:tcPr>
            <w:tcW w:w="1461" w:type="dxa"/>
            <w:tcBorders>
              <w:top w:val="single" w:sz="4" w:space="0" w:color="auto"/>
              <w:left w:val="nil"/>
              <w:bottom w:val="double" w:sz="6" w:space="0" w:color="auto"/>
              <w:right w:val="nil"/>
            </w:tcBorders>
            <w:shd w:val="clear" w:color="auto" w:fill="auto"/>
            <w:noWrap/>
            <w:vAlign w:val="bottom"/>
            <w:hideMark/>
          </w:tcPr>
          <w:p w:rsidR="00797E13" w:rsidRPr="00797E13" w:rsidRDefault="00797E13" w:rsidP="00797E13">
            <w:pPr>
              <w:spacing w:before="0" w:line="240" w:lineRule="auto"/>
              <w:jc w:val="right"/>
              <w:rPr>
                <w:rFonts w:ascii="Arial" w:hAnsi="Arial" w:cs="Arial"/>
                <w:b/>
                <w:bCs/>
                <w:color w:val="000000"/>
                <w:sz w:val="20"/>
                <w:szCs w:val="20"/>
              </w:rPr>
            </w:pPr>
            <w:r w:rsidRPr="00797E13">
              <w:rPr>
                <w:rFonts w:ascii="Arial" w:hAnsi="Arial" w:cs="Arial"/>
                <w:b/>
                <w:bCs/>
                <w:color w:val="000000"/>
                <w:sz w:val="20"/>
                <w:szCs w:val="20"/>
              </w:rPr>
              <w:t xml:space="preserve">12,505 </w:t>
            </w:r>
          </w:p>
        </w:tc>
      </w:tr>
      <w:tr w:rsidR="00797E13" w:rsidRPr="00797E13" w:rsidTr="009D2836">
        <w:trPr>
          <w:trHeight w:val="360"/>
        </w:trPr>
        <w:tc>
          <w:tcPr>
            <w:tcW w:w="436" w:type="dxa"/>
            <w:tcBorders>
              <w:top w:val="nil"/>
              <w:left w:val="nil"/>
              <w:bottom w:val="nil"/>
              <w:right w:val="nil"/>
            </w:tcBorders>
            <w:shd w:val="clear" w:color="auto" w:fill="auto"/>
            <w:noWrap/>
            <w:vAlign w:val="bottom"/>
            <w:hideMark/>
          </w:tcPr>
          <w:p w:rsidR="00797E13" w:rsidRPr="00B56C26" w:rsidRDefault="00797E13" w:rsidP="00797E13">
            <w:pPr>
              <w:spacing w:before="0" w:line="240" w:lineRule="auto"/>
              <w:rPr>
                <w:rFonts w:ascii="Arial" w:hAnsi="Arial" w:cs="Arial"/>
                <w:bCs/>
                <w:sz w:val="20"/>
                <w:szCs w:val="20"/>
              </w:rPr>
            </w:pPr>
          </w:p>
        </w:tc>
        <w:tc>
          <w:tcPr>
            <w:tcW w:w="438" w:type="dxa"/>
            <w:tcBorders>
              <w:top w:val="nil"/>
              <w:left w:val="nil"/>
              <w:bottom w:val="nil"/>
              <w:right w:val="nil"/>
            </w:tcBorders>
            <w:shd w:val="clear" w:color="auto" w:fill="auto"/>
            <w:noWrap/>
            <w:vAlign w:val="bottom"/>
            <w:hideMark/>
          </w:tcPr>
          <w:p w:rsidR="00797E13" w:rsidRPr="00B56C26" w:rsidRDefault="00797E13" w:rsidP="00797E13">
            <w:pPr>
              <w:spacing w:before="0" w:line="240" w:lineRule="auto"/>
              <w:rPr>
                <w:rFonts w:ascii="Arial" w:hAnsi="Arial" w:cs="Arial"/>
                <w:bCs/>
                <w:sz w:val="20"/>
                <w:szCs w:val="20"/>
              </w:rPr>
            </w:pPr>
          </w:p>
        </w:tc>
        <w:tc>
          <w:tcPr>
            <w:tcW w:w="5009" w:type="dxa"/>
            <w:tcBorders>
              <w:top w:val="nil"/>
              <w:left w:val="nil"/>
              <w:bottom w:val="nil"/>
              <w:right w:val="nil"/>
            </w:tcBorders>
            <w:shd w:val="clear" w:color="auto" w:fill="auto"/>
            <w:noWrap/>
            <w:vAlign w:val="bottom"/>
            <w:hideMark/>
          </w:tcPr>
          <w:p w:rsidR="00797E13" w:rsidRPr="00B56C26" w:rsidRDefault="00797E13" w:rsidP="00797E13">
            <w:pPr>
              <w:spacing w:before="0" w:line="240" w:lineRule="auto"/>
              <w:rPr>
                <w:rFonts w:ascii="Arial" w:hAnsi="Arial" w:cs="Arial"/>
                <w:sz w:val="20"/>
                <w:szCs w:val="20"/>
              </w:rPr>
            </w:pP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r>
      <w:tr w:rsidR="00797E13" w:rsidRPr="00797E13" w:rsidTr="009D2836">
        <w:trPr>
          <w:trHeight w:val="360"/>
        </w:trPr>
        <w:tc>
          <w:tcPr>
            <w:tcW w:w="5883" w:type="dxa"/>
            <w:gridSpan w:val="3"/>
            <w:tcBorders>
              <w:top w:val="nil"/>
              <w:left w:val="nil"/>
              <w:bottom w:val="nil"/>
              <w:right w:val="nil"/>
            </w:tcBorders>
            <w:shd w:val="clear" w:color="auto" w:fill="auto"/>
            <w:noWrap/>
            <w:vAlign w:val="bottom"/>
            <w:hideMark/>
          </w:tcPr>
          <w:p w:rsidR="00797E13" w:rsidRPr="00797E13" w:rsidRDefault="00797E13" w:rsidP="00B56C26">
            <w:pPr>
              <w:spacing w:before="0" w:after="40" w:line="240" w:lineRule="auto"/>
              <w:rPr>
                <w:rFonts w:ascii="Arial" w:hAnsi="Arial" w:cs="Arial"/>
                <w:i/>
                <w:iCs/>
                <w:sz w:val="20"/>
                <w:szCs w:val="20"/>
              </w:rPr>
            </w:pPr>
            <w:r w:rsidRPr="00797E13">
              <w:rPr>
                <w:rFonts w:ascii="Arial" w:hAnsi="Arial" w:cs="Arial"/>
                <w:i/>
                <w:iCs/>
                <w:sz w:val="20"/>
                <w:szCs w:val="20"/>
              </w:rPr>
              <w:t>The accompanying notes form part of these statements</w:t>
            </w:r>
          </w:p>
        </w:tc>
        <w:tc>
          <w:tcPr>
            <w:tcW w:w="843"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jc w:val="center"/>
              <w:rPr>
                <w:rFonts w:ascii="Arial" w:hAnsi="Arial" w:cs="Arial"/>
                <w:sz w:val="20"/>
                <w:szCs w:val="20"/>
              </w:rPr>
            </w:pP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c>
          <w:tcPr>
            <w:tcW w:w="1461" w:type="dxa"/>
            <w:tcBorders>
              <w:top w:val="nil"/>
              <w:left w:val="nil"/>
              <w:bottom w:val="nil"/>
              <w:right w:val="nil"/>
            </w:tcBorders>
            <w:shd w:val="clear" w:color="auto" w:fill="auto"/>
            <w:noWrap/>
            <w:vAlign w:val="bottom"/>
            <w:hideMark/>
          </w:tcPr>
          <w:p w:rsidR="00797E13" w:rsidRPr="00797E13" w:rsidRDefault="00797E13" w:rsidP="00797E13">
            <w:pPr>
              <w:spacing w:before="0" w:line="240" w:lineRule="auto"/>
              <w:rPr>
                <w:rFonts w:ascii="Arial" w:hAnsi="Arial" w:cs="Arial"/>
                <w:color w:val="000000"/>
                <w:sz w:val="20"/>
                <w:szCs w:val="20"/>
              </w:rPr>
            </w:pPr>
          </w:p>
        </w:tc>
      </w:tr>
    </w:tbl>
    <w:p w:rsidR="00FA0C35" w:rsidRDefault="00FA0C35" w:rsidP="00CA2CF2"/>
    <w:p w:rsidR="00797E13" w:rsidRDefault="00797E13" w:rsidP="00CA2CF2">
      <w:pPr>
        <w:sectPr w:rsidR="00797E13" w:rsidSect="00D26D38">
          <w:footerReference w:type="even" r:id="rId40"/>
          <w:footerReference w:type="default" r:id="rId41"/>
          <w:pgSz w:w="11907" w:h="16840" w:code="9"/>
          <w:pgMar w:top="1134" w:right="1191" w:bottom="1418" w:left="1191" w:header="567" w:footer="680" w:gutter="0"/>
          <w:cols w:space="720"/>
          <w:formProt w:val="0"/>
          <w:noEndnote/>
          <w:docGrid w:linePitch="299"/>
        </w:sectPr>
      </w:pPr>
    </w:p>
    <w:p w:rsidR="00857B96" w:rsidRPr="00857B96" w:rsidRDefault="00CA2CF2" w:rsidP="00857B96">
      <w:pPr>
        <w:pStyle w:val="Heading2Financials"/>
      </w:pPr>
      <w:bookmarkStart w:id="96" w:name="_Toc397589541"/>
      <w:bookmarkStart w:id="97" w:name="_Toc397589555"/>
      <w:r w:rsidRPr="00857B96">
        <w:lastRenderedPageBreak/>
        <w:t>Notes to and forming part of the financial statements</w:t>
      </w:r>
      <w:bookmarkEnd w:id="96"/>
      <w:bookmarkEnd w:id="97"/>
    </w:p>
    <w:p w:rsidR="00857B96" w:rsidRPr="00803EDB" w:rsidRDefault="00857B96" w:rsidP="009D2836">
      <w:pPr>
        <w:pStyle w:val="Heading2Financialfollower"/>
      </w:pPr>
      <w:proofErr w:type="gramStart"/>
      <w:r w:rsidRPr="00803EDB">
        <w:t>for</w:t>
      </w:r>
      <w:proofErr w:type="gramEnd"/>
      <w:r w:rsidRPr="00803EDB">
        <w:t xml:space="preserve"> the year ended 30 June 2014</w:t>
      </w:r>
    </w:p>
    <w:p w:rsidR="00FA0C35" w:rsidRPr="009D2836" w:rsidRDefault="00FA0C35" w:rsidP="00D11210">
      <w:pPr>
        <w:tabs>
          <w:tab w:val="left" w:pos="284"/>
          <w:tab w:val="left" w:pos="709"/>
          <w:tab w:val="left" w:pos="1276"/>
        </w:tabs>
        <w:spacing w:before="240" w:line="240" w:lineRule="auto"/>
        <w:rPr>
          <w:rFonts w:ascii="Arial" w:hAnsi="Arial" w:cs="Arial"/>
          <w:sz w:val="20"/>
          <w:szCs w:val="20"/>
        </w:rPr>
      </w:pPr>
      <w:r w:rsidRPr="009D2836">
        <w:rPr>
          <w:rFonts w:ascii="Arial" w:hAnsi="Arial" w:cs="Arial"/>
          <w:sz w:val="20"/>
          <w:szCs w:val="20"/>
        </w:rPr>
        <w:t>Objectives and principal activities of the Queensland Studies Authority</w:t>
      </w:r>
    </w:p>
    <w:p w:rsidR="00FA0C35" w:rsidRPr="009D2836" w:rsidRDefault="00297BD5" w:rsidP="009D2836">
      <w:pPr>
        <w:tabs>
          <w:tab w:val="left" w:pos="993"/>
        </w:tabs>
        <w:spacing w:before="240" w:line="240" w:lineRule="auto"/>
        <w:rPr>
          <w:rFonts w:ascii="Arial" w:hAnsi="Arial" w:cs="Arial"/>
          <w:sz w:val="20"/>
          <w:szCs w:val="20"/>
        </w:rPr>
      </w:pPr>
      <w:hyperlink w:anchor="Note1"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w:t>
        </w:r>
        <w:r w:rsidR="00FA0C35" w:rsidRPr="009D2836">
          <w:rPr>
            <w:rStyle w:val="Hyperlink"/>
            <w:rFonts w:ascii="Arial" w:hAnsi="Arial" w:cs="Arial"/>
            <w:sz w:val="20"/>
            <w:szCs w:val="20"/>
          </w:rPr>
          <w:tab/>
          <w:t>Summary of Significant Accounting Policies</w:t>
        </w:r>
      </w:hyperlink>
    </w:p>
    <w:p w:rsidR="00FA0C35" w:rsidRPr="009D2836" w:rsidRDefault="00297BD5" w:rsidP="009D2836">
      <w:pPr>
        <w:tabs>
          <w:tab w:val="left" w:pos="993"/>
        </w:tabs>
        <w:spacing w:before="240" w:line="240" w:lineRule="auto"/>
        <w:rPr>
          <w:rFonts w:ascii="Arial" w:hAnsi="Arial" w:cs="Arial"/>
          <w:sz w:val="20"/>
          <w:szCs w:val="20"/>
        </w:rPr>
      </w:pPr>
      <w:hyperlink w:anchor="Note2"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2</w:t>
        </w:r>
        <w:r w:rsidR="00FA0C35" w:rsidRPr="009D2836">
          <w:rPr>
            <w:rStyle w:val="Hyperlink"/>
            <w:rFonts w:ascii="Arial" w:hAnsi="Arial" w:cs="Arial"/>
            <w:sz w:val="20"/>
            <w:szCs w:val="20"/>
          </w:rPr>
          <w:tab/>
          <w:t xml:space="preserve">Going Concern </w:t>
        </w:r>
        <w:proofErr w:type="gramStart"/>
        <w:r w:rsidR="00FA0C35" w:rsidRPr="009D2836">
          <w:rPr>
            <w:rStyle w:val="Hyperlink"/>
            <w:rFonts w:ascii="Arial" w:hAnsi="Arial" w:cs="Arial"/>
            <w:sz w:val="20"/>
            <w:szCs w:val="20"/>
          </w:rPr>
          <w:t>Assumption</w:t>
        </w:r>
        <w:proofErr w:type="gramEnd"/>
      </w:hyperlink>
    </w:p>
    <w:p w:rsidR="00FA0C35" w:rsidRPr="009D2836" w:rsidRDefault="00297BD5" w:rsidP="009D2836">
      <w:pPr>
        <w:tabs>
          <w:tab w:val="left" w:pos="993"/>
        </w:tabs>
        <w:spacing w:before="240" w:line="240" w:lineRule="auto"/>
        <w:rPr>
          <w:rFonts w:ascii="Arial" w:hAnsi="Arial" w:cs="Arial"/>
          <w:sz w:val="20"/>
          <w:szCs w:val="20"/>
        </w:rPr>
      </w:pPr>
      <w:hyperlink w:anchor="Note3"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3</w:t>
        </w:r>
        <w:r w:rsidR="00FA0C35" w:rsidRPr="009D2836">
          <w:rPr>
            <w:rStyle w:val="Hyperlink"/>
            <w:rFonts w:ascii="Arial" w:hAnsi="Arial" w:cs="Arial"/>
            <w:sz w:val="20"/>
            <w:szCs w:val="20"/>
          </w:rPr>
          <w:tab/>
          <w:t>User Charges and Fees</w:t>
        </w:r>
      </w:hyperlink>
    </w:p>
    <w:p w:rsidR="00FA0C35" w:rsidRPr="009D2836" w:rsidRDefault="00297BD5" w:rsidP="009D2836">
      <w:pPr>
        <w:tabs>
          <w:tab w:val="left" w:pos="993"/>
        </w:tabs>
        <w:spacing w:before="240" w:line="240" w:lineRule="auto"/>
        <w:rPr>
          <w:rFonts w:ascii="Arial" w:hAnsi="Arial" w:cs="Arial"/>
          <w:sz w:val="20"/>
          <w:szCs w:val="20"/>
        </w:rPr>
      </w:pPr>
      <w:hyperlink w:anchor="Note4"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4</w:t>
        </w:r>
        <w:r w:rsidR="00FA0C35" w:rsidRPr="009D2836">
          <w:rPr>
            <w:rStyle w:val="Hyperlink"/>
            <w:rFonts w:ascii="Arial" w:hAnsi="Arial" w:cs="Arial"/>
            <w:sz w:val="20"/>
            <w:szCs w:val="20"/>
          </w:rPr>
          <w:tab/>
          <w:t>Grants and other Contributions</w:t>
        </w:r>
      </w:hyperlink>
    </w:p>
    <w:p w:rsidR="00FA0C35" w:rsidRPr="009D2836" w:rsidRDefault="00297BD5" w:rsidP="009D2836">
      <w:pPr>
        <w:tabs>
          <w:tab w:val="left" w:pos="993"/>
        </w:tabs>
        <w:spacing w:before="240" w:line="240" w:lineRule="auto"/>
        <w:rPr>
          <w:rFonts w:ascii="Arial" w:hAnsi="Arial" w:cs="Arial"/>
          <w:sz w:val="20"/>
          <w:szCs w:val="20"/>
        </w:rPr>
      </w:pPr>
      <w:hyperlink w:anchor="Note5"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5</w:t>
        </w:r>
        <w:r w:rsidR="00FA0C35" w:rsidRPr="009D2836">
          <w:rPr>
            <w:rStyle w:val="Hyperlink"/>
            <w:rFonts w:ascii="Arial" w:hAnsi="Arial" w:cs="Arial"/>
            <w:sz w:val="20"/>
            <w:szCs w:val="20"/>
          </w:rPr>
          <w:tab/>
          <w:t>Employee Expenses</w:t>
        </w:r>
      </w:hyperlink>
      <w:r w:rsidR="00FA0C35" w:rsidRPr="009D2836">
        <w:rPr>
          <w:rFonts w:ascii="Arial" w:hAnsi="Arial" w:cs="Arial"/>
          <w:sz w:val="20"/>
          <w:szCs w:val="20"/>
        </w:rPr>
        <w:t xml:space="preserve"> </w:t>
      </w:r>
    </w:p>
    <w:p w:rsidR="00FA0C35" w:rsidRPr="009D2836" w:rsidRDefault="00297BD5" w:rsidP="009D2836">
      <w:pPr>
        <w:tabs>
          <w:tab w:val="left" w:pos="993"/>
        </w:tabs>
        <w:spacing w:before="240" w:line="240" w:lineRule="auto"/>
        <w:rPr>
          <w:rFonts w:ascii="Arial" w:hAnsi="Arial" w:cs="Arial"/>
          <w:sz w:val="20"/>
          <w:szCs w:val="20"/>
        </w:rPr>
      </w:pPr>
      <w:hyperlink w:anchor="Note6"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6</w:t>
        </w:r>
        <w:r w:rsidR="00FA0C35" w:rsidRPr="009D2836">
          <w:rPr>
            <w:rStyle w:val="Hyperlink"/>
            <w:rFonts w:ascii="Arial" w:hAnsi="Arial" w:cs="Arial"/>
            <w:sz w:val="20"/>
            <w:szCs w:val="20"/>
          </w:rPr>
          <w:tab/>
          <w:t>Key Management Personnel and Remuneration</w:t>
        </w:r>
      </w:hyperlink>
    </w:p>
    <w:p w:rsidR="00FA0C35" w:rsidRPr="009D2836" w:rsidRDefault="00297BD5" w:rsidP="009D2836">
      <w:pPr>
        <w:tabs>
          <w:tab w:val="left" w:pos="993"/>
        </w:tabs>
        <w:spacing w:before="240" w:line="240" w:lineRule="auto"/>
        <w:rPr>
          <w:rFonts w:ascii="Arial" w:hAnsi="Arial" w:cs="Arial"/>
          <w:sz w:val="20"/>
          <w:szCs w:val="20"/>
        </w:rPr>
      </w:pPr>
      <w:hyperlink w:anchor="Note7"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7</w:t>
        </w:r>
        <w:r w:rsidR="00FA0C35" w:rsidRPr="009D2836">
          <w:rPr>
            <w:rStyle w:val="Hyperlink"/>
            <w:rFonts w:ascii="Arial" w:hAnsi="Arial" w:cs="Arial"/>
            <w:sz w:val="20"/>
            <w:szCs w:val="20"/>
          </w:rPr>
          <w:tab/>
          <w:t>Supplies and Services</w:t>
        </w:r>
      </w:hyperlink>
    </w:p>
    <w:p w:rsidR="00FA0C35" w:rsidRPr="009D2836" w:rsidRDefault="00297BD5" w:rsidP="009D2836">
      <w:pPr>
        <w:tabs>
          <w:tab w:val="left" w:pos="993"/>
        </w:tabs>
        <w:spacing w:before="240" w:line="240" w:lineRule="auto"/>
        <w:rPr>
          <w:rFonts w:ascii="Arial" w:hAnsi="Arial" w:cs="Arial"/>
          <w:sz w:val="20"/>
          <w:szCs w:val="20"/>
        </w:rPr>
      </w:pPr>
      <w:hyperlink w:anchor="Note8" w:history="1">
        <w:r w:rsidR="009D2836">
          <w:rPr>
            <w:rStyle w:val="Hyperlink"/>
            <w:rFonts w:ascii="Arial" w:hAnsi="Arial" w:cs="Arial"/>
            <w:sz w:val="20"/>
            <w:szCs w:val="20"/>
          </w:rPr>
          <w:t xml:space="preserve">Note </w:t>
        </w:r>
        <w:proofErr w:type="gramStart"/>
        <w:r w:rsidR="00FA0C35" w:rsidRPr="009D2836">
          <w:rPr>
            <w:rStyle w:val="Hyperlink"/>
            <w:rFonts w:ascii="Arial" w:hAnsi="Arial" w:cs="Arial"/>
            <w:sz w:val="20"/>
            <w:szCs w:val="20"/>
          </w:rPr>
          <w:t>8</w:t>
        </w:r>
        <w:r w:rsidR="00FA0C35" w:rsidRPr="009D2836">
          <w:rPr>
            <w:rStyle w:val="Hyperlink"/>
            <w:rFonts w:ascii="Arial" w:hAnsi="Arial" w:cs="Arial"/>
            <w:sz w:val="20"/>
            <w:szCs w:val="20"/>
          </w:rPr>
          <w:tab/>
          <w:t>Depreciation</w:t>
        </w:r>
        <w:proofErr w:type="gramEnd"/>
        <w:r w:rsidR="00FA0C35" w:rsidRPr="009D2836">
          <w:rPr>
            <w:rStyle w:val="Hyperlink"/>
            <w:rFonts w:ascii="Arial" w:hAnsi="Arial" w:cs="Arial"/>
            <w:sz w:val="20"/>
            <w:szCs w:val="20"/>
          </w:rPr>
          <w:t xml:space="preserve"> and Amortisation</w:t>
        </w:r>
      </w:hyperlink>
    </w:p>
    <w:p w:rsidR="00FA0C35" w:rsidRPr="009D2836" w:rsidRDefault="00297BD5" w:rsidP="009D2836">
      <w:pPr>
        <w:tabs>
          <w:tab w:val="left" w:pos="993"/>
        </w:tabs>
        <w:spacing w:before="240" w:line="240" w:lineRule="auto"/>
        <w:rPr>
          <w:rFonts w:ascii="Arial" w:hAnsi="Arial" w:cs="Arial"/>
          <w:sz w:val="20"/>
          <w:szCs w:val="20"/>
        </w:rPr>
      </w:pPr>
      <w:hyperlink w:anchor="Note9"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9</w:t>
        </w:r>
        <w:r w:rsidR="00FA0C35" w:rsidRPr="009D2836">
          <w:rPr>
            <w:rStyle w:val="Hyperlink"/>
            <w:rFonts w:ascii="Arial" w:hAnsi="Arial" w:cs="Arial"/>
            <w:sz w:val="20"/>
            <w:szCs w:val="20"/>
          </w:rPr>
          <w:tab/>
          <w:t>Impairment Losses</w:t>
        </w:r>
      </w:hyperlink>
    </w:p>
    <w:p w:rsidR="00FA0C35" w:rsidRPr="009D2836" w:rsidRDefault="00297BD5" w:rsidP="009D2836">
      <w:pPr>
        <w:tabs>
          <w:tab w:val="left" w:pos="993"/>
        </w:tabs>
        <w:spacing w:before="240" w:line="240" w:lineRule="auto"/>
        <w:rPr>
          <w:rFonts w:ascii="Arial" w:hAnsi="Arial" w:cs="Arial"/>
          <w:sz w:val="20"/>
          <w:szCs w:val="20"/>
        </w:rPr>
      </w:pPr>
      <w:hyperlink w:anchor="Note10"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10</w:t>
        </w:r>
        <w:r w:rsidR="00FA0C35" w:rsidRPr="009D2836">
          <w:rPr>
            <w:rStyle w:val="Hyperlink"/>
            <w:rFonts w:ascii="Arial" w:hAnsi="Arial" w:cs="Arial"/>
            <w:sz w:val="20"/>
            <w:szCs w:val="20"/>
          </w:rPr>
          <w:tab/>
          <w:t>Other Expenses</w:t>
        </w:r>
      </w:hyperlink>
    </w:p>
    <w:p w:rsidR="00FA0C35" w:rsidRPr="009D2836" w:rsidRDefault="00297BD5" w:rsidP="009D2836">
      <w:pPr>
        <w:tabs>
          <w:tab w:val="left" w:pos="993"/>
        </w:tabs>
        <w:spacing w:before="240" w:line="240" w:lineRule="auto"/>
        <w:rPr>
          <w:rFonts w:ascii="Arial" w:hAnsi="Arial" w:cs="Arial"/>
          <w:sz w:val="20"/>
          <w:szCs w:val="20"/>
        </w:rPr>
      </w:pPr>
      <w:hyperlink w:anchor="Note11"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11</w:t>
        </w:r>
        <w:r w:rsidR="00FA0C35" w:rsidRPr="009D2836">
          <w:rPr>
            <w:rStyle w:val="Hyperlink"/>
            <w:rFonts w:ascii="Arial" w:hAnsi="Arial" w:cs="Arial"/>
            <w:sz w:val="20"/>
            <w:szCs w:val="20"/>
          </w:rPr>
          <w:tab/>
          <w:t>Cash and Cash Equivalents</w:t>
        </w:r>
      </w:hyperlink>
    </w:p>
    <w:p w:rsidR="00FA0C35" w:rsidRPr="009D2836" w:rsidRDefault="00297BD5" w:rsidP="009D2836">
      <w:pPr>
        <w:tabs>
          <w:tab w:val="left" w:pos="993"/>
        </w:tabs>
        <w:spacing w:before="240" w:line="240" w:lineRule="auto"/>
        <w:rPr>
          <w:rFonts w:ascii="Arial" w:hAnsi="Arial" w:cs="Arial"/>
          <w:sz w:val="20"/>
          <w:szCs w:val="20"/>
        </w:rPr>
      </w:pPr>
      <w:hyperlink w:anchor="Note12"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12</w:t>
        </w:r>
        <w:r w:rsidR="00FA0C35" w:rsidRPr="009D2836">
          <w:rPr>
            <w:rStyle w:val="Hyperlink"/>
            <w:rFonts w:ascii="Arial" w:hAnsi="Arial" w:cs="Arial"/>
            <w:sz w:val="20"/>
            <w:szCs w:val="20"/>
          </w:rPr>
          <w:tab/>
          <w:t>Receivables</w:t>
        </w:r>
      </w:hyperlink>
    </w:p>
    <w:p w:rsidR="00FA0C35" w:rsidRPr="009D2836" w:rsidRDefault="00297BD5" w:rsidP="009D2836">
      <w:pPr>
        <w:tabs>
          <w:tab w:val="left" w:pos="993"/>
        </w:tabs>
        <w:spacing w:before="240" w:line="240" w:lineRule="auto"/>
        <w:rPr>
          <w:rFonts w:ascii="Arial" w:hAnsi="Arial" w:cs="Arial"/>
          <w:sz w:val="20"/>
          <w:szCs w:val="20"/>
        </w:rPr>
      </w:pPr>
      <w:hyperlink w:anchor="Note13"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13</w:t>
        </w:r>
        <w:r w:rsidR="00FA0C35" w:rsidRPr="009D2836">
          <w:rPr>
            <w:rStyle w:val="Hyperlink"/>
            <w:rFonts w:ascii="Arial" w:hAnsi="Arial" w:cs="Arial"/>
            <w:sz w:val="20"/>
            <w:szCs w:val="20"/>
          </w:rPr>
          <w:tab/>
          <w:t>Inventories</w:t>
        </w:r>
      </w:hyperlink>
    </w:p>
    <w:p w:rsidR="00FA0C35" w:rsidRPr="009D2836" w:rsidRDefault="00297BD5" w:rsidP="009D2836">
      <w:pPr>
        <w:tabs>
          <w:tab w:val="left" w:pos="993"/>
        </w:tabs>
        <w:spacing w:before="240" w:line="240" w:lineRule="auto"/>
        <w:rPr>
          <w:rFonts w:ascii="Arial" w:hAnsi="Arial" w:cs="Arial"/>
          <w:sz w:val="20"/>
          <w:szCs w:val="20"/>
        </w:rPr>
      </w:pPr>
      <w:hyperlink w:anchor="Note14"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14</w:t>
        </w:r>
        <w:r w:rsidR="00FA0C35" w:rsidRPr="009D2836">
          <w:rPr>
            <w:rStyle w:val="Hyperlink"/>
            <w:rFonts w:ascii="Arial" w:hAnsi="Arial" w:cs="Arial"/>
            <w:sz w:val="20"/>
            <w:szCs w:val="20"/>
          </w:rPr>
          <w:tab/>
          <w:t>Intangible Assets</w:t>
        </w:r>
      </w:hyperlink>
    </w:p>
    <w:p w:rsidR="00FA0C35" w:rsidRPr="009D2836" w:rsidRDefault="00297BD5" w:rsidP="009D2836">
      <w:pPr>
        <w:tabs>
          <w:tab w:val="left" w:pos="993"/>
        </w:tabs>
        <w:spacing w:before="240" w:line="240" w:lineRule="auto"/>
        <w:rPr>
          <w:rFonts w:ascii="Arial" w:hAnsi="Arial" w:cs="Arial"/>
          <w:sz w:val="20"/>
          <w:szCs w:val="20"/>
        </w:rPr>
      </w:pPr>
      <w:hyperlink w:anchor="Note15"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15</w:t>
        </w:r>
        <w:r w:rsidR="00FA0C35" w:rsidRPr="009D2836">
          <w:rPr>
            <w:rStyle w:val="Hyperlink"/>
            <w:rFonts w:ascii="Arial" w:hAnsi="Arial" w:cs="Arial"/>
            <w:sz w:val="20"/>
            <w:szCs w:val="20"/>
          </w:rPr>
          <w:tab/>
        </w:r>
        <w:proofErr w:type="gramStart"/>
        <w:r w:rsidR="00FA0C35" w:rsidRPr="009D2836">
          <w:rPr>
            <w:rStyle w:val="Hyperlink"/>
            <w:rFonts w:ascii="Arial" w:hAnsi="Arial" w:cs="Arial"/>
            <w:sz w:val="20"/>
            <w:szCs w:val="20"/>
          </w:rPr>
          <w:t>Plant</w:t>
        </w:r>
        <w:proofErr w:type="gramEnd"/>
        <w:r w:rsidR="00FA0C35" w:rsidRPr="009D2836">
          <w:rPr>
            <w:rStyle w:val="Hyperlink"/>
            <w:rFonts w:ascii="Arial" w:hAnsi="Arial" w:cs="Arial"/>
            <w:sz w:val="20"/>
            <w:szCs w:val="20"/>
          </w:rPr>
          <w:t xml:space="preserve"> and Equipment</w:t>
        </w:r>
      </w:hyperlink>
    </w:p>
    <w:p w:rsidR="00FA0C35" w:rsidRPr="009D2836" w:rsidRDefault="00297BD5" w:rsidP="009D2836">
      <w:pPr>
        <w:tabs>
          <w:tab w:val="left" w:pos="993"/>
        </w:tabs>
        <w:spacing w:before="240" w:line="240" w:lineRule="auto"/>
        <w:rPr>
          <w:rFonts w:ascii="Arial" w:hAnsi="Arial" w:cs="Arial"/>
          <w:sz w:val="20"/>
          <w:szCs w:val="20"/>
        </w:rPr>
      </w:pPr>
      <w:hyperlink w:anchor="Note16"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16</w:t>
        </w:r>
        <w:r w:rsidR="00FA0C35" w:rsidRPr="009D2836">
          <w:rPr>
            <w:rStyle w:val="Hyperlink"/>
            <w:rFonts w:ascii="Arial" w:hAnsi="Arial" w:cs="Arial"/>
            <w:sz w:val="20"/>
            <w:szCs w:val="20"/>
          </w:rPr>
          <w:tab/>
          <w:t>Payables</w:t>
        </w:r>
      </w:hyperlink>
    </w:p>
    <w:p w:rsidR="00FA0C35" w:rsidRPr="009D2836" w:rsidRDefault="00297BD5" w:rsidP="009D2836">
      <w:pPr>
        <w:tabs>
          <w:tab w:val="left" w:pos="993"/>
        </w:tabs>
        <w:spacing w:before="240" w:line="240" w:lineRule="auto"/>
        <w:rPr>
          <w:rFonts w:ascii="Arial" w:hAnsi="Arial" w:cs="Arial"/>
          <w:sz w:val="20"/>
          <w:szCs w:val="20"/>
        </w:rPr>
      </w:pPr>
      <w:hyperlink w:anchor="Note17" w:history="1">
        <w:r w:rsidR="00FA0C35" w:rsidRPr="009D2836">
          <w:rPr>
            <w:rStyle w:val="Hyperlink"/>
            <w:rFonts w:ascii="Arial" w:hAnsi="Arial" w:cs="Arial"/>
            <w:sz w:val="20"/>
            <w:szCs w:val="20"/>
          </w:rPr>
          <w:t>Not</w:t>
        </w:r>
        <w:r w:rsidR="00F757CC" w:rsidRPr="009D2836">
          <w:rPr>
            <w:rStyle w:val="Hyperlink"/>
            <w:rFonts w:ascii="Arial" w:hAnsi="Arial" w:cs="Arial"/>
            <w:sz w:val="20"/>
            <w:szCs w:val="20"/>
          </w:rPr>
          <w:t>e</w:t>
        </w:r>
        <w:r w:rsidR="009D2836">
          <w:rPr>
            <w:rStyle w:val="Hyperlink"/>
            <w:rFonts w:ascii="Arial" w:hAnsi="Arial" w:cs="Arial"/>
            <w:sz w:val="20"/>
            <w:szCs w:val="20"/>
          </w:rPr>
          <w:t xml:space="preserve"> </w:t>
        </w:r>
        <w:r w:rsidR="00FA0C35" w:rsidRPr="009D2836">
          <w:rPr>
            <w:rStyle w:val="Hyperlink"/>
            <w:rFonts w:ascii="Arial" w:hAnsi="Arial" w:cs="Arial"/>
            <w:sz w:val="20"/>
            <w:szCs w:val="20"/>
          </w:rPr>
          <w:t>17</w:t>
        </w:r>
        <w:r w:rsidR="00FA0C35" w:rsidRPr="009D2836">
          <w:rPr>
            <w:rStyle w:val="Hyperlink"/>
            <w:rFonts w:ascii="Arial" w:hAnsi="Arial" w:cs="Arial"/>
            <w:sz w:val="20"/>
            <w:szCs w:val="20"/>
          </w:rPr>
          <w:tab/>
          <w:t>Accrued Employee Benefits</w:t>
        </w:r>
      </w:hyperlink>
    </w:p>
    <w:p w:rsidR="00FA0C35" w:rsidRPr="009D2836" w:rsidRDefault="00297BD5" w:rsidP="009D2836">
      <w:pPr>
        <w:tabs>
          <w:tab w:val="left" w:pos="993"/>
        </w:tabs>
        <w:spacing w:before="240" w:line="240" w:lineRule="auto"/>
        <w:rPr>
          <w:rFonts w:ascii="Arial" w:hAnsi="Arial" w:cs="Arial"/>
          <w:sz w:val="20"/>
          <w:szCs w:val="20"/>
        </w:rPr>
      </w:pPr>
      <w:hyperlink w:anchor="Note18"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18</w:t>
        </w:r>
        <w:r w:rsidR="00FA0C35" w:rsidRPr="009D2836">
          <w:rPr>
            <w:rStyle w:val="Hyperlink"/>
            <w:rFonts w:ascii="Arial" w:hAnsi="Arial" w:cs="Arial"/>
            <w:sz w:val="20"/>
            <w:szCs w:val="20"/>
          </w:rPr>
          <w:tab/>
          <w:t>Reconciliation of Operating Surplus to Net Cash from Operating Activities</w:t>
        </w:r>
      </w:hyperlink>
    </w:p>
    <w:p w:rsidR="00FA0C35" w:rsidRPr="009D2836" w:rsidRDefault="00297BD5" w:rsidP="009D2836">
      <w:pPr>
        <w:tabs>
          <w:tab w:val="left" w:pos="993"/>
        </w:tabs>
        <w:spacing w:before="240" w:line="240" w:lineRule="auto"/>
        <w:rPr>
          <w:rFonts w:ascii="Arial" w:hAnsi="Arial" w:cs="Arial"/>
          <w:sz w:val="20"/>
          <w:szCs w:val="20"/>
        </w:rPr>
      </w:pPr>
      <w:hyperlink w:anchor="Note19"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19</w:t>
        </w:r>
        <w:r w:rsidR="00FA0C35" w:rsidRPr="009D2836">
          <w:rPr>
            <w:rStyle w:val="Hyperlink"/>
            <w:rFonts w:ascii="Arial" w:hAnsi="Arial" w:cs="Arial"/>
            <w:sz w:val="20"/>
            <w:szCs w:val="20"/>
          </w:rPr>
          <w:tab/>
          <w:t>Commitments for Expenditure</w:t>
        </w:r>
      </w:hyperlink>
    </w:p>
    <w:p w:rsidR="00FA0C35" w:rsidRPr="009D2836" w:rsidRDefault="00297BD5" w:rsidP="009D2836">
      <w:pPr>
        <w:tabs>
          <w:tab w:val="left" w:pos="993"/>
        </w:tabs>
        <w:spacing w:before="240" w:line="240" w:lineRule="auto"/>
        <w:rPr>
          <w:rFonts w:ascii="Arial" w:hAnsi="Arial" w:cs="Arial"/>
          <w:sz w:val="20"/>
          <w:szCs w:val="20"/>
        </w:rPr>
      </w:pPr>
      <w:hyperlink w:anchor="Note20" w:history="1">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20</w:t>
        </w:r>
        <w:r w:rsidR="00FA0C35" w:rsidRPr="009D2836">
          <w:rPr>
            <w:rStyle w:val="Hyperlink"/>
            <w:rFonts w:ascii="Arial" w:hAnsi="Arial" w:cs="Arial"/>
            <w:sz w:val="20"/>
            <w:szCs w:val="20"/>
          </w:rPr>
          <w:tab/>
          <w:t>Contingencies</w:t>
        </w:r>
      </w:hyperlink>
    </w:p>
    <w:p w:rsidR="00FA0C35" w:rsidRPr="009D2836" w:rsidRDefault="00F757CC" w:rsidP="009D2836">
      <w:pPr>
        <w:tabs>
          <w:tab w:val="left" w:pos="993"/>
        </w:tabs>
        <w:spacing w:before="240" w:line="240" w:lineRule="auto"/>
        <w:rPr>
          <w:rStyle w:val="Hyperlink"/>
          <w:rFonts w:ascii="Arial" w:hAnsi="Arial" w:cs="Arial"/>
          <w:sz w:val="20"/>
          <w:szCs w:val="20"/>
        </w:rPr>
      </w:pPr>
      <w:r w:rsidRPr="009D2836">
        <w:rPr>
          <w:rFonts w:ascii="Arial" w:hAnsi="Arial" w:cs="Arial"/>
          <w:sz w:val="20"/>
          <w:szCs w:val="20"/>
        </w:rPr>
        <w:fldChar w:fldCharType="begin"/>
      </w:r>
      <w:r w:rsidRPr="009D2836">
        <w:rPr>
          <w:rFonts w:ascii="Arial" w:hAnsi="Arial" w:cs="Arial"/>
          <w:sz w:val="20"/>
          <w:szCs w:val="20"/>
        </w:rPr>
        <w:instrText xml:space="preserve"> HYPERLINK  \l "Note21" </w:instrText>
      </w:r>
      <w:r w:rsidRPr="009D2836">
        <w:rPr>
          <w:rFonts w:ascii="Arial" w:hAnsi="Arial" w:cs="Arial"/>
          <w:sz w:val="20"/>
          <w:szCs w:val="20"/>
        </w:rPr>
        <w:fldChar w:fldCharType="separate"/>
      </w:r>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21</w:t>
      </w:r>
      <w:r w:rsidR="00FA0C35" w:rsidRPr="009D2836">
        <w:rPr>
          <w:rStyle w:val="Hyperlink"/>
          <w:rFonts w:ascii="Arial" w:hAnsi="Arial" w:cs="Arial"/>
          <w:sz w:val="20"/>
          <w:szCs w:val="20"/>
        </w:rPr>
        <w:tab/>
        <w:t>Financial Instruments</w:t>
      </w:r>
    </w:p>
    <w:p w:rsidR="00FA0C35" w:rsidRPr="009D2836" w:rsidRDefault="00F757CC" w:rsidP="009D2836">
      <w:pPr>
        <w:tabs>
          <w:tab w:val="left" w:pos="993"/>
        </w:tabs>
        <w:spacing w:before="240" w:line="240" w:lineRule="auto"/>
        <w:rPr>
          <w:rFonts w:ascii="Arial" w:hAnsi="Arial" w:cs="Arial"/>
          <w:sz w:val="20"/>
          <w:szCs w:val="20"/>
        </w:rPr>
      </w:pPr>
      <w:r w:rsidRPr="009D2836">
        <w:rPr>
          <w:rFonts w:ascii="Arial" w:hAnsi="Arial" w:cs="Arial"/>
          <w:sz w:val="20"/>
          <w:szCs w:val="20"/>
        </w:rPr>
        <w:fldChar w:fldCharType="end"/>
      </w:r>
      <w:hyperlink w:anchor="Note22" w:history="1">
        <w:r w:rsidR="009D2836">
          <w:rPr>
            <w:rStyle w:val="Hyperlink"/>
            <w:rFonts w:ascii="Arial" w:hAnsi="Arial" w:cs="Arial"/>
            <w:sz w:val="20"/>
            <w:szCs w:val="20"/>
          </w:rPr>
          <w:t xml:space="preserve">Note </w:t>
        </w:r>
        <w:proofErr w:type="gramStart"/>
        <w:r w:rsidR="00FA0C35" w:rsidRPr="009D2836">
          <w:rPr>
            <w:rStyle w:val="Hyperlink"/>
            <w:rFonts w:ascii="Arial" w:hAnsi="Arial" w:cs="Arial"/>
            <w:sz w:val="20"/>
            <w:szCs w:val="20"/>
          </w:rPr>
          <w:t>22</w:t>
        </w:r>
        <w:r w:rsidR="00FA0C35" w:rsidRPr="009D2836">
          <w:rPr>
            <w:rStyle w:val="Hyperlink"/>
            <w:rFonts w:ascii="Arial" w:hAnsi="Arial" w:cs="Arial"/>
            <w:sz w:val="20"/>
            <w:szCs w:val="20"/>
          </w:rPr>
          <w:tab/>
          <w:t>Remuneration of Authority Members</w:t>
        </w:r>
        <w:proofErr w:type="gramEnd"/>
      </w:hyperlink>
    </w:p>
    <w:p w:rsidR="00115E3D" w:rsidRPr="009D2836" w:rsidRDefault="00C11EFE" w:rsidP="009D2836">
      <w:pPr>
        <w:tabs>
          <w:tab w:val="left" w:pos="993"/>
        </w:tabs>
        <w:spacing w:before="240" w:line="240" w:lineRule="auto"/>
        <w:rPr>
          <w:rStyle w:val="Hyperlink"/>
          <w:rFonts w:ascii="Arial" w:hAnsi="Arial" w:cs="Arial"/>
          <w:sz w:val="20"/>
          <w:szCs w:val="20"/>
        </w:rPr>
      </w:pPr>
      <w:r w:rsidRPr="009D2836">
        <w:rPr>
          <w:rFonts w:ascii="Arial" w:hAnsi="Arial" w:cs="Arial"/>
          <w:sz w:val="20"/>
          <w:szCs w:val="20"/>
        </w:rPr>
        <w:fldChar w:fldCharType="begin"/>
      </w:r>
      <w:r w:rsidRPr="009D2836">
        <w:rPr>
          <w:rFonts w:ascii="Arial" w:hAnsi="Arial" w:cs="Arial"/>
          <w:sz w:val="20"/>
          <w:szCs w:val="20"/>
        </w:rPr>
        <w:instrText xml:space="preserve"> HYPERLINK  \l "Note23" </w:instrText>
      </w:r>
      <w:r w:rsidRPr="009D2836">
        <w:rPr>
          <w:rFonts w:ascii="Arial" w:hAnsi="Arial" w:cs="Arial"/>
          <w:sz w:val="20"/>
          <w:szCs w:val="20"/>
        </w:rPr>
        <w:fldChar w:fldCharType="separate"/>
      </w:r>
      <w:r w:rsidR="009D2836">
        <w:rPr>
          <w:rStyle w:val="Hyperlink"/>
          <w:rFonts w:ascii="Arial" w:hAnsi="Arial" w:cs="Arial"/>
          <w:sz w:val="20"/>
          <w:szCs w:val="20"/>
        </w:rPr>
        <w:t xml:space="preserve">Note </w:t>
      </w:r>
      <w:r w:rsidR="00FA0C35" w:rsidRPr="009D2836">
        <w:rPr>
          <w:rStyle w:val="Hyperlink"/>
          <w:rFonts w:ascii="Arial" w:hAnsi="Arial" w:cs="Arial"/>
          <w:sz w:val="20"/>
          <w:szCs w:val="20"/>
        </w:rPr>
        <w:t>23</w:t>
      </w:r>
      <w:r w:rsidR="00FA0C35" w:rsidRPr="009D2836">
        <w:rPr>
          <w:rStyle w:val="Hyperlink"/>
          <w:rFonts w:ascii="Arial" w:hAnsi="Arial" w:cs="Arial"/>
          <w:sz w:val="20"/>
          <w:szCs w:val="20"/>
        </w:rPr>
        <w:tab/>
        <w:t>Subsequent Event</w:t>
      </w:r>
    </w:p>
    <w:p w:rsidR="00803EDB" w:rsidRPr="00370BED" w:rsidRDefault="00C11EFE" w:rsidP="009D2836">
      <w:pPr>
        <w:tabs>
          <w:tab w:val="left" w:pos="993"/>
        </w:tabs>
        <w:rPr>
          <w:rFonts w:ascii="Arial" w:hAnsi="Arial" w:cs="Arial"/>
          <w:sz w:val="16"/>
          <w:szCs w:val="16"/>
        </w:rPr>
      </w:pPr>
      <w:r w:rsidRPr="009D2836">
        <w:rPr>
          <w:rFonts w:ascii="Arial" w:hAnsi="Arial" w:cs="Arial"/>
          <w:sz w:val="20"/>
          <w:szCs w:val="20"/>
        </w:rPr>
        <w:fldChar w:fldCharType="end"/>
      </w:r>
      <w:r w:rsidR="00803EDB" w:rsidRPr="00370BED">
        <w:rPr>
          <w:rFonts w:ascii="Arial" w:hAnsi="Arial" w:cs="Arial"/>
          <w:sz w:val="16"/>
          <w:szCs w:val="16"/>
        </w:rPr>
        <w:br w:type="page"/>
      </w:r>
    </w:p>
    <w:p w:rsidR="00FA0C35" w:rsidRDefault="00FA0C35" w:rsidP="00115E3D">
      <w:pPr>
        <w:tabs>
          <w:tab w:val="left" w:pos="284"/>
          <w:tab w:val="left" w:pos="851"/>
        </w:tabs>
        <w:spacing w:line="240" w:lineRule="auto"/>
        <w:rPr>
          <w:rFonts w:ascii="Arial" w:hAnsi="Arial" w:cs="Arial"/>
          <w:b/>
          <w:sz w:val="16"/>
          <w:szCs w:val="16"/>
        </w:rPr>
        <w:sectPr w:rsidR="00FA0C35" w:rsidSect="003B1306">
          <w:headerReference w:type="default" r:id="rId42"/>
          <w:pgSz w:w="11907" w:h="16840" w:code="9"/>
          <w:pgMar w:top="1134" w:right="1191" w:bottom="1418" w:left="1191" w:header="567" w:footer="680" w:gutter="0"/>
          <w:cols w:space="567"/>
          <w:formProt w:val="0"/>
          <w:noEndnote/>
          <w:docGrid w:linePitch="299"/>
        </w:sectPr>
      </w:pPr>
    </w:p>
    <w:p w:rsidR="00115E3D" w:rsidRPr="00803EDB" w:rsidRDefault="00115E3D" w:rsidP="003B1306">
      <w:pPr>
        <w:pStyle w:val="FinH3"/>
        <w:numPr>
          <w:ilvl w:val="0"/>
          <w:numId w:val="0"/>
        </w:numPr>
      </w:pPr>
      <w:r w:rsidRPr="00803EDB">
        <w:lastRenderedPageBreak/>
        <w:t>Objectives and principal activities of the Queensland Studies Authority</w:t>
      </w:r>
    </w:p>
    <w:p w:rsidR="00115E3D" w:rsidRPr="00124AC1" w:rsidRDefault="00115E3D" w:rsidP="00803EDB">
      <w:pPr>
        <w:pStyle w:val="Finnormal"/>
      </w:pPr>
      <w:r w:rsidRPr="00124AC1">
        <w:t xml:space="preserve">The Queensland Studies Authority was established as a statutory authority under the </w:t>
      </w:r>
      <w:r w:rsidRPr="00124AC1">
        <w:rPr>
          <w:i/>
        </w:rPr>
        <w:t>Education (Queensland Studies Authority) Act 2002</w:t>
      </w:r>
      <w:r w:rsidRPr="00124AC1">
        <w:t>. Its objective is to provide quality, innovative and future-focused products and services to assist all Queensland education communities.</w:t>
      </w:r>
    </w:p>
    <w:p w:rsidR="00115E3D" w:rsidRDefault="00115E3D" w:rsidP="00803EDB">
      <w:pPr>
        <w:pStyle w:val="Finnormal"/>
      </w:pPr>
      <w:r w:rsidRPr="00124AC1">
        <w:t>The Authority provides Kindergarten to Year 12 syllabuses and guidelines, assessment, reporting, testing, accreditation, certification and tertiary entrance services for Queensland schools.</w:t>
      </w:r>
    </w:p>
    <w:p w:rsidR="00115E3D" w:rsidRPr="003B1306" w:rsidRDefault="00115E3D" w:rsidP="003B1306">
      <w:pPr>
        <w:pStyle w:val="FinH3"/>
      </w:pPr>
      <w:bookmarkStart w:id="98" w:name="Note1"/>
      <w:bookmarkEnd w:id="98"/>
      <w:r w:rsidRPr="003B1306">
        <w:t>Summary of Significant Accounting Polici</w:t>
      </w:r>
      <w:r w:rsidR="00D11210" w:rsidRPr="003B1306">
        <w:t>es</w:t>
      </w:r>
    </w:p>
    <w:p w:rsidR="00115E3D" w:rsidRPr="00124AC1" w:rsidRDefault="00115E3D" w:rsidP="00370BED">
      <w:pPr>
        <w:pStyle w:val="FinH4"/>
      </w:pPr>
      <w:r w:rsidRPr="00124AC1">
        <w:t xml:space="preserve">Statement </w:t>
      </w:r>
      <w:r w:rsidRPr="00370BED">
        <w:t xml:space="preserve">of </w:t>
      </w:r>
      <w:r w:rsidRPr="00124AC1">
        <w:t>Compliance</w:t>
      </w:r>
    </w:p>
    <w:p w:rsidR="00115E3D" w:rsidRPr="00124AC1" w:rsidRDefault="00115E3D" w:rsidP="00B56C26">
      <w:pPr>
        <w:pStyle w:val="Finnormalindent"/>
      </w:pPr>
      <w:r w:rsidRPr="00124AC1">
        <w:t xml:space="preserve">The Queensland Studies Authority has prepared these financial statements in compliance with section 43 of the </w:t>
      </w:r>
      <w:r w:rsidRPr="00B56C26">
        <w:t>Financial and Performance Management Standard 2009.</w:t>
      </w:r>
    </w:p>
    <w:p w:rsidR="00115E3D" w:rsidRPr="00124AC1" w:rsidRDefault="00115E3D" w:rsidP="00E97230">
      <w:pPr>
        <w:pStyle w:val="Finnormalindent"/>
      </w:pPr>
      <w:r w:rsidRPr="00124AC1">
        <w:t>These financial statements are general purpose financial statements, and have been prepared on an accrual basis in accordance with Australian Accounting Standards and Interpretations. In addition, the financial statements comply with Queensland Treasury and Trade’s Minimum Reporting Requirements for the year ended 30 June 201</w:t>
      </w:r>
      <w:r>
        <w:t>4</w:t>
      </w:r>
      <w:r w:rsidRPr="00124AC1">
        <w:t>, and other authoritative pronouncements.</w:t>
      </w:r>
    </w:p>
    <w:p w:rsidR="00115E3D" w:rsidRPr="00124AC1" w:rsidRDefault="00115E3D" w:rsidP="00E97230">
      <w:pPr>
        <w:pStyle w:val="Finnormalindent"/>
      </w:pPr>
      <w:r w:rsidRPr="00124AC1">
        <w:t>With respect to compliance with Australian Accounting Standards and Interpretations, the Queensland Studies Authority has applied those requirements applicable to not-for-profit entities, as the Authority is a not-for-profit entity. Except where stated, the historical cost convention is used.</w:t>
      </w:r>
    </w:p>
    <w:p w:rsidR="00115E3D" w:rsidRPr="00803EDB" w:rsidRDefault="00115E3D" w:rsidP="00FB7550">
      <w:pPr>
        <w:pStyle w:val="FinH4"/>
      </w:pPr>
      <w:r w:rsidRPr="00803EDB">
        <w:t>The Reporting Entity</w:t>
      </w:r>
    </w:p>
    <w:p w:rsidR="00115E3D" w:rsidRPr="00124AC1" w:rsidRDefault="00115E3D" w:rsidP="00E97230">
      <w:pPr>
        <w:pStyle w:val="Finnormalindent"/>
      </w:pPr>
      <w:r w:rsidRPr="00124AC1">
        <w:t>The financial statements include the value of all income, expenses, assets, liabilities and equity of the Authority.</w:t>
      </w:r>
    </w:p>
    <w:p w:rsidR="00115E3D" w:rsidRPr="00803EDB" w:rsidRDefault="00115E3D" w:rsidP="00803EDB">
      <w:pPr>
        <w:pStyle w:val="FinH4"/>
      </w:pPr>
      <w:r w:rsidRPr="00803EDB">
        <w:t>User Charges</w:t>
      </w:r>
    </w:p>
    <w:p w:rsidR="00115E3D" w:rsidRPr="00124AC1" w:rsidRDefault="00115E3D" w:rsidP="00E97230">
      <w:pPr>
        <w:pStyle w:val="Finnormalindent"/>
      </w:pPr>
      <w:r w:rsidRPr="00124AC1">
        <w:t>User charges and fees controlled by the Authority are recognised as revenues when the revenue has been earned and can be measured reliably with a sufficient degree of certainty. This involves either invoicing for related goods/services and/or the recognition of accrued revenue. User charges and fees are controlled by the Authority where they can be deployed for the achievement of its objectives.</w:t>
      </w:r>
    </w:p>
    <w:p w:rsidR="00115E3D" w:rsidRPr="00803EDB" w:rsidRDefault="00115E3D" w:rsidP="00803EDB">
      <w:pPr>
        <w:pStyle w:val="FinH4"/>
      </w:pPr>
      <w:r w:rsidRPr="00803EDB">
        <w:t>Grants and Contributions</w:t>
      </w:r>
    </w:p>
    <w:p w:rsidR="00115E3D" w:rsidRPr="00124AC1" w:rsidRDefault="00115E3D" w:rsidP="00E97230">
      <w:pPr>
        <w:pStyle w:val="Finnormalindent"/>
      </w:pPr>
      <w:r w:rsidRPr="00124AC1">
        <w:t>Grants, contributions, donations and gifts that are non-reciprocal in nature are recognised as revenue in the year in which the Authority obtains control over them (control is generally obtained at the time of receipt). Where grants are received that are reciprocal in nature, revenue is recognised over the term of the funding arrangements.</w:t>
      </w:r>
    </w:p>
    <w:p w:rsidR="00115E3D" w:rsidRPr="00124AC1" w:rsidRDefault="00115E3D" w:rsidP="00E97230">
      <w:pPr>
        <w:pStyle w:val="Finnormalindent"/>
      </w:pPr>
      <w:r w:rsidRPr="00124AC1">
        <w:t>Contributed assets are recognised at their fair value. The accounting treatment for contributions of services is explained in Note 1(</w:t>
      </w:r>
      <w:r>
        <w:t>v</w:t>
      </w:r>
      <w:r w:rsidRPr="00124AC1">
        <w:t>).</w:t>
      </w:r>
    </w:p>
    <w:p w:rsidR="00115E3D" w:rsidRPr="00803EDB" w:rsidRDefault="00115E3D" w:rsidP="00803EDB">
      <w:pPr>
        <w:pStyle w:val="FinH4"/>
      </w:pPr>
      <w:r w:rsidRPr="00803EDB">
        <w:t>Cash and Cash Equivalents</w:t>
      </w:r>
    </w:p>
    <w:p w:rsidR="00115E3D" w:rsidRPr="00124AC1" w:rsidRDefault="00115E3D" w:rsidP="00E97230">
      <w:pPr>
        <w:pStyle w:val="Finnormalindent"/>
      </w:pPr>
      <w:r w:rsidRPr="00124AC1">
        <w:t>For the purposes of the Statement of Financial Position and the Statement of Cash Flows, cash assets include all cash and cheques receipted but not banked at 30</w:t>
      </w:r>
      <w:r w:rsidR="0029578D">
        <w:t> </w:t>
      </w:r>
      <w:r w:rsidRPr="00124AC1">
        <w:t>June</w:t>
      </w:r>
      <w:r>
        <w:t xml:space="preserve"> as well as deposits at call with financial institutions.</w:t>
      </w:r>
    </w:p>
    <w:p w:rsidR="00115E3D" w:rsidRPr="00803EDB" w:rsidRDefault="00115E3D" w:rsidP="00803EDB">
      <w:pPr>
        <w:pStyle w:val="FinH4"/>
      </w:pPr>
      <w:r w:rsidRPr="00803EDB">
        <w:t>Receivables</w:t>
      </w:r>
    </w:p>
    <w:p w:rsidR="00115E3D" w:rsidRPr="00124AC1" w:rsidRDefault="00115E3D" w:rsidP="00E97230">
      <w:pPr>
        <w:pStyle w:val="Finnormalindent"/>
      </w:pPr>
      <w:r w:rsidRPr="00124AC1">
        <w:t>Trade debtors are recognised at the amounts due at the time of sale or service delivery i.e. the agreed purchase/contract price. Settlement of these amounts is required within 30 days from invoice date.</w:t>
      </w:r>
    </w:p>
    <w:p w:rsidR="00E97230" w:rsidRPr="005E1AC4" w:rsidRDefault="00E97230" w:rsidP="005E1AC4">
      <w:pPr>
        <w:pStyle w:val="Finnormalindent"/>
        <w:spacing w:before="0"/>
        <w:rPr>
          <w:sz w:val="2"/>
          <w:szCs w:val="2"/>
        </w:rPr>
      </w:pPr>
      <w:r>
        <w:br w:type="column"/>
      </w:r>
    </w:p>
    <w:p w:rsidR="00115E3D" w:rsidRPr="00124AC1" w:rsidRDefault="00115E3D" w:rsidP="00E97230">
      <w:pPr>
        <w:pStyle w:val="Finnormalindent"/>
      </w:pPr>
      <w:r w:rsidRPr="00124AC1">
        <w:t xml:space="preserve">The collectability of receivables is assessed periodically with </w:t>
      </w:r>
      <w:r>
        <w:t>allowance</w:t>
      </w:r>
      <w:r w:rsidRPr="00124AC1">
        <w:t xml:space="preserve"> being made for impairment. All known bad debts were written o</w:t>
      </w:r>
      <w:r w:rsidR="00352A1D">
        <w:t>ff or provided against as at 30 </w:t>
      </w:r>
      <w:r w:rsidRPr="00124AC1">
        <w:t>June.</w:t>
      </w:r>
    </w:p>
    <w:p w:rsidR="00115E3D" w:rsidRPr="00124AC1" w:rsidRDefault="00115E3D" w:rsidP="00E97230">
      <w:pPr>
        <w:pStyle w:val="FinH4"/>
      </w:pPr>
      <w:r w:rsidRPr="00124AC1">
        <w:t>Inventories</w:t>
      </w:r>
    </w:p>
    <w:p w:rsidR="00115E3D" w:rsidRPr="00124AC1" w:rsidRDefault="00115E3D" w:rsidP="00E97230">
      <w:pPr>
        <w:pStyle w:val="Finnormalindent"/>
      </w:pPr>
      <w:r w:rsidRPr="00124AC1">
        <w:t>Inventories held for sale are valued at the lower of cost and net realisable value. Cost is assigned on a weighted average basis and includes expenditure incurred in acquiring the inventories and bringing them to their existing condition, except for training costs which are expensed as incurred.</w:t>
      </w:r>
    </w:p>
    <w:p w:rsidR="00115E3D" w:rsidRPr="00124AC1" w:rsidRDefault="00115E3D" w:rsidP="00E97230">
      <w:pPr>
        <w:pStyle w:val="Finnormalindent"/>
      </w:pPr>
      <w:r w:rsidRPr="00124AC1">
        <w:t>Net realisable value is determined on the basis of the Authority's normal selling pattern. Expenses associated with marketing, selling and distribution are deducted to determine net realisable value.</w:t>
      </w:r>
    </w:p>
    <w:p w:rsidR="00115E3D" w:rsidRPr="00124AC1" w:rsidRDefault="00115E3D" w:rsidP="00E97230">
      <w:pPr>
        <w:pStyle w:val="FinH4"/>
      </w:pPr>
      <w:r w:rsidRPr="00124AC1">
        <w:t>Non-Current Assets Classified as Held for Sale</w:t>
      </w:r>
    </w:p>
    <w:p w:rsidR="00115E3D" w:rsidRPr="00124AC1" w:rsidRDefault="00115E3D" w:rsidP="00E97230">
      <w:pPr>
        <w:pStyle w:val="Finnormalindent"/>
      </w:pPr>
      <w:r w:rsidRPr="00124AC1">
        <w:t>Non-current assets held for sale consist of those assets that management has determined are available for immediate sale in their present condition, for which their sale is highly probable within the next twelve months.</w:t>
      </w:r>
    </w:p>
    <w:p w:rsidR="00115E3D" w:rsidRDefault="00115E3D" w:rsidP="00E97230">
      <w:pPr>
        <w:pStyle w:val="Finnormalindent"/>
      </w:pPr>
      <w:r w:rsidRPr="00124AC1">
        <w:t xml:space="preserve">These assets are measured at the lower of the assets' carrying amounts and their fair values less costs to sell. Such assets are no longer amortised or depreciated upon being classified as held for sale. At 30 June </w:t>
      </w:r>
      <w:r>
        <w:t>2014</w:t>
      </w:r>
      <w:r w:rsidRPr="00124AC1">
        <w:t>, the Authority did not hold any non-current assets for sale.</w:t>
      </w:r>
    </w:p>
    <w:p w:rsidR="00115E3D" w:rsidRPr="00124AC1" w:rsidRDefault="00115E3D" w:rsidP="00E97230">
      <w:pPr>
        <w:pStyle w:val="FinH4"/>
      </w:pPr>
      <w:r w:rsidRPr="00124AC1">
        <w:t xml:space="preserve">Acquisitions of </w:t>
      </w:r>
      <w:r>
        <w:t>A</w:t>
      </w:r>
      <w:r w:rsidRPr="00124AC1">
        <w:t>ssets</w:t>
      </w:r>
    </w:p>
    <w:p w:rsidR="00115E3D" w:rsidRPr="00124AC1" w:rsidRDefault="00115E3D" w:rsidP="00E97230">
      <w:pPr>
        <w:pStyle w:val="Finnormalindent"/>
      </w:pPr>
      <w:r w:rsidRPr="00124AC1">
        <w:t>Actual cost is used for the initial recording of all non-current physical and intangible asset acquisitions. Cost is determined as the value given as consideration plus costs incidental to the acquisition, including all other costs incurred in getting the assets ready for use. However, any training costs are expensed as incurred.</w:t>
      </w:r>
    </w:p>
    <w:p w:rsidR="00115E3D" w:rsidRPr="00124AC1" w:rsidRDefault="00115E3D" w:rsidP="00E97230">
      <w:pPr>
        <w:pStyle w:val="Finnormalindent"/>
      </w:pPr>
      <w:r w:rsidRPr="00124AC1">
        <w:t>Where assets are received free of charge from a Queensland department (whether as a result of a machinery-of-Government change or other involuntary transfer), the acquisition cost is recognised as the gross carrying amount in the books of the transferor immediately prior to the transfer together with any accumulated depreciation.</w:t>
      </w:r>
    </w:p>
    <w:p w:rsidR="00115E3D" w:rsidRPr="00124AC1" w:rsidRDefault="00115E3D" w:rsidP="00E97230">
      <w:pPr>
        <w:pStyle w:val="Finnormalindent"/>
      </w:pPr>
      <w:r w:rsidRPr="00124AC1">
        <w:t>Assets acquired at no cost or for nominal consideration, other than from an involuntary transfer from another Queensland Government entity, are recognised at their fair value at the date of acquisition in accordance with AASB 116</w:t>
      </w:r>
      <w:r w:rsidRPr="00124AC1">
        <w:rPr>
          <w:i/>
        </w:rPr>
        <w:t xml:space="preserve"> Property, Plant and Equipment</w:t>
      </w:r>
      <w:r w:rsidRPr="00124AC1">
        <w:t>.</w:t>
      </w:r>
    </w:p>
    <w:p w:rsidR="00115E3D" w:rsidRPr="00124AC1" w:rsidRDefault="00115E3D" w:rsidP="00E97230">
      <w:pPr>
        <w:pStyle w:val="FinH4"/>
      </w:pPr>
      <w:r w:rsidRPr="00124AC1">
        <w:t>Plant and Equipment</w:t>
      </w:r>
    </w:p>
    <w:p w:rsidR="00115E3D" w:rsidRPr="00124AC1" w:rsidRDefault="00115E3D" w:rsidP="00E97230">
      <w:pPr>
        <w:pStyle w:val="Finnormalindent"/>
      </w:pPr>
      <w:r w:rsidRPr="00124AC1">
        <w:t>Items of plant and equipment with a cost or other value equal to or in excess of $5,000 are recognised for financial reporting purposes in the year of acquisition. Items with a lesser value are expensed in the year of acquisition.</w:t>
      </w:r>
    </w:p>
    <w:p w:rsidR="00115E3D" w:rsidRPr="00054611" w:rsidRDefault="00115E3D" w:rsidP="00E97230">
      <w:pPr>
        <w:pStyle w:val="FinH4"/>
      </w:pPr>
      <w:r w:rsidRPr="00124AC1">
        <w:t>Revaluations of Non-Current Physical and Intangible Assets</w:t>
      </w:r>
    </w:p>
    <w:p w:rsidR="00115E3D" w:rsidRDefault="00115E3D" w:rsidP="00E97230">
      <w:pPr>
        <w:pStyle w:val="Finnormalindent"/>
      </w:pPr>
      <w:r>
        <w:t>Intangible assets are measured at their historical cost, unless there is an active market for the assets concerned (in which case they are measured at fair value).</w:t>
      </w:r>
    </w:p>
    <w:p w:rsidR="00115E3D" w:rsidRPr="00124AC1" w:rsidRDefault="00115E3D" w:rsidP="00E97230">
      <w:pPr>
        <w:pStyle w:val="Finnormalindent"/>
      </w:pPr>
      <w:r w:rsidRPr="00124AC1">
        <w:t xml:space="preserve">Plant and equipment is measured at cost in accordance with Queensland Treasury and Trade's Non-Current Asset Policies for the Queensland Public Sector. </w:t>
      </w:r>
    </w:p>
    <w:p w:rsidR="00E97230" w:rsidRDefault="00115E3D" w:rsidP="00E97230">
      <w:pPr>
        <w:pStyle w:val="Finnormalindent"/>
      </w:pPr>
      <w:r w:rsidRPr="00124AC1">
        <w:t xml:space="preserve">Materiality concepts under AASB 1031 </w:t>
      </w:r>
      <w:r w:rsidRPr="00124AC1">
        <w:rPr>
          <w:i/>
        </w:rPr>
        <w:t>Materiality</w:t>
      </w:r>
      <w:r w:rsidRPr="00124AC1">
        <w:t xml:space="preserve"> are considered in determining whether the difference between the carrying amount and the fair value of an asset is material.</w:t>
      </w:r>
    </w:p>
    <w:p w:rsidR="00115E3D" w:rsidRPr="00657533" w:rsidRDefault="00E97230" w:rsidP="00657533">
      <w:pPr>
        <w:pStyle w:val="FinH4"/>
      </w:pPr>
      <w:r>
        <w:br w:type="column"/>
      </w:r>
      <w:r w:rsidR="00115E3D" w:rsidRPr="00657533">
        <w:lastRenderedPageBreak/>
        <w:t>Fair Value Measurement</w:t>
      </w:r>
    </w:p>
    <w:p w:rsidR="00115E3D" w:rsidRPr="00B40582" w:rsidRDefault="00115E3D" w:rsidP="00657533">
      <w:pPr>
        <w:pStyle w:val="Finnormalindent"/>
      </w:pPr>
      <w:r w:rsidRPr="00B40582">
        <w:t>Fair value is the price that would be received to sell an asset or paid to transfer a liability in an orderly transaction between market participants at the measurement date under current market conditions (i.e. an exit price) regardless of whether that price is directly derived from observable inputs or estimated using another valuation technique.</w:t>
      </w:r>
    </w:p>
    <w:p w:rsidR="00115E3D" w:rsidRPr="00B40582" w:rsidRDefault="00115E3D" w:rsidP="00657533">
      <w:pPr>
        <w:pStyle w:val="Finnormalindent"/>
      </w:pPr>
      <w:r w:rsidRPr="00B40582">
        <w:t>Observable inputs are publicly available data that are relevant to the characteristics of the assets/liabilities being</w:t>
      </w:r>
      <w:r>
        <w:t xml:space="preserve"> </w:t>
      </w:r>
      <w:r w:rsidRPr="00B40582">
        <w:t>valued. Unobservable inputs</w:t>
      </w:r>
      <w:r w:rsidR="00FB7550">
        <w:t xml:space="preserve"> are data, assumptions and judg</w:t>
      </w:r>
      <w:r w:rsidRPr="00B40582">
        <w:t>ments that are not available publicly, but are relevant to the</w:t>
      </w:r>
      <w:r>
        <w:t xml:space="preserve"> </w:t>
      </w:r>
      <w:r w:rsidRPr="00B40582">
        <w:t>characteristics of the</w:t>
      </w:r>
      <w:r>
        <w:t xml:space="preserve"> </w:t>
      </w:r>
      <w:r w:rsidRPr="00B40582">
        <w:t xml:space="preserve">assets/liabilities being valued. Significant unobservable inputs used by the </w:t>
      </w:r>
      <w:r>
        <w:t>Authority</w:t>
      </w:r>
      <w:r w:rsidRPr="00B40582" w:rsidDel="00B40582">
        <w:t xml:space="preserve"> </w:t>
      </w:r>
      <w:r w:rsidRPr="00B40582">
        <w:t>include</w:t>
      </w:r>
      <w:r>
        <w:t xml:space="preserve"> </w:t>
      </w:r>
      <w:r w:rsidRPr="00B40582">
        <w:t xml:space="preserve">subjective adjustments made to observable data to take account of the characteristics of the </w:t>
      </w:r>
      <w:r>
        <w:t>Authority</w:t>
      </w:r>
      <w:r w:rsidRPr="00B40582" w:rsidDel="00B40582">
        <w:t>‘s</w:t>
      </w:r>
      <w:r>
        <w:t xml:space="preserve"> </w:t>
      </w:r>
      <w:r w:rsidRPr="00B40582">
        <w:t>assets/liabilities, internal record of recent construction costs (and/or estimates of such costs) for assets’</w:t>
      </w:r>
      <w:r>
        <w:t xml:space="preserve"> </w:t>
      </w:r>
      <w:r w:rsidRPr="00B40582">
        <w:t>characteristics/functionality, and assessments of physical condition and remaining useful life. Unobservable inputs are</w:t>
      </w:r>
      <w:r>
        <w:t xml:space="preserve"> </w:t>
      </w:r>
      <w:r w:rsidRPr="00B40582">
        <w:t>used to the extent that sufficient relevant and reliable observable inputs are not available for similar assets/liabilities.</w:t>
      </w:r>
    </w:p>
    <w:p w:rsidR="00115E3D" w:rsidRDefault="00115E3D" w:rsidP="00657533">
      <w:pPr>
        <w:pStyle w:val="Finnormalindent"/>
      </w:pPr>
      <w:r w:rsidRPr="00B40582">
        <w:t>A fair value measurement of a non-financial asset takes into account a market participant’s ability to generate</w:t>
      </w:r>
      <w:r>
        <w:t xml:space="preserve"> </w:t>
      </w:r>
      <w:r w:rsidRPr="00B40582">
        <w:t>economic benefits by using the asset in its highest and best use or by selling it to another market participant that would</w:t>
      </w:r>
      <w:r>
        <w:t xml:space="preserve"> </w:t>
      </w:r>
      <w:r w:rsidRPr="00B40582">
        <w:t>use the asset in its highest and best use.</w:t>
      </w:r>
    </w:p>
    <w:p w:rsidR="00115E3D" w:rsidRPr="00657533" w:rsidRDefault="00115E3D" w:rsidP="00657533">
      <w:pPr>
        <w:pStyle w:val="FinH4"/>
      </w:pPr>
      <w:r w:rsidRPr="00657533">
        <w:t>Intangibles</w:t>
      </w:r>
    </w:p>
    <w:p w:rsidR="00115E3D" w:rsidRPr="00124AC1" w:rsidRDefault="00115E3D" w:rsidP="00657533">
      <w:pPr>
        <w:pStyle w:val="Finnormalindent"/>
      </w:pPr>
      <w:r w:rsidRPr="00124AC1">
        <w:t>Intangible assets with a cost or other value equal to or greater than $100,000 are recognised in the financial statements, items with a lesser value being expensed. Each intangible asset, less any anticipated residual value, is amortised over its estimated useful life to the Authority. The residual value is zero for all the Authority's intangible assets.</w:t>
      </w:r>
    </w:p>
    <w:p w:rsidR="00115E3D" w:rsidRPr="00124AC1" w:rsidRDefault="00115E3D" w:rsidP="00657533">
      <w:pPr>
        <w:pStyle w:val="Finnormalindent"/>
      </w:pPr>
      <w:r w:rsidRPr="00124AC1">
        <w:t>It has been determined that there is not an active market for any of the Authority's intangible assets. As such, the assets are recognised and carried at cost less accumulated amortisation and accumulated impairment losses.</w:t>
      </w:r>
    </w:p>
    <w:p w:rsidR="00115E3D" w:rsidRPr="00124AC1" w:rsidRDefault="00115E3D" w:rsidP="00657533">
      <w:pPr>
        <w:pStyle w:val="Finnormalindent"/>
      </w:pPr>
      <w:proofErr w:type="gramStart"/>
      <w:r w:rsidRPr="00124AC1">
        <w:t>No intangible</w:t>
      </w:r>
      <w:proofErr w:type="gramEnd"/>
      <w:r w:rsidRPr="00124AC1">
        <w:t xml:space="preserve"> assets have been classified as held for sale or form part of a disposal group held for sale.</w:t>
      </w:r>
    </w:p>
    <w:p w:rsidR="00115E3D" w:rsidRPr="00657533" w:rsidRDefault="00115E3D" w:rsidP="00657533">
      <w:pPr>
        <w:pStyle w:val="FinH5"/>
      </w:pPr>
      <w:r w:rsidRPr="00657533">
        <w:t>Internally Generated Software</w:t>
      </w:r>
    </w:p>
    <w:p w:rsidR="00115E3D" w:rsidRPr="00124AC1" w:rsidRDefault="00115E3D" w:rsidP="00657533">
      <w:pPr>
        <w:pStyle w:val="Finnormalindent"/>
        <w:spacing w:before="20"/>
        <w:ind w:left="646"/>
      </w:pPr>
      <w:r w:rsidRPr="00124AC1">
        <w:t>Expenditure on research activities relating to internally-generated intangible assets is recognised as an expense in the period in which it is incurred.</w:t>
      </w:r>
    </w:p>
    <w:p w:rsidR="00115E3D" w:rsidRPr="00124AC1" w:rsidRDefault="00115E3D" w:rsidP="00657533">
      <w:pPr>
        <w:pStyle w:val="Finnormalindent"/>
      </w:pPr>
      <w:r w:rsidRPr="00124AC1">
        <w:t>Costs associated with the development of computer software have been capitalised and are amortised on a straight-line basis over the period of expected benefit to the Authority, namely 7.5 to 10 years.</w:t>
      </w:r>
    </w:p>
    <w:p w:rsidR="00115E3D" w:rsidRPr="00657533" w:rsidRDefault="00115E3D" w:rsidP="00657533">
      <w:pPr>
        <w:pStyle w:val="FinH4"/>
      </w:pPr>
      <w:r w:rsidRPr="00657533">
        <w:t>Amortisation and Deprec</w:t>
      </w:r>
      <w:r w:rsidR="00142C53">
        <w:t>iation of Intangibles and Plant </w:t>
      </w:r>
      <w:r w:rsidRPr="00657533">
        <w:t>and Equipment</w:t>
      </w:r>
    </w:p>
    <w:p w:rsidR="00115E3D" w:rsidRPr="00124AC1" w:rsidRDefault="00115E3D" w:rsidP="00657533">
      <w:pPr>
        <w:pStyle w:val="Finnormalindent"/>
      </w:pPr>
      <w:r w:rsidRPr="00124AC1">
        <w:t>All intangible assets of the Authority have finite useful lives and are amortised on a straight line basis.</w:t>
      </w:r>
    </w:p>
    <w:p w:rsidR="00115E3D" w:rsidRPr="00124AC1" w:rsidRDefault="00115E3D" w:rsidP="00657533">
      <w:pPr>
        <w:pStyle w:val="Finnormalindent"/>
      </w:pPr>
      <w:r w:rsidRPr="00124AC1">
        <w:t xml:space="preserve">Plant and equipment is depreciated on a straight-line basis </w:t>
      </w:r>
      <w:proofErr w:type="gramStart"/>
      <w:r w:rsidRPr="00124AC1">
        <w:t>so as to</w:t>
      </w:r>
      <w:proofErr w:type="gramEnd"/>
      <w:r w:rsidRPr="00124AC1">
        <w:t xml:space="preserve"> allocate the net cost, less its estimated residual value, progressively over its estimated useful life to the</w:t>
      </w:r>
      <w:r w:rsidR="00657533">
        <w:t xml:space="preserve"> </w:t>
      </w:r>
      <w:r w:rsidRPr="00124AC1">
        <w:t>Authority.</w:t>
      </w:r>
    </w:p>
    <w:p w:rsidR="00115E3D" w:rsidRPr="00124AC1" w:rsidRDefault="00115E3D" w:rsidP="00657533">
      <w:pPr>
        <w:pStyle w:val="Finnormalindent"/>
      </w:pPr>
      <w:r w:rsidRPr="00124AC1">
        <w:t>Assets under construction (work-in-progress) are not depreciated until they reach service delivery capacity. Service delivery capacity relates to when construction is complete and the asset is first put to use or is installed ready for use in accordance with its intended application. These assets are then reclassified to the relevant classes within either plant and equipment or intangibles.</w:t>
      </w:r>
    </w:p>
    <w:p w:rsidR="00115E3D" w:rsidRPr="00124AC1" w:rsidRDefault="00657533" w:rsidP="005E1AC4">
      <w:pPr>
        <w:pStyle w:val="Finnormalindent"/>
        <w:spacing w:before="20"/>
        <w:ind w:left="646"/>
      </w:pPr>
      <w:r>
        <w:br w:type="column"/>
      </w:r>
      <w:r w:rsidR="00115E3D" w:rsidRPr="00124AC1">
        <w:lastRenderedPageBreak/>
        <w:t xml:space="preserve">Where assets have separately identifiable components </w:t>
      </w:r>
      <w:proofErr w:type="gramStart"/>
      <w:r w:rsidR="00115E3D" w:rsidRPr="00124AC1">
        <w:t>that are subject to either regular replacement, these components are assigned useful lives distinct from the asset to which they relate and are depreciated accordingly</w:t>
      </w:r>
      <w:proofErr w:type="gramEnd"/>
      <w:r w:rsidR="00115E3D" w:rsidRPr="00124AC1">
        <w:t>.</w:t>
      </w:r>
    </w:p>
    <w:p w:rsidR="00115E3D" w:rsidRPr="00124AC1" w:rsidRDefault="00115E3D" w:rsidP="00657533">
      <w:pPr>
        <w:pStyle w:val="Finnormalindent"/>
      </w:pPr>
      <w:r w:rsidRPr="00124AC1">
        <w:t>Any expenditure that increases the originally assessed capacity or service potential of an asset is capitalised and the new depreciable amount is depreciated over the remaining useful life of the asset to the Authority.</w:t>
      </w:r>
    </w:p>
    <w:p w:rsidR="00115E3D" w:rsidRPr="00124AC1" w:rsidRDefault="00115E3D" w:rsidP="00657533">
      <w:pPr>
        <w:pStyle w:val="Finnormalindent"/>
      </w:pPr>
      <w:r w:rsidRPr="00124AC1">
        <w:t>The depreciable amount of leasehold improvements is allocated progressively over the estimated useful lives of the improvements or the unexpired period of the lease, whichever is the shorter. The unexpired period of leases includes any option period where exercise of the option is probable.</w:t>
      </w:r>
    </w:p>
    <w:p w:rsidR="00115E3D" w:rsidRDefault="00115E3D" w:rsidP="00A021CB">
      <w:pPr>
        <w:pStyle w:val="Finnormalindent"/>
        <w:spacing w:after="80"/>
      </w:pPr>
      <w:r w:rsidRPr="00124AC1">
        <w:t>For each class of depreciable asset the following depreciation and amortisation rates are used:</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 w:type="dxa"/>
        </w:tblCellMar>
        <w:tblLook w:val="04A0" w:firstRow="1" w:lastRow="0" w:firstColumn="1" w:lastColumn="0" w:noHBand="0" w:noVBand="1"/>
      </w:tblPr>
      <w:tblGrid>
        <w:gridCol w:w="2693"/>
        <w:gridCol w:w="1276"/>
      </w:tblGrid>
      <w:tr w:rsidR="00115E3D" w:rsidTr="00A021CB">
        <w:trPr>
          <w:trHeight w:val="170"/>
        </w:trPr>
        <w:tc>
          <w:tcPr>
            <w:tcW w:w="2693" w:type="dxa"/>
            <w:vAlign w:val="center"/>
          </w:tcPr>
          <w:p w:rsidR="00115E3D" w:rsidRPr="0091196A" w:rsidRDefault="00115E3D" w:rsidP="0029578D">
            <w:pPr>
              <w:pStyle w:val="ListParagraph0"/>
              <w:tabs>
                <w:tab w:val="left" w:pos="284"/>
                <w:tab w:val="left" w:pos="851"/>
              </w:tabs>
              <w:spacing w:before="20"/>
              <w:ind w:left="0"/>
              <w:rPr>
                <w:rFonts w:ascii="Arial" w:hAnsi="Arial" w:cs="Arial"/>
                <w:b/>
                <w:sz w:val="16"/>
                <w:szCs w:val="16"/>
              </w:rPr>
            </w:pPr>
            <w:r w:rsidRPr="0091196A">
              <w:rPr>
                <w:rFonts w:ascii="Arial" w:hAnsi="Arial" w:cs="Arial"/>
                <w:b/>
                <w:sz w:val="16"/>
                <w:szCs w:val="16"/>
              </w:rPr>
              <w:t>Class</w:t>
            </w:r>
          </w:p>
        </w:tc>
        <w:tc>
          <w:tcPr>
            <w:tcW w:w="1276" w:type="dxa"/>
            <w:vAlign w:val="center"/>
          </w:tcPr>
          <w:p w:rsidR="00115E3D" w:rsidRPr="0091196A" w:rsidRDefault="00115E3D" w:rsidP="0029578D">
            <w:pPr>
              <w:pStyle w:val="ListParagraph0"/>
              <w:tabs>
                <w:tab w:val="left" w:pos="284"/>
                <w:tab w:val="left" w:pos="851"/>
              </w:tabs>
              <w:spacing w:before="20"/>
              <w:ind w:left="0"/>
              <w:jc w:val="center"/>
              <w:rPr>
                <w:rFonts w:ascii="Arial" w:hAnsi="Arial" w:cs="Arial"/>
                <w:b/>
                <w:sz w:val="16"/>
                <w:szCs w:val="16"/>
              </w:rPr>
            </w:pPr>
            <w:r w:rsidRPr="0091196A">
              <w:rPr>
                <w:rFonts w:ascii="Arial" w:hAnsi="Arial" w:cs="Arial"/>
                <w:b/>
                <w:sz w:val="16"/>
                <w:szCs w:val="16"/>
              </w:rPr>
              <w:t>Rate</w:t>
            </w:r>
          </w:p>
        </w:tc>
      </w:tr>
      <w:tr w:rsidR="00115E3D" w:rsidTr="00A021CB">
        <w:trPr>
          <w:trHeight w:val="170"/>
        </w:trPr>
        <w:tc>
          <w:tcPr>
            <w:tcW w:w="3969" w:type="dxa"/>
            <w:gridSpan w:val="2"/>
            <w:vAlign w:val="center"/>
          </w:tcPr>
          <w:p w:rsidR="00115E3D" w:rsidRPr="0091196A" w:rsidRDefault="00115E3D" w:rsidP="0029578D">
            <w:pPr>
              <w:pStyle w:val="ListParagraph0"/>
              <w:tabs>
                <w:tab w:val="left" w:pos="284"/>
                <w:tab w:val="left" w:pos="851"/>
              </w:tabs>
              <w:spacing w:before="20"/>
              <w:ind w:left="0"/>
              <w:rPr>
                <w:rFonts w:ascii="Arial" w:hAnsi="Arial" w:cs="Arial"/>
                <w:b/>
                <w:sz w:val="16"/>
                <w:szCs w:val="16"/>
              </w:rPr>
            </w:pPr>
            <w:r w:rsidRPr="0091196A">
              <w:rPr>
                <w:rFonts w:ascii="Arial" w:hAnsi="Arial" w:cs="Arial"/>
                <w:b/>
                <w:sz w:val="16"/>
                <w:szCs w:val="16"/>
              </w:rPr>
              <w:t>Plant &amp; Equipment</w:t>
            </w:r>
          </w:p>
        </w:tc>
      </w:tr>
      <w:tr w:rsidR="00115E3D" w:rsidTr="00A021CB">
        <w:trPr>
          <w:trHeight w:val="170"/>
        </w:trPr>
        <w:tc>
          <w:tcPr>
            <w:tcW w:w="2693" w:type="dxa"/>
            <w:vAlign w:val="center"/>
          </w:tcPr>
          <w:p w:rsidR="00115E3D" w:rsidRDefault="00115E3D" w:rsidP="0029578D">
            <w:pPr>
              <w:pStyle w:val="ListParagraph0"/>
              <w:tabs>
                <w:tab w:val="left" w:pos="284"/>
                <w:tab w:val="left" w:pos="851"/>
              </w:tabs>
              <w:spacing w:before="20"/>
              <w:ind w:left="284"/>
              <w:rPr>
                <w:rFonts w:ascii="Arial" w:hAnsi="Arial" w:cs="Arial"/>
                <w:sz w:val="16"/>
                <w:szCs w:val="16"/>
              </w:rPr>
            </w:pPr>
            <w:r w:rsidRPr="00124AC1">
              <w:rPr>
                <w:rFonts w:ascii="Arial" w:hAnsi="Arial" w:cs="Arial"/>
                <w:sz w:val="16"/>
                <w:szCs w:val="16"/>
              </w:rPr>
              <w:t>Computer equipment</w:t>
            </w:r>
          </w:p>
        </w:tc>
        <w:tc>
          <w:tcPr>
            <w:tcW w:w="1276" w:type="dxa"/>
            <w:vAlign w:val="center"/>
          </w:tcPr>
          <w:p w:rsidR="00115E3D" w:rsidRDefault="00115E3D" w:rsidP="0029578D">
            <w:pPr>
              <w:pStyle w:val="ListParagraph0"/>
              <w:tabs>
                <w:tab w:val="left" w:pos="284"/>
                <w:tab w:val="left" w:pos="851"/>
              </w:tabs>
              <w:spacing w:before="20"/>
              <w:ind w:left="0"/>
              <w:jc w:val="center"/>
              <w:rPr>
                <w:rFonts w:ascii="Arial" w:hAnsi="Arial" w:cs="Arial"/>
                <w:sz w:val="16"/>
                <w:szCs w:val="16"/>
              </w:rPr>
            </w:pPr>
            <w:r>
              <w:rPr>
                <w:rFonts w:ascii="Arial" w:hAnsi="Arial" w:cs="Arial"/>
                <w:sz w:val="16"/>
                <w:szCs w:val="16"/>
              </w:rPr>
              <w:t>10% to 21%</w:t>
            </w:r>
          </w:p>
        </w:tc>
      </w:tr>
      <w:tr w:rsidR="00115E3D" w:rsidTr="00A021CB">
        <w:trPr>
          <w:trHeight w:val="170"/>
        </w:trPr>
        <w:tc>
          <w:tcPr>
            <w:tcW w:w="2693" w:type="dxa"/>
            <w:vAlign w:val="center"/>
          </w:tcPr>
          <w:p w:rsidR="00115E3D" w:rsidRDefault="00115E3D" w:rsidP="0029578D">
            <w:pPr>
              <w:pStyle w:val="ListParagraph0"/>
              <w:tabs>
                <w:tab w:val="left" w:pos="284"/>
                <w:tab w:val="left" w:pos="851"/>
              </w:tabs>
              <w:spacing w:before="20"/>
              <w:ind w:left="284"/>
              <w:rPr>
                <w:rFonts w:ascii="Arial" w:hAnsi="Arial" w:cs="Arial"/>
                <w:sz w:val="16"/>
                <w:szCs w:val="16"/>
              </w:rPr>
            </w:pPr>
            <w:r w:rsidRPr="00124AC1">
              <w:rPr>
                <w:rFonts w:ascii="Arial" w:hAnsi="Arial" w:cs="Arial"/>
                <w:sz w:val="16"/>
                <w:szCs w:val="16"/>
              </w:rPr>
              <w:t>Office equipment</w:t>
            </w:r>
          </w:p>
        </w:tc>
        <w:tc>
          <w:tcPr>
            <w:tcW w:w="1276" w:type="dxa"/>
            <w:vAlign w:val="center"/>
          </w:tcPr>
          <w:p w:rsidR="00115E3D" w:rsidRDefault="00115E3D" w:rsidP="0029578D">
            <w:pPr>
              <w:pStyle w:val="ListParagraph0"/>
              <w:tabs>
                <w:tab w:val="left" w:pos="284"/>
                <w:tab w:val="left" w:pos="851"/>
              </w:tabs>
              <w:spacing w:before="20"/>
              <w:ind w:left="0"/>
              <w:jc w:val="center"/>
              <w:rPr>
                <w:rFonts w:ascii="Arial" w:hAnsi="Arial" w:cs="Arial"/>
                <w:sz w:val="16"/>
                <w:szCs w:val="16"/>
              </w:rPr>
            </w:pPr>
            <w:r>
              <w:rPr>
                <w:rFonts w:ascii="Arial" w:hAnsi="Arial" w:cs="Arial"/>
                <w:sz w:val="16"/>
                <w:szCs w:val="16"/>
              </w:rPr>
              <w:t>10% to 20%</w:t>
            </w:r>
          </w:p>
        </w:tc>
      </w:tr>
      <w:tr w:rsidR="00115E3D" w:rsidTr="00A021CB">
        <w:trPr>
          <w:trHeight w:val="170"/>
        </w:trPr>
        <w:tc>
          <w:tcPr>
            <w:tcW w:w="2693" w:type="dxa"/>
            <w:vAlign w:val="center"/>
          </w:tcPr>
          <w:p w:rsidR="00115E3D" w:rsidRDefault="00115E3D" w:rsidP="0029578D">
            <w:pPr>
              <w:pStyle w:val="ListParagraph0"/>
              <w:tabs>
                <w:tab w:val="left" w:pos="284"/>
                <w:tab w:val="left" w:pos="851"/>
              </w:tabs>
              <w:spacing w:before="20"/>
              <w:ind w:left="284"/>
              <w:rPr>
                <w:rFonts w:ascii="Arial" w:hAnsi="Arial" w:cs="Arial"/>
                <w:sz w:val="16"/>
                <w:szCs w:val="16"/>
              </w:rPr>
            </w:pPr>
            <w:r w:rsidRPr="00124AC1">
              <w:rPr>
                <w:rFonts w:ascii="Arial" w:hAnsi="Arial" w:cs="Arial"/>
                <w:sz w:val="16"/>
                <w:szCs w:val="16"/>
              </w:rPr>
              <w:t>Print equipment</w:t>
            </w:r>
          </w:p>
        </w:tc>
        <w:tc>
          <w:tcPr>
            <w:tcW w:w="1276" w:type="dxa"/>
            <w:vAlign w:val="center"/>
          </w:tcPr>
          <w:p w:rsidR="00115E3D" w:rsidRDefault="00115E3D" w:rsidP="0029578D">
            <w:pPr>
              <w:pStyle w:val="ListParagraph0"/>
              <w:tabs>
                <w:tab w:val="left" w:pos="284"/>
                <w:tab w:val="left" w:pos="851"/>
              </w:tabs>
              <w:spacing w:before="20"/>
              <w:ind w:left="0"/>
              <w:jc w:val="center"/>
              <w:rPr>
                <w:rFonts w:ascii="Arial" w:hAnsi="Arial" w:cs="Arial"/>
                <w:sz w:val="16"/>
                <w:szCs w:val="16"/>
              </w:rPr>
            </w:pPr>
            <w:r>
              <w:rPr>
                <w:rFonts w:ascii="Arial" w:hAnsi="Arial" w:cs="Arial"/>
                <w:sz w:val="16"/>
                <w:szCs w:val="16"/>
              </w:rPr>
              <w:t>12% to 20%</w:t>
            </w:r>
          </w:p>
        </w:tc>
      </w:tr>
      <w:tr w:rsidR="00115E3D" w:rsidTr="00A021CB">
        <w:trPr>
          <w:trHeight w:val="170"/>
        </w:trPr>
        <w:tc>
          <w:tcPr>
            <w:tcW w:w="2693" w:type="dxa"/>
            <w:vAlign w:val="center"/>
          </w:tcPr>
          <w:p w:rsidR="00115E3D" w:rsidRDefault="00115E3D" w:rsidP="0029578D">
            <w:pPr>
              <w:pStyle w:val="ListParagraph0"/>
              <w:tabs>
                <w:tab w:val="left" w:pos="284"/>
                <w:tab w:val="left" w:pos="851"/>
              </w:tabs>
              <w:spacing w:before="20"/>
              <w:ind w:left="284"/>
              <w:rPr>
                <w:rFonts w:ascii="Arial" w:hAnsi="Arial" w:cs="Arial"/>
                <w:sz w:val="16"/>
                <w:szCs w:val="16"/>
              </w:rPr>
            </w:pPr>
            <w:r w:rsidRPr="00124AC1">
              <w:rPr>
                <w:rFonts w:ascii="Arial" w:hAnsi="Arial" w:cs="Arial"/>
                <w:sz w:val="16"/>
                <w:szCs w:val="16"/>
              </w:rPr>
              <w:t>Leasehold improvements</w:t>
            </w:r>
          </w:p>
        </w:tc>
        <w:tc>
          <w:tcPr>
            <w:tcW w:w="1276" w:type="dxa"/>
            <w:vAlign w:val="center"/>
          </w:tcPr>
          <w:p w:rsidR="00115E3D" w:rsidRDefault="00115E3D" w:rsidP="0029578D">
            <w:pPr>
              <w:pStyle w:val="ListParagraph0"/>
              <w:tabs>
                <w:tab w:val="left" w:pos="284"/>
                <w:tab w:val="left" w:pos="851"/>
              </w:tabs>
              <w:spacing w:before="20"/>
              <w:ind w:left="0"/>
              <w:jc w:val="center"/>
              <w:rPr>
                <w:rFonts w:ascii="Arial" w:hAnsi="Arial" w:cs="Arial"/>
                <w:sz w:val="16"/>
                <w:szCs w:val="16"/>
              </w:rPr>
            </w:pPr>
            <w:r>
              <w:rPr>
                <w:rFonts w:ascii="Arial" w:hAnsi="Arial" w:cs="Arial"/>
                <w:sz w:val="16"/>
                <w:szCs w:val="16"/>
              </w:rPr>
              <w:t>12% to 55%</w:t>
            </w:r>
          </w:p>
        </w:tc>
      </w:tr>
      <w:tr w:rsidR="00115E3D" w:rsidTr="00A021CB">
        <w:trPr>
          <w:trHeight w:val="170"/>
        </w:trPr>
        <w:tc>
          <w:tcPr>
            <w:tcW w:w="3969" w:type="dxa"/>
            <w:gridSpan w:val="2"/>
            <w:vAlign w:val="center"/>
          </w:tcPr>
          <w:p w:rsidR="00115E3D" w:rsidRDefault="00115E3D" w:rsidP="0029578D">
            <w:pPr>
              <w:pStyle w:val="ListParagraph0"/>
              <w:tabs>
                <w:tab w:val="left" w:pos="284"/>
                <w:tab w:val="left" w:pos="851"/>
              </w:tabs>
              <w:spacing w:before="20"/>
              <w:ind w:left="0"/>
              <w:rPr>
                <w:rFonts w:ascii="Arial" w:hAnsi="Arial" w:cs="Arial"/>
                <w:sz w:val="16"/>
                <w:szCs w:val="16"/>
              </w:rPr>
            </w:pPr>
            <w:r w:rsidRPr="00124AC1">
              <w:rPr>
                <w:rFonts w:ascii="Arial" w:hAnsi="Arial" w:cs="Arial"/>
                <w:b/>
                <w:sz w:val="16"/>
                <w:szCs w:val="16"/>
              </w:rPr>
              <w:t>Intangible assets</w:t>
            </w:r>
          </w:p>
        </w:tc>
      </w:tr>
      <w:tr w:rsidR="00115E3D" w:rsidTr="00A021CB">
        <w:trPr>
          <w:trHeight w:val="170"/>
        </w:trPr>
        <w:tc>
          <w:tcPr>
            <w:tcW w:w="2693" w:type="dxa"/>
            <w:vAlign w:val="center"/>
          </w:tcPr>
          <w:p w:rsidR="00115E3D" w:rsidRDefault="00115E3D" w:rsidP="0029578D">
            <w:pPr>
              <w:pStyle w:val="ListParagraph0"/>
              <w:tabs>
                <w:tab w:val="left" w:pos="284"/>
                <w:tab w:val="left" w:pos="851"/>
              </w:tabs>
              <w:spacing w:before="20"/>
              <w:ind w:left="284"/>
              <w:rPr>
                <w:rFonts w:ascii="Arial" w:hAnsi="Arial" w:cs="Arial"/>
                <w:sz w:val="16"/>
                <w:szCs w:val="16"/>
              </w:rPr>
            </w:pPr>
            <w:r>
              <w:rPr>
                <w:rFonts w:ascii="Arial" w:hAnsi="Arial" w:cs="Arial"/>
                <w:sz w:val="16"/>
                <w:szCs w:val="16"/>
              </w:rPr>
              <w:t>Software i</w:t>
            </w:r>
            <w:r w:rsidRPr="00124AC1">
              <w:rPr>
                <w:rFonts w:ascii="Arial" w:hAnsi="Arial" w:cs="Arial"/>
                <w:sz w:val="16"/>
                <w:szCs w:val="16"/>
              </w:rPr>
              <w:t>nternally generated</w:t>
            </w:r>
          </w:p>
        </w:tc>
        <w:tc>
          <w:tcPr>
            <w:tcW w:w="1276" w:type="dxa"/>
            <w:vAlign w:val="center"/>
          </w:tcPr>
          <w:p w:rsidR="00115E3D" w:rsidRDefault="00115E3D" w:rsidP="0029578D">
            <w:pPr>
              <w:pStyle w:val="ListParagraph0"/>
              <w:tabs>
                <w:tab w:val="left" w:pos="284"/>
                <w:tab w:val="left" w:pos="851"/>
              </w:tabs>
              <w:spacing w:before="20"/>
              <w:ind w:left="0"/>
              <w:jc w:val="center"/>
              <w:rPr>
                <w:rFonts w:ascii="Arial" w:hAnsi="Arial" w:cs="Arial"/>
                <w:sz w:val="16"/>
                <w:szCs w:val="16"/>
              </w:rPr>
            </w:pPr>
            <w:r>
              <w:rPr>
                <w:rFonts w:ascii="Arial" w:hAnsi="Arial" w:cs="Arial"/>
                <w:sz w:val="16"/>
                <w:szCs w:val="16"/>
              </w:rPr>
              <w:t>10% to 13%</w:t>
            </w:r>
          </w:p>
        </w:tc>
      </w:tr>
    </w:tbl>
    <w:p w:rsidR="00115E3D" w:rsidRPr="00657533" w:rsidRDefault="00115E3D" w:rsidP="00657533">
      <w:pPr>
        <w:pStyle w:val="FinH4"/>
      </w:pPr>
      <w:r w:rsidRPr="00657533">
        <w:t>Impairment of Non-Current Assets</w:t>
      </w:r>
    </w:p>
    <w:p w:rsidR="00115E3D" w:rsidRPr="00657533" w:rsidRDefault="00115E3D" w:rsidP="00657533">
      <w:pPr>
        <w:pStyle w:val="Finnormalindent"/>
      </w:pPr>
      <w:r w:rsidRPr="00657533">
        <w:t>All non-current physical and intangible assets are assessed for indicators of impairment on an annual basis. If an indicator of possible impairment exists, the Authority determines the asset's recoverable amount. Any amount by which the asset's carrying significantly exceeds the recoverable amount is recorded as an impairment loss.</w:t>
      </w:r>
    </w:p>
    <w:p w:rsidR="00115E3D" w:rsidRPr="00657533" w:rsidRDefault="00115E3D" w:rsidP="00657533">
      <w:pPr>
        <w:pStyle w:val="Finnormalindent"/>
      </w:pPr>
      <w:r w:rsidRPr="00657533">
        <w:t>The asset's recoverable amount is determined as the higher of the asset's fair value less costs to sell and depreciated replacement cost.</w:t>
      </w:r>
    </w:p>
    <w:p w:rsidR="00115E3D" w:rsidRPr="00657533" w:rsidRDefault="00115E3D" w:rsidP="00657533">
      <w:pPr>
        <w:pStyle w:val="Finnormalindent"/>
      </w:pPr>
      <w:r w:rsidRPr="00657533">
        <w:t>An impairment loss is recognised immediately in the Statement of Comprehensive Income.</w:t>
      </w:r>
    </w:p>
    <w:p w:rsidR="00115E3D" w:rsidRPr="00657533" w:rsidRDefault="00115E3D" w:rsidP="00657533">
      <w:pPr>
        <w:pStyle w:val="Finnormalindent"/>
      </w:pPr>
      <w:r w:rsidRPr="00657533">
        <w:t>Where an impairment loss subsequently reverses, the carrying amount of the asset is increased to the revised estimate of its recoverable amount, but so that the increased carrying amount does not exceed the carrying amount that would have been determined had no impairment loss been recognised for the asset in prior years. A reversal of an impairment loss is recognised as income.</w:t>
      </w:r>
    </w:p>
    <w:p w:rsidR="00115E3D" w:rsidRPr="00657533" w:rsidRDefault="00115E3D" w:rsidP="00657533">
      <w:pPr>
        <w:pStyle w:val="FinH4"/>
      </w:pPr>
      <w:r w:rsidRPr="00657533">
        <w:t>Lease</w:t>
      </w:r>
    </w:p>
    <w:p w:rsidR="00115E3D" w:rsidRPr="00657533" w:rsidRDefault="00115E3D" w:rsidP="00657533">
      <w:pPr>
        <w:pStyle w:val="Finnormalindent"/>
      </w:pPr>
      <w:r w:rsidRPr="00657533">
        <w:t>A distinction is made in the financial statements between finance leases that effectively transfer from the lessor to the lessee substantially all risks and benefits incidental to ownership, and operating leases, under which the lessor retains substantially all risks and benefits. The Authority has no finance leases.</w:t>
      </w:r>
    </w:p>
    <w:p w:rsidR="00115E3D" w:rsidRPr="00657533" w:rsidRDefault="00115E3D" w:rsidP="00657533">
      <w:pPr>
        <w:pStyle w:val="Finnormalindent"/>
      </w:pPr>
      <w:r w:rsidRPr="00657533">
        <w:t>Operating lease payments are representative of the pattern of benefits derived from the leased assets and are expensed in the periods in which they are incurred.</w:t>
      </w:r>
    </w:p>
    <w:p w:rsidR="00115E3D" w:rsidRPr="00657533" w:rsidRDefault="00115E3D" w:rsidP="00657533">
      <w:pPr>
        <w:pStyle w:val="Finnormalindent"/>
      </w:pPr>
      <w:r w:rsidRPr="00657533">
        <w:t>Incentives received on entering into operating leases are recognised as liabilities. Lease payments are allocated between rental expense and reduction of the liability.</w:t>
      </w:r>
    </w:p>
    <w:p w:rsidR="00115E3D" w:rsidRPr="00124AC1" w:rsidRDefault="00115E3D" w:rsidP="00657533">
      <w:pPr>
        <w:pStyle w:val="FinH4"/>
      </w:pPr>
      <w:r w:rsidRPr="00124AC1">
        <w:t>Payables</w:t>
      </w:r>
    </w:p>
    <w:p w:rsidR="00A021CB" w:rsidRPr="00124AC1" w:rsidRDefault="00115E3D" w:rsidP="00A021CB">
      <w:pPr>
        <w:pStyle w:val="Finnormalindent"/>
      </w:pPr>
      <w:r w:rsidRPr="00124AC1">
        <w:t xml:space="preserve">Trade creditors are recognised upon receipt of the goods or services ordered </w:t>
      </w:r>
      <w:r w:rsidRPr="00657533">
        <w:t xml:space="preserve">and </w:t>
      </w:r>
      <w:r w:rsidRPr="00124AC1">
        <w:t xml:space="preserve">are measured at the nominal amount i.e. agreed purchase/contract price, gross of </w:t>
      </w:r>
      <w:r w:rsidR="00A021CB" w:rsidRPr="00124AC1">
        <w:t>applicable trade and other discounts. Amounts owing are unsecured and are generally settled on 30 day terms.</w:t>
      </w:r>
    </w:p>
    <w:p w:rsidR="00115E3D" w:rsidRPr="00124AC1" w:rsidRDefault="00657533" w:rsidP="00A021CB">
      <w:pPr>
        <w:pStyle w:val="FinH4"/>
      </w:pPr>
      <w:r>
        <w:br w:type="column"/>
      </w:r>
      <w:r w:rsidR="00115E3D" w:rsidRPr="00124AC1">
        <w:lastRenderedPageBreak/>
        <w:t>Financial Instruments</w:t>
      </w:r>
    </w:p>
    <w:p w:rsidR="00115E3D" w:rsidRPr="00657533" w:rsidRDefault="00115E3D" w:rsidP="00657533">
      <w:pPr>
        <w:pStyle w:val="FinH5"/>
      </w:pPr>
      <w:r w:rsidRPr="00657533">
        <w:t>Recognition</w:t>
      </w:r>
    </w:p>
    <w:p w:rsidR="00115E3D" w:rsidRPr="00124AC1" w:rsidRDefault="00115E3D" w:rsidP="00657533">
      <w:pPr>
        <w:pStyle w:val="Finnormalindent"/>
      </w:pPr>
      <w:r w:rsidRPr="00124AC1">
        <w:t>Financial assets and financial liabilities are recognised in the Statement of Financial Position when the Authority becomes party to the contractual provisions of the financial instrument.</w:t>
      </w:r>
    </w:p>
    <w:p w:rsidR="00115E3D" w:rsidRPr="00657533" w:rsidRDefault="00115E3D" w:rsidP="00657533">
      <w:pPr>
        <w:pStyle w:val="FinH5"/>
      </w:pPr>
      <w:r w:rsidRPr="00657533">
        <w:t>Classification</w:t>
      </w:r>
    </w:p>
    <w:p w:rsidR="00115E3D" w:rsidRPr="00124AC1" w:rsidRDefault="00115E3D" w:rsidP="00657533">
      <w:pPr>
        <w:pStyle w:val="Finnormalindent"/>
      </w:pPr>
      <w:r w:rsidRPr="00124AC1">
        <w:t>Financial instruments are classified and measured as follows:</w:t>
      </w:r>
    </w:p>
    <w:p w:rsidR="00115E3D" w:rsidRPr="00124AC1" w:rsidRDefault="00FA5556" w:rsidP="00C11EFE">
      <w:pPr>
        <w:pStyle w:val="ListParagraph0"/>
        <w:numPr>
          <w:ilvl w:val="0"/>
          <w:numId w:val="20"/>
        </w:numPr>
        <w:spacing w:before="40" w:line="240" w:lineRule="auto"/>
        <w:ind w:left="794" w:hanging="227"/>
        <w:contextualSpacing w:val="0"/>
        <w:rPr>
          <w:rFonts w:ascii="Arial" w:hAnsi="Arial" w:cs="Arial"/>
          <w:sz w:val="16"/>
          <w:szCs w:val="16"/>
        </w:rPr>
      </w:pPr>
      <w:r>
        <w:rPr>
          <w:rFonts w:ascii="Arial" w:hAnsi="Arial" w:cs="Arial"/>
          <w:sz w:val="16"/>
          <w:szCs w:val="16"/>
        </w:rPr>
        <w:t>Cash and Cash equivalents —</w:t>
      </w:r>
      <w:r w:rsidR="00115E3D" w:rsidRPr="00124AC1">
        <w:rPr>
          <w:rFonts w:ascii="Arial" w:hAnsi="Arial" w:cs="Arial"/>
          <w:sz w:val="16"/>
          <w:szCs w:val="16"/>
        </w:rPr>
        <w:t xml:space="preserve"> held at fair value through profit and loss</w:t>
      </w:r>
    </w:p>
    <w:p w:rsidR="00115E3D" w:rsidRPr="00124AC1" w:rsidRDefault="00FA5556" w:rsidP="00C11EFE">
      <w:pPr>
        <w:pStyle w:val="ListParagraph0"/>
        <w:numPr>
          <w:ilvl w:val="0"/>
          <w:numId w:val="20"/>
        </w:numPr>
        <w:spacing w:before="40" w:line="240" w:lineRule="auto"/>
        <w:ind w:left="794" w:hanging="227"/>
        <w:contextualSpacing w:val="0"/>
        <w:rPr>
          <w:rFonts w:ascii="Arial" w:hAnsi="Arial" w:cs="Arial"/>
          <w:sz w:val="16"/>
          <w:szCs w:val="16"/>
        </w:rPr>
      </w:pPr>
      <w:r>
        <w:rPr>
          <w:rFonts w:ascii="Arial" w:hAnsi="Arial" w:cs="Arial"/>
          <w:sz w:val="16"/>
          <w:szCs w:val="16"/>
        </w:rPr>
        <w:t>Receivables —</w:t>
      </w:r>
      <w:r w:rsidR="00115E3D" w:rsidRPr="00124AC1">
        <w:rPr>
          <w:rFonts w:ascii="Arial" w:hAnsi="Arial" w:cs="Arial"/>
          <w:sz w:val="16"/>
          <w:szCs w:val="16"/>
        </w:rPr>
        <w:t xml:space="preserve"> held at amortised cost</w:t>
      </w:r>
    </w:p>
    <w:p w:rsidR="00115E3D" w:rsidRPr="00124AC1" w:rsidRDefault="00FA5556" w:rsidP="00C11EFE">
      <w:pPr>
        <w:pStyle w:val="ListParagraph0"/>
        <w:numPr>
          <w:ilvl w:val="0"/>
          <w:numId w:val="20"/>
        </w:numPr>
        <w:spacing w:before="40" w:line="240" w:lineRule="auto"/>
        <w:ind w:left="794" w:hanging="227"/>
        <w:contextualSpacing w:val="0"/>
        <w:rPr>
          <w:rFonts w:ascii="Arial" w:hAnsi="Arial" w:cs="Arial"/>
          <w:sz w:val="16"/>
          <w:szCs w:val="16"/>
        </w:rPr>
      </w:pPr>
      <w:r>
        <w:rPr>
          <w:rFonts w:ascii="Arial" w:hAnsi="Arial" w:cs="Arial"/>
          <w:sz w:val="16"/>
          <w:szCs w:val="16"/>
        </w:rPr>
        <w:t>Payables —</w:t>
      </w:r>
      <w:r w:rsidR="00115E3D" w:rsidRPr="00124AC1">
        <w:rPr>
          <w:rFonts w:ascii="Arial" w:hAnsi="Arial" w:cs="Arial"/>
          <w:sz w:val="16"/>
          <w:szCs w:val="16"/>
        </w:rPr>
        <w:t xml:space="preserve"> held at amortised cost</w:t>
      </w:r>
    </w:p>
    <w:p w:rsidR="00115E3D" w:rsidRPr="00124AC1" w:rsidRDefault="00115E3D" w:rsidP="00657533">
      <w:pPr>
        <w:pStyle w:val="Finnormalindent"/>
      </w:pPr>
      <w:r w:rsidRPr="00124AC1">
        <w:t xml:space="preserve">The Authority does not enter into transactions for speculative purposes, </w:t>
      </w:r>
      <w:proofErr w:type="gramStart"/>
      <w:r w:rsidRPr="00124AC1">
        <w:t>nor</w:t>
      </w:r>
      <w:proofErr w:type="gramEnd"/>
      <w:r w:rsidRPr="00124AC1">
        <w:t xml:space="preserve"> for hedging. Apart from cash and cash equivalents, the Authority holds no financial assets classified at fair value through profit and loss.</w:t>
      </w:r>
    </w:p>
    <w:p w:rsidR="00115E3D" w:rsidRPr="00124AC1" w:rsidRDefault="00115E3D" w:rsidP="00657533">
      <w:pPr>
        <w:pStyle w:val="Finnormalindent"/>
      </w:pPr>
      <w:r w:rsidRPr="00124AC1">
        <w:t>All disclosures relating to the measurement basis and financial risk management of other financial instruments held by the Authority are included in Note</w:t>
      </w:r>
      <w:r w:rsidR="00C11EFE">
        <w:t> </w:t>
      </w:r>
      <w:r w:rsidRPr="00124AC1">
        <w:t>2</w:t>
      </w:r>
      <w:r>
        <w:t>1.</w:t>
      </w:r>
    </w:p>
    <w:p w:rsidR="00115E3D" w:rsidRPr="00124AC1" w:rsidRDefault="00115E3D" w:rsidP="00657533">
      <w:pPr>
        <w:pStyle w:val="FinH4"/>
      </w:pPr>
      <w:r w:rsidRPr="00124AC1">
        <w:t>Employee Benefits</w:t>
      </w:r>
    </w:p>
    <w:p w:rsidR="00115E3D" w:rsidRPr="00124AC1" w:rsidRDefault="00115E3D" w:rsidP="00657533">
      <w:pPr>
        <w:pStyle w:val="Finnormalindent"/>
      </w:pPr>
      <w:r w:rsidRPr="00124AC1">
        <w:t>Employer superannuation contributions, annual leave and the long service leave levy are regarded as employee benefits.</w:t>
      </w:r>
    </w:p>
    <w:p w:rsidR="00115E3D" w:rsidRPr="00124AC1" w:rsidRDefault="00115E3D" w:rsidP="00657533">
      <w:pPr>
        <w:pStyle w:val="Finnormalindent"/>
      </w:pPr>
      <w:r w:rsidRPr="00124AC1">
        <w:t>Payroll tax and workers' compensation insurance are a consequence of employing employees, but are not counted in an employee's total remuneration package. They are not employee benefits and are recognised separately as employee related expenses.</w:t>
      </w:r>
    </w:p>
    <w:p w:rsidR="00115E3D" w:rsidRPr="00657533" w:rsidRDefault="00115E3D" w:rsidP="00657533">
      <w:pPr>
        <w:pStyle w:val="FinH5"/>
      </w:pPr>
      <w:r w:rsidRPr="00657533">
        <w:t>Wages, salaries and sick leave</w:t>
      </w:r>
    </w:p>
    <w:p w:rsidR="00115E3D" w:rsidRPr="00124AC1" w:rsidRDefault="00115E3D" w:rsidP="00657533">
      <w:pPr>
        <w:pStyle w:val="Finnormalindent"/>
      </w:pPr>
      <w:r w:rsidRPr="00C47338">
        <w:t>Wages and salaries due but unpaid at the reporting date are recognised in the Statement of Financial Position at the</w:t>
      </w:r>
      <w:r>
        <w:t xml:space="preserve"> </w:t>
      </w:r>
      <w:r w:rsidRPr="00C47338">
        <w:t>current salary rate(s).</w:t>
      </w:r>
    </w:p>
    <w:p w:rsidR="00115E3D" w:rsidRDefault="00115E3D" w:rsidP="00657533">
      <w:pPr>
        <w:pStyle w:val="Finnormalindent"/>
      </w:pPr>
      <w:r w:rsidRPr="00C47338">
        <w:t xml:space="preserve">As the </w:t>
      </w:r>
      <w:r>
        <w:t>Authority</w:t>
      </w:r>
      <w:r w:rsidRPr="00C47338">
        <w:t xml:space="preserve"> expects such liabilities to be wholly settled within 12 months of reporting date, the liabilities are</w:t>
      </w:r>
      <w:r>
        <w:t xml:space="preserve"> </w:t>
      </w:r>
      <w:r w:rsidRPr="00C47338">
        <w:t>recognised at undiscounted amounts.</w:t>
      </w:r>
    </w:p>
    <w:p w:rsidR="00115E3D" w:rsidRPr="00124AC1" w:rsidRDefault="00115E3D" w:rsidP="00657533">
      <w:pPr>
        <w:pStyle w:val="Finnormalindent"/>
      </w:pPr>
      <w:r w:rsidRPr="00124AC1">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w:t>
      </w:r>
    </w:p>
    <w:p w:rsidR="00115E3D" w:rsidRPr="00124AC1" w:rsidRDefault="00115E3D" w:rsidP="00657533">
      <w:pPr>
        <w:pStyle w:val="Finnormalindent"/>
      </w:pPr>
      <w:r w:rsidRPr="00124AC1">
        <w:t>As sick leave is non-vesting, an expense is recognised for this leave as it is taken.</w:t>
      </w:r>
    </w:p>
    <w:p w:rsidR="00115E3D" w:rsidRPr="00657533" w:rsidRDefault="00115E3D" w:rsidP="00B81A0A">
      <w:pPr>
        <w:pStyle w:val="FinH5"/>
      </w:pPr>
      <w:r w:rsidRPr="00657533">
        <w:t>Annual Leave</w:t>
      </w:r>
    </w:p>
    <w:p w:rsidR="0029578D" w:rsidRDefault="00115E3D" w:rsidP="00B81A0A">
      <w:pPr>
        <w:pStyle w:val="Finnormalindent"/>
      </w:pPr>
      <w:r>
        <w:t>Annual leave liability is disclosed as a current liability and measured at the undiscounted amount if the Authority expects to wholly settle the liability within the 12 months following reporting date. Otherwise, annual leave liability is accounted for as an ‘other long-term employee benef</w:t>
      </w:r>
      <w:r w:rsidR="0029578D">
        <w:t>it’ in accordance with AASB 119.</w:t>
      </w:r>
    </w:p>
    <w:p w:rsidR="00115E3D" w:rsidRPr="0029578D" w:rsidRDefault="00115E3D" w:rsidP="00B81A0A">
      <w:pPr>
        <w:pStyle w:val="Finnormalindent"/>
        <w:rPr>
          <w:i/>
        </w:rPr>
      </w:pPr>
      <w:r>
        <w:rPr>
          <w:i/>
        </w:rPr>
        <w:t>Employee Benefits</w:t>
      </w:r>
    </w:p>
    <w:p w:rsidR="00115E3D" w:rsidRDefault="00115E3D" w:rsidP="00B81A0A">
      <w:pPr>
        <w:pStyle w:val="Finnormalindent"/>
      </w:pPr>
      <w:r>
        <w:t xml:space="preserve">Accounting for annual leave as an ‘other long-term employee benefit’ requires recognising the liability at its present value, calculated using yields on Fixed Rate Commonwealth Government bonds of similar maturity, after projecting the remuneration rates expected to apply at the time of likely settlement. </w:t>
      </w:r>
    </w:p>
    <w:p w:rsidR="00352A1D" w:rsidRDefault="00352A1D" w:rsidP="00352A1D">
      <w:pPr>
        <w:pStyle w:val="Finnormalindent"/>
      </w:pPr>
      <w:r>
        <w:t xml:space="preserve">All directly associated on-costs (e.g. leave loading) are also </w:t>
      </w:r>
      <w:r w:rsidRPr="00A021CB">
        <w:t>recognised</w:t>
      </w:r>
      <w:r>
        <w:t xml:space="preserve"> as liabilities, where those on-costs are material.</w:t>
      </w:r>
    </w:p>
    <w:p w:rsidR="00115E3D" w:rsidRDefault="00B81A0A" w:rsidP="00B81A0A">
      <w:pPr>
        <w:pStyle w:val="Finnormalindent"/>
      </w:pPr>
      <w:r>
        <w:br w:type="column"/>
      </w:r>
      <w:r w:rsidR="00115E3D" w:rsidRPr="005C5EA8">
        <w:lastRenderedPageBreak/>
        <w:t xml:space="preserve">The classification of a benefit as </w:t>
      </w:r>
      <w:r w:rsidR="004E235F">
        <w:t>short-term</w:t>
      </w:r>
      <w:r w:rsidR="00115E3D" w:rsidRPr="005C5EA8">
        <w:t xml:space="preserve"> or long</w:t>
      </w:r>
      <w:r w:rsidR="004E235F">
        <w:t xml:space="preserve"> </w:t>
      </w:r>
      <w:r w:rsidR="008875B5">
        <w:t>-</w:t>
      </w:r>
      <w:r w:rsidR="00115E3D" w:rsidRPr="005C5EA8">
        <w:t xml:space="preserve">term affects the measurement of the obligation only and does not affect the current/non-current classification of the liability in the </w:t>
      </w:r>
      <w:r w:rsidR="00115E3D">
        <w:t>Statement of Financial Position</w:t>
      </w:r>
      <w:r w:rsidR="00115E3D" w:rsidRPr="005C5EA8">
        <w:t>. All benefits which have vested to the employee as at the reporting date are required to be classified as a current liability</w:t>
      </w:r>
      <w:r w:rsidR="00115E3D">
        <w:t xml:space="preserve"> in accordance with AASB 101 </w:t>
      </w:r>
      <w:r w:rsidR="00115E3D">
        <w:rPr>
          <w:i/>
        </w:rPr>
        <w:t>Presentation of Financial Statements</w:t>
      </w:r>
      <w:r w:rsidR="00115E3D">
        <w:t>,</w:t>
      </w:r>
      <w:r w:rsidR="00115E3D" w:rsidRPr="005C5EA8">
        <w:t xml:space="preserve"> since the </w:t>
      </w:r>
      <w:r w:rsidR="00115E3D">
        <w:t>Authority</w:t>
      </w:r>
      <w:r w:rsidR="00115E3D" w:rsidRPr="005C5EA8">
        <w:t xml:space="preserve"> does not have an unconditional right to defer settlement of the obligation.</w:t>
      </w:r>
    </w:p>
    <w:p w:rsidR="00115E3D" w:rsidRPr="00B81A0A" w:rsidRDefault="00115E3D" w:rsidP="00B81A0A">
      <w:pPr>
        <w:pStyle w:val="FinH5"/>
      </w:pPr>
      <w:r w:rsidRPr="00B81A0A">
        <w:t>Long service leave</w:t>
      </w:r>
    </w:p>
    <w:p w:rsidR="00115E3D" w:rsidRPr="00124AC1" w:rsidRDefault="00115E3D" w:rsidP="00B81A0A">
      <w:pPr>
        <w:pStyle w:val="Finnormalindent"/>
      </w:pPr>
      <w:r w:rsidRPr="00124AC1">
        <w:t>Under the Queensland Government’s long service leave scheme, a levy is made on the Authority to cover the cost of employees' long service leave. The levies are expensed in the period in which they are payable. Amounts paid to employees for long service leave are claimed from the scheme quarterly in arrears.</w:t>
      </w:r>
    </w:p>
    <w:p w:rsidR="00115E3D" w:rsidRPr="00124AC1" w:rsidRDefault="00115E3D" w:rsidP="00B81A0A">
      <w:pPr>
        <w:pStyle w:val="Finnormalindent"/>
      </w:pPr>
      <w:r w:rsidRPr="00124AC1">
        <w:t xml:space="preserve">No provision for long service leave is recognised in the Authority's financial statements, the liability being held on a whole-of-government basis and reported in those financial statements pursuant to AASB 1049 </w:t>
      </w:r>
      <w:r w:rsidRPr="00124AC1">
        <w:rPr>
          <w:i/>
        </w:rPr>
        <w:t>Whole of Government and General Government Sector Financial Reporting</w:t>
      </w:r>
      <w:r w:rsidRPr="00124AC1">
        <w:t>.</w:t>
      </w:r>
    </w:p>
    <w:p w:rsidR="00115E3D" w:rsidRPr="00B81A0A" w:rsidRDefault="00115E3D" w:rsidP="00B81A0A">
      <w:pPr>
        <w:pStyle w:val="FinH5"/>
      </w:pPr>
      <w:r w:rsidRPr="00B81A0A">
        <w:t>Superannuation</w:t>
      </w:r>
    </w:p>
    <w:p w:rsidR="00115E3D" w:rsidRPr="00124AC1" w:rsidRDefault="00115E3D" w:rsidP="00B81A0A">
      <w:pPr>
        <w:pStyle w:val="Finnormalindent"/>
      </w:pPr>
      <w:r w:rsidRPr="00124AC1">
        <w:t>Employer superannuation contributions are paid to QSuper, the superannuation plan for Queensland Government employees at rates determined by the Treasurer on the advice of the State Actuary. Contributions are expensed in the period in which they are paid or payable. The Authority's obligation is limited to its contribution to QSuper.</w:t>
      </w:r>
    </w:p>
    <w:p w:rsidR="00115E3D" w:rsidRPr="00124AC1" w:rsidRDefault="00115E3D" w:rsidP="00B81A0A">
      <w:pPr>
        <w:pStyle w:val="Finnormalindent"/>
      </w:pPr>
      <w:r w:rsidRPr="00124AC1">
        <w:t xml:space="preserve">The QSuper scheme has defined benefit and defined contribution categories. The liability for defined benefits is held on a whole-of-Government basis and reported in those financial statements pursuant to AASB 1049 </w:t>
      </w:r>
      <w:r w:rsidRPr="00124AC1">
        <w:rPr>
          <w:i/>
        </w:rPr>
        <w:t>Whole of Government and General Government Sector Financial Reporting</w:t>
      </w:r>
      <w:r w:rsidRPr="00124AC1">
        <w:t>.</w:t>
      </w:r>
    </w:p>
    <w:p w:rsidR="00115E3D" w:rsidRPr="00B81A0A" w:rsidRDefault="00115E3D" w:rsidP="00B81A0A">
      <w:pPr>
        <w:pStyle w:val="FinH5"/>
      </w:pPr>
      <w:r w:rsidRPr="00B81A0A">
        <w:t>Key management personnel and remuneration</w:t>
      </w:r>
    </w:p>
    <w:p w:rsidR="00115E3D" w:rsidRPr="00124AC1" w:rsidRDefault="00115E3D" w:rsidP="00B81A0A">
      <w:pPr>
        <w:pStyle w:val="Finnormalindent"/>
      </w:pPr>
      <w:r w:rsidRPr="00124AC1">
        <w:t xml:space="preserve">Key management personnel and remuneration disclosures are made in accordance with section 5 of the Financial Reporting Requirements for Queensland Government Agencies issued by Queensland Treasury and Trade. Refer to </w:t>
      </w:r>
      <w:r>
        <w:t>n</w:t>
      </w:r>
      <w:r w:rsidRPr="00124AC1">
        <w:t xml:space="preserve">ote </w:t>
      </w:r>
      <w:r>
        <w:t>6</w:t>
      </w:r>
      <w:r w:rsidRPr="00124AC1">
        <w:t xml:space="preserve"> for the disclosures on key executive management personnel and remuneration.</w:t>
      </w:r>
    </w:p>
    <w:p w:rsidR="00115E3D" w:rsidRPr="00124AC1" w:rsidRDefault="00115E3D" w:rsidP="00657533">
      <w:pPr>
        <w:pStyle w:val="FinH4"/>
      </w:pPr>
      <w:r>
        <w:t>Unearned Revenue</w:t>
      </w:r>
    </w:p>
    <w:p w:rsidR="00115E3D" w:rsidRDefault="00115E3D" w:rsidP="00B81A0A">
      <w:pPr>
        <w:pStyle w:val="Finnormalindent"/>
      </w:pPr>
      <w:r w:rsidRPr="00DF38A0">
        <w:t>Unearned revenue is recognised upon receipt of payment prior to goods/services being delivered by the Authority. Revenue is recognised at the time of goods/service delivery</w:t>
      </w:r>
      <w:r>
        <w:t>.</w:t>
      </w:r>
    </w:p>
    <w:p w:rsidR="00115E3D" w:rsidRDefault="00115E3D" w:rsidP="00B81A0A">
      <w:pPr>
        <w:pStyle w:val="Finnormalindent"/>
      </w:pPr>
      <w:r w:rsidRPr="00DF38A0">
        <w:t>Visa student fees are charged per calendar year, not financial year. Therefore, fifty per cent of the visa stud</w:t>
      </w:r>
      <w:r w:rsidR="008875B5">
        <w:t xml:space="preserve">ent fees received in the second </w:t>
      </w:r>
      <w:r w:rsidRPr="00DF38A0">
        <w:t xml:space="preserve">half of the financial year </w:t>
      </w:r>
      <w:proofErr w:type="gramStart"/>
      <w:r w:rsidRPr="00DF38A0">
        <w:t>are</w:t>
      </w:r>
      <w:proofErr w:type="gramEnd"/>
      <w:r w:rsidRPr="00DF38A0">
        <w:t xml:space="preserve"> recorded as unearned revenue. The remaining fifty per cent is then recognised as revenue in the subsequent financial year</w:t>
      </w:r>
      <w:r>
        <w:t>.</w:t>
      </w:r>
    </w:p>
    <w:p w:rsidR="00115E3D" w:rsidRPr="00124AC1" w:rsidRDefault="00115E3D" w:rsidP="00657533">
      <w:pPr>
        <w:pStyle w:val="FinH4"/>
      </w:pPr>
      <w:r w:rsidRPr="00124AC1">
        <w:t>Provisions</w:t>
      </w:r>
    </w:p>
    <w:p w:rsidR="00115E3D" w:rsidRDefault="00115E3D" w:rsidP="00B81A0A">
      <w:pPr>
        <w:pStyle w:val="Finnormalindent"/>
      </w:pPr>
      <w:r w:rsidRPr="00124AC1">
        <w:t xml:space="preserve">Provisions are recorded when the Authority has a present obligation, either legal or constructive </w:t>
      </w:r>
      <w:proofErr w:type="gramStart"/>
      <w:r w:rsidRPr="00124AC1">
        <w:t>as a result</w:t>
      </w:r>
      <w:proofErr w:type="gramEnd"/>
      <w:r w:rsidRPr="00124AC1">
        <w:t xml:space="preserve"> of a past event. They are recognised at the amount expected at reporting date for which the obligation will be settled in a future period. Where the settlement of the obligation is </w:t>
      </w:r>
      <w:r w:rsidR="00A021CB" w:rsidRPr="00124AC1">
        <w:t>expected after 12 or more months, the obligation is discounted to the present value using an appropriate discount rate</w:t>
      </w:r>
      <w:r w:rsidR="00A021CB">
        <w:t>.</w:t>
      </w:r>
    </w:p>
    <w:p w:rsidR="00115E3D" w:rsidRPr="00A021CB" w:rsidRDefault="00B81A0A" w:rsidP="00A021CB">
      <w:pPr>
        <w:pStyle w:val="FinH4"/>
      </w:pPr>
      <w:r>
        <w:br w:type="column"/>
      </w:r>
      <w:r w:rsidR="00115E3D" w:rsidRPr="00A021CB">
        <w:lastRenderedPageBreak/>
        <w:t>Insurance</w:t>
      </w:r>
    </w:p>
    <w:p w:rsidR="00115E3D" w:rsidRPr="00124AC1" w:rsidRDefault="00115E3D" w:rsidP="00A021CB">
      <w:pPr>
        <w:pStyle w:val="Finnormalindent"/>
      </w:pPr>
      <w:r w:rsidRPr="00124AC1">
        <w:t xml:space="preserve">The Authority's non-current physical assets and other risks are insured through the Queensland Government Insurance Fund, </w:t>
      </w:r>
      <w:r w:rsidRPr="00A021CB">
        <w:t>premiums</w:t>
      </w:r>
      <w:r w:rsidRPr="00124AC1">
        <w:t xml:space="preserve"> being paid on a risk assessment basis. In addition, the Authority pays premiums to </w:t>
      </w:r>
      <w:proofErr w:type="spellStart"/>
      <w:r w:rsidRPr="00124AC1">
        <w:t>WorkCover</w:t>
      </w:r>
      <w:proofErr w:type="spellEnd"/>
      <w:r w:rsidRPr="00124AC1">
        <w:t xml:space="preserve"> Queensland in respect of its obligations for employee compensation.</w:t>
      </w:r>
    </w:p>
    <w:p w:rsidR="00115E3D" w:rsidRPr="00124AC1" w:rsidRDefault="00115E3D" w:rsidP="00B81A0A">
      <w:pPr>
        <w:pStyle w:val="FinH4"/>
      </w:pPr>
      <w:r w:rsidRPr="00124AC1">
        <w:t>Services Received Free of Charge or for Nominal Value</w:t>
      </w:r>
    </w:p>
    <w:p w:rsidR="00115E3D" w:rsidRPr="00124AC1" w:rsidRDefault="00115E3D" w:rsidP="00B81A0A">
      <w:pPr>
        <w:pStyle w:val="Finnormalindent"/>
      </w:pPr>
      <w:r w:rsidRPr="00124AC1">
        <w:t>Contributions of services are recognised only if the services would have been purchased if they had not been donated and their fair value can be measured reliably. Where this is the case, an equal amount is recognised as revenue and an expense.</w:t>
      </w:r>
    </w:p>
    <w:p w:rsidR="00115E3D" w:rsidRPr="00124AC1" w:rsidRDefault="00115E3D" w:rsidP="00B81A0A">
      <w:pPr>
        <w:pStyle w:val="FinH4"/>
      </w:pPr>
      <w:r w:rsidRPr="00124AC1">
        <w:t>Contributed Equity</w:t>
      </w:r>
    </w:p>
    <w:p w:rsidR="00115E3D" w:rsidRPr="00124AC1" w:rsidRDefault="00115E3D" w:rsidP="00B81A0A">
      <w:pPr>
        <w:pStyle w:val="Finnormalindent"/>
      </w:pPr>
      <w:r w:rsidRPr="00124AC1">
        <w:t xml:space="preserve">Non-reciprocal transfers of assets and liabilities between wholly-owned Queensland State Public Sector entities </w:t>
      </w:r>
      <w:proofErr w:type="gramStart"/>
      <w:r w:rsidRPr="00124AC1">
        <w:t>as a result</w:t>
      </w:r>
      <w:proofErr w:type="gramEnd"/>
      <w:r w:rsidRPr="00124AC1">
        <w:t xml:space="preserve"> of machinery-of-Government changes are adjusted to 'Contributed Equity' in accordance with Interpretation 1038 </w:t>
      </w:r>
      <w:r w:rsidRPr="00124AC1">
        <w:rPr>
          <w:i/>
        </w:rPr>
        <w:t>Contributions by Owners Made to Wholly-Owned Public Sector Entities</w:t>
      </w:r>
      <w:r w:rsidRPr="00124AC1">
        <w:t>. Appropriations for equity adjustments are similarly designated.</w:t>
      </w:r>
    </w:p>
    <w:p w:rsidR="00115E3D" w:rsidRPr="00124AC1" w:rsidRDefault="00115E3D" w:rsidP="00B81A0A">
      <w:pPr>
        <w:pStyle w:val="FinH4"/>
      </w:pPr>
      <w:r w:rsidRPr="00124AC1">
        <w:t>Taxation</w:t>
      </w:r>
    </w:p>
    <w:p w:rsidR="00115E3D" w:rsidRPr="00124AC1" w:rsidRDefault="00115E3D" w:rsidP="00B81A0A">
      <w:pPr>
        <w:pStyle w:val="Finnormalindent"/>
      </w:pPr>
      <w:r w:rsidRPr="00124AC1">
        <w:t xml:space="preserve">The Authority is a State body as defined under the </w:t>
      </w:r>
      <w:r w:rsidRPr="00124AC1">
        <w:rPr>
          <w:i/>
        </w:rPr>
        <w:t>Income Tax Assessment Act 1936</w:t>
      </w:r>
      <w:r w:rsidRPr="00124AC1">
        <w:t xml:space="preserve"> and is exempt from Commonwealth taxation with the exception of Fringe Benefits Tax (FBT) and Goods and Services Tax (GST). FBT and GST are the only taxes accounted for by the Queensland Studies Authority. GST credits receivable from, and GST payable to the ATO, are recognised (refer to note 1</w:t>
      </w:r>
      <w:r>
        <w:t>2</w:t>
      </w:r>
      <w:r w:rsidRPr="00124AC1">
        <w:t>).</w:t>
      </w:r>
    </w:p>
    <w:p w:rsidR="00115E3D" w:rsidRPr="00124AC1" w:rsidRDefault="00115E3D" w:rsidP="00B81A0A">
      <w:pPr>
        <w:pStyle w:val="FinH4"/>
      </w:pPr>
      <w:r w:rsidRPr="00124AC1">
        <w:t>Issuance of Financial Statements</w:t>
      </w:r>
    </w:p>
    <w:p w:rsidR="00115E3D" w:rsidRPr="00124AC1" w:rsidRDefault="00115E3D" w:rsidP="00B81A0A">
      <w:pPr>
        <w:pStyle w:val="Finnormalindent"/>
      </w:pPr>
      <w:r w:rsidRPr="00124AC1">
        <w:t>The financial statements are authorised for issue by the Chair and Chief Executive Officer at the date of signing the Management Certificate.</w:t>
      </w:r>
    </w:p>
    <w:p w:rsidR="00115E3D" w:rsidRPr="00124AC1" w:rsidRDefault="00FB7550" w:rsidP="00FB7550">
      <w:pPr>
        <w:pStyle w:val="FinH4"/>
        <w:ind w:hanging="385"/>
      </w:pPr>
      <w:r>
        <w:t xml:space="preserve">Accounting </w:t>
      </w:r>
      <w:r w:rsidRPr="00FB7550">
        <w:t>Estimates</w:t>
      </w:r>
      <w:r>
        <w:t xml:space="preserve"> and Judg</w:t>
      </w:r>
      <w:r w:rsidR="00115E3D" w:rsidRPr="00124AC1">
        <w:t>ments</w:t>
      </w:r>
    </w:p>
    <w:p w:rsidR="00115E3D" w:rsidRPr="00124AC1" w:rsidRDefault="00115E3D" w:rsidP="00B81A0A">
      <w:pPr>
        <w:pStyle w:val="Finnormalindent"/>
      </w:pPr>
      <w:r w:rsidRPr="00124AC1">
        <w:t>The preparation of financial statements necessarily requires the determination and use of certain critical accounting estimates, a</w:t>
      </w:r>
      <w:r w:rsidR="00FB7550">
        <w:t>ssumptions, and management judg</w:t>
      </w:r>
      <w:r w:rsidRPr="00124AC1">
        <w:t>ments that have that potential to cause a material adjustment to the carrying amounts of assets and liabilities within the next financial year. Su</w:t>
      </w:r>
      <w:r w:rsidR="00FB7550">
        <w:t>ch estimates, judg</w:t>
      </w:r>
      <w:r w:rsidRPr="00124AC1">
        <w:t>ments and underlying assumptions are reviewed on an ongoing basis. Revisions to accounting estimates are recognised in the period in which the estimate is revised and in future periods as relevant.</w:t>
      </w:r>
    </w:p>
    <w:p w:rsidR="00115E3D" w:rsidRPr="00124AC1" w:rsidRDefault="00115E3D" w:rsidP="00B81A0A">
      <w:pPr>
        <w:pStyle w:val="Finnormalindent"/>
      </w:pPr>
      <w:r w:rsidRPr="00124AC1">
        <w:t xml:space="preserve">The Australian government passed its </w:t>
      </w:r>
      <w:r w:rsidRPr="00124AC1">
        <w:rPr>
          <w:i/>
        </w:rPr>
        <w:t>Clean Energy Act</w:t>
      </w:r>
      <w:r w:rsidRPr="00124AC1">
        <w:t xml:space="preserve"> in November 2011 which resulted in the introduction of a price on carbon emissions made by Australian businesses from 1 July 2012.</w:t>
      </w:r>
    </w:p>
    <w:p w:rsidR="00115E3D" w:rsidRPr="00124AC1" w:rsidRDefault="00115E3D" w:rsidP="00B81A0A">
      <w:pPr>
        <w:pStyle w:val="Finnormalindent"/>
      </w:pPr>
      <w:r>
        <w:t xml:space="preserve">From 1 July 2014, the government plans to abolish the carbon tax. The withdrawal of the carbon pricing mechanism is not expected to have a significant impact on the Authority’s critical accounting estimates, </w:t>
      </w:r>
      <w:r w:rsidR="00FB7550">
        <w:t>assumptions and management judg</w:t>
      </w:r>
      <w:r>
        <w:t xml:space="preserve">ments. </w:t>
      </w:r>
    </w:p>
    <w:p w:rsidR="00115E3D" w:rsidRPr="00124AC1" w:rsidRDefault="00115E3D" w:rsidP="00FB7550">
      <w:pPr>
        <w:pStyle w:val="FinH4"/>
        <w:ind w:left="539" w:hanging="385"/>
      </w:pPr>
      <w:r w:rsidRPr="00124AC1">
        <w:t>Rounding and Comparatives</w:t>
      </w:r>
    </w:p>
    <w:p w:rsidR="00115E3D" w:rsidRDefault="00115E3D" w:rsidP="00B81A0A">
      <w:pPr>
        <w:pStyle w:val="Finnormalindent"/>
      </w:pPr>
      <w:r w:rsidRPr="00124AC1">
        <w:t>Amounts included in the financial statements are in Australian dollars and have been rounded to the nearest $1,000, or, where the amount is $500 or less, to zero, unless disclosure of the full amount is specifically required.</w:t>
      </w:r>
    </w:p>
    <w:p w:rsidR="00A021CB" w:rsidRPr="00124AC1" w:rsidRDefault="00A021CB" w:rsidP="00B81A0A">
      <w:pPr>
        <w:pStyle w:val="Finnormalindent"/>
      </w:pPr>
      <w:r w:rsidRPr="00124AC1">
        <w:t>Comparative information has been restated where necessary to be consistent with disclosures in the current reporting period.</w:t>
      </w:r>
    </w:p>
    <w:p w:rsidR="00115E3D" w:rsidRPr="00124AC1" w:rsidRDefault="00B81A0A" w:rsidP="00FB7550">
      <w:pPr>
        <w:pStyle w:val="FinH4"/>
        <w:ind w:left="539" w:hanging="385"/>
      </w:pPr>
      <w:r>
        <w:br w:type="column"/>
      </w:r>
      <w:r w:rsidR="00115E3D" w:rsidRPr="00124AC1">
        <w:lastRenderedPageBreak/>
        <w:t>New and Revised Accounting Standards</w:t>
      </w:r>
    </w:p>
    <w:p w:rsidR="00115E3D" w:rsidRPr="00124AC1" w:rsidRDefault="00115E3D" w:rsidP="00B81A0A">
      <w:pPr>
        <w:pStyle w:val="Finnormalindent"/>
      </w:pPr>
      <w:r w:rsidRPr="00124AC1">
        <w:t xml:space="preserve">The Authority did not voluntarily change any of its accounting policies during </w:t>
      </w:r>
      <w:r>
        <w:t>2013</w:t>
      </w:r>
      <w:r w:rsidR="00FA5556">
        <w:t>–</w:t>
      </w:r>
      <w:r>
        <w:t>14</w:t>
      </w:r>
      <w:r w:rsidRPr="00124AC1">
        <w:t xml:space="preserve">. Australian Accounting Standard changes applicable for the first time for </w:t>
      </w:r>
      <w:r>
        <w:t>2013</w:t>
      </w:r>
      <w:r w:rsidR="00FA5556">
        <w:t>–</w:t>
      </w:r>
      <w:r>
        <w:t xml:space="preserve">14 </w:t>
      </w:r>
      <w:r w:rsidRPr="00124AC1">
        <w:t>have had minimal effect on the Authority's financial statements, as explained below.</w:t>
      </w:r>
    </w:p>
    <w:p w:rsidR="00115E3D" w:rsidRDefault="00115E3D" w:rsidP="00B81A0A">
      <w:pPr>
        <w:pStyle w:val="Finnormalindent"/>
      </w:pPr>
      <w:r w:rsidRPr="00FF4940">
        <w:t>AASB 13 Fair Value Measurement became effective from reporting periods beginning on or after 1 January 2013.</w:t>
      </w:r>
      <w:r>
        <w:t xml:space="preserve"> </w:t>
      </w:r>
      <w:r w:rsidRPr="00FF4940">
        <w:t>AASB 13 sets out a new definition of 'fair value' as well as new principles to be applied when determining the fair value</w:t>
      </w:r>
      <w:r>
        <w:t xml:space="preserve"> </w:t>
      </w:r>
      <w:r w:rsidRPr="00FF4940">
        <w:t xml:space="preserve">of assets and liabilities. The new requirements apply to all of the </w:t>
      </w:r>
      <w:r>
        <w:t xml:space="preserve">Authority’s </w:t>
      </w:r>
      <w:r w:rsidRPr="00FF4940">
        <w:t>assets and liabilities (excluding leases)</w:t>
      </w:r>
      <w:r>
        <w:t xml:space="preserve"> </w:t>
      </w:r>
      <w:r w:rsidRPr="00FF4940">
        <w:t>that are measured at fair value or another measurement based on fair value. The impacts of AASB 13 relate to the fair</w:t>
      </w:r>
      <w:r>
        <w:t xml:space="preserve"> </w:t>
      </w:r>
      <w:r w:rsidRPr="00FF4940">
        <w:t>value measurement methodologies used and financial statement disclosures made in respect of such assets and</w:t>
      </w:r>
      <w:r>
        <w:t xml:space="preserve"> </w:t>
      </w:r>
      <w:r w:rsidRPr="00FF4940">
        <w:t>liabilities.</w:t>
      </w:r>
    </w:p>
    <w:p w:rsidR="00115E3D" w:rsidRDefault="00115E3D" w:rsidP="00B81A0A">
      <w:pPr>
        <w:pStyle w:val="Finnormalindent"/>
      </w:pPr>
      <w:r w:rsidRPr="00FF4940">
        <w:t xml:space="preserve">The </w:t>
      </w:r>
      <w:r>
        <w:t>Authority</w:t>
      </w:r>
      <w:r w:rsidRPr="00FF4940">
        <w:t xml:space="preserve"> has reviewed its fair value methodologies to assess whether those</w:t>
      </w:r>
      <w:r>
        <w:t xml:space="preserve"> </w:t>
      </w:r>
      <w:r w:rsidRPr="00FF4940">
        <w:t xml:space="preserve">methodologies comply with AASB 13. </w:t>
      </w:r>
      <w:r>
        <w:t>No changes were required to valuation methodologies.</w:t>
      </w:r>
    </w:p>
    <w:p w:rsidR="00115E3D" w:rsidRDefault="00115E3D" w:rsidP="00B81A0A">
      <w:pPr>
        <w:pStyle w:val="Finnormalindent"/>
      </w:pPr>
      <w:r w:rsidRPr="00AE088D">
        <w:t xml:space="preserve">A revised version of AASB 119 </w:t>
      </w:r>
      <w:r w:rsidRPr="00B81A0A">
        <w:t>Employee Benefits</w:t>
      </w:r>
      <w:r w:rsidRPr="00AE088D">
        <w:t xml:space="preserve"> became effective for reporting periods beginning on or after 1</w:t>
      </w:r>
      <w:r>
        <w:t xml:space="preserve"> </w:t>
      </w:r>
      <w:r w:rsidRPr="00AE088D">
        <w:t>January 2013. The most significant implication for the Authority is that the revised accounting standard includes</w:t>
      </w:r>
      <w:r>
        <w:t xml:space="preserve"> </w:t>
      </w:r>
      <w:r w:rsidRPr="00AE088D">
        <w:t>changed criteria for accounting for employee benefits as 'short-term employee benefits'. As a result, any class of</w:t>
      </w:r>
      <w:r>
        <w:t xml:space="preserve"> </w:t>
      </w:r>
      <w:r w:rsidRPr="00AE088D">
        <w:t>employee benefit not expected to be wholly settled within 12 months after the reporting date is to be accounted for as</w:t>
      </w:r>
      <w:r>
        <w:t xml:space="preserve"> </w:t>
      </w:r>
      <w:r w:rsidRPr="00AE088D">
        <w:t>'other long-term employee benefits'. The recognition and measurement of the Authority’s obligations for 'other long</w:t>
      </w:r>
      <w:r>
        <w:t>-</w:t>
      </w:r>
      <w:r w:rsidRPr="00AE088D">
        <w:t>term</w:t>
      </w:r>
      <w:r>
        <w:t xml:space="preserve"> </w:t>
      </w:r>
      <w:r w:rsidRPr="00AE088D">
        <w:t>employee benefits' follows most of the requirements for defined benefit plans.</w:t>
      </w:r>
      <w:r>
        <w:t xml:space="preserve"> </w:t>
      </w:r>
      <w:r w:rsidRPr="00AE088D">
        <w:t xml:space="preserve">This </w:t>
      </w:r>
      <w:r>
        <w:t xml:space="preserve">change only </w:t>
      </w:r>
      <w:r w:rsidRPr="00AE088D">
        <w:t xml:space="preserve">affects the Authority’s annual leave </w:t>
      </w:r>
      <w:r>
        <w:t>liability as the Authority is a member of the Queensland Government central scheme for long service leave.</w:t>
      </w:r>
      <w:r w:rsidRPr="00AE088D">
        <w:t xml:space="preserve"> </w:t>
      </w:r>
    </w:p>
    <w:p w:rsidR="00115E3D" w:rsidRDefault="00115E3D" w:rsidP="00B81A0A">
      <w:pPr>
        <w:pStyle w:val="Finnormalindent"/>
      </w:pPr>
      <w:r w:rsidRPr="00AE088D">
        <w:t>Other potential implications arising from the revised AASB 119 were the revised concept of 'termination benefits' and</w:t>
      </w:r>
      <w:r>
        <w:t xml:space="preserve"> </w:t>
      </w:r>
      <w:r w:rsidRPr="00AE088D">
        <w:t>the revised recognition criteria for termination benefit liabilities. If any termination benefit obligations meet the</w:t>
      </w:r>
      <w:r>
        <w:t xml:space="preserve"> </w:t>
      </w:r>
      <w:r w:rsidRPr="00AE088D">
        <w:t>timeframe criterion for 'short-term employee benefits', they will be measured according to the requirements for 'short</w:t>
      </w:r>
      <w:r>
        <w:t>-</w:t>
      </w:r>
      <w:r w:rsidRPr="00AE088D">
        <w:t>term</w:t>
      </w:r>
      <w:r>
        <w:t xml:space="preserve"> </w:t>
      </w:r>
      <w:r w:rsidRPr="00AE088D">
        <w:t>employee benefits'. Otherwise, termination benefits need to be measured according to the requirements for 'other</w:t>
      </w:r>
      <w:r>
        <w:t xml:space="preserve"> </w:t>
      </w:r>
      <w:r w:rsidRPr="00AE088D">
        <w:t>long-term employee benefits'.</w:t>
      </w:r>
    </w:p>
    <w:p w:rsidR="00115E3D" w:rsidRPr="00972EBE" w:rsidRDefault="00115E3D" w:rsidP="00B81A0A">
      <w:pPr>
        <w:pStyle w:val="Finnormalindent"/>
      </w:pPr>
      <w:r w:rsidRPr="00972EBE">
        <w:t>AASB 1053 Application of Tiers of Australian Accounting Standards became effective for reporting periods</w:t>
      </w:r>
      <w:r>
        <w:t xml:space="preserve"> </w:t>
      </w:r>
      <w:r w:rsidRPr="00972EBE">
        <w:t>beginning on or after 1 July 2013. AASB 1053 establishes a differential reporting framework for those entities that</w:t>
      </w:r>
      <w:r>
        <w:t xml:space="preserve"> </w:t>
      </w:r>
      <w:r w:rsidRPr="00972EBE">
        <w:t>prepare general purpose financial statements, consisting of two Tiers of reporting requirements – Australian</w:t>
      </w:r>
      <w:r>
        <w:t xml:space="preserve"> </w:t>
      </w:r>
      <w:r w:rsidRPr="00972EBE">
        <w:t>Accounting Standards (commonly referred to as 'Tier 1'), and Australian Accounting Standards – Reduced</w:t>
      </w:r>
      <w:r>
        <w:t xml:space="preserve"> </w:t>
      </w:r>
      <w:r w:rsidRPr="00972EBE">
        <w:t>Disclosure Requirements (commonly referred to as 'Tier 2'). Tier 1 requirements comprise the full range of AASB</w:t>
      </w:r>
      <w:r>
        <w:t xml:space="preserve"> </w:t>
      </w:r>
      <w:r w:rsidRPr="00972EBE">
        <w:t>recognition, measurement, presentation and disclosure requirements that are currently applicable to reporting</w:t>
      </w:r>
      <w:r>
        <w:t xml:space="preserve"> </w:t>
      </w:r>
      <w:r w:rsidRPr="00972EBE">
        <w:t>entities in Australia. The only difference between the Tier</w:t>
      </w:r>
      <w:r w:rsidR="0029578D">
        <w:t> </w:t>
      </w:r>
      <w:r w:rsidRPr="00972EBE">
        <w:t>1 and Tier 2 requirements is that Tier 2 requires fewer</w:t>
      </w:r>
      <w:r>
        <w:t xml:space="preserve"> </w:t>
      </w:r>
      <w:r w:rsidRPr="00972EBE">
        <w:t>disclosures than Tier 1.</w:t>
      </w:r>
    </w:p>
    <w:p w:rsidR="00115E3D" w:rsidRDefault="00115E3D" w:rsidP="00B81A0A">
      <w:pPr>
        <w:pStyle w:val="Finnormalindent"/>
      </w:pPr>
      <w:r w:rsidRPr="00972EBE">
        <w:t xml:space="preserve">Pursuant to AASB 1053, public sector entities like the </w:t>
      </w:r>
      <w:r>
        <w:t>Queensland Studies Authority</w:t>
      </w:r>
      <w:r w:rsidRPr="00972EBE">
        <w:t xml:space="preserve"> may adopt Tier 2 requirements for</w:t>
      </w:r>
      <w:r>
        <w:t xml:space="preserve"> </w:t>
      </w:r>
      <w:r w:rsidRPr="00972EBE">
        <w:t xml:space="preserve">their general purpose financial statements. However, AASB 1053 acknowledges the </w:t>
      </w:r>
      <w:r w:rsidR="00A021CB" w:rsidRPr="00972EBE">
        <w:t>power of a regulator to require</w:t>
      </w:r>
      <w:r w:rsidR="00A021CB">
        <w:t xml:space="preserve"> </w:t>
      </w:r>
      <w:r w:rsidR="00A021CB" w:rsidRPr="00972EBE">
        <w:t>application of the Tier 1 requirements.</w:t>
      </w:r>
    </w:p>
    <w:p w:rsidR="00E171BC" w:rsidRPr="00E171BC" w:rsidRDefault="005A4557" w:rsidP="00342F5E">
      <w:pPr>
        <w:pStyle w:val="FinF4continuation"/>
        <w:keepNext/>
        <w:ind w:right="-397"/>
      </w:pPr>
      <w:fldSimple w:instr=" STYLEREF  &quot;Fin H4&quot; \r \w  \* MERGEFORMAT ">
        <w:r w:rsidR="00C41AFC">
          <w:rPr>
            <w:noProof/>
          </w:rPr>
          <w:t>(cc)</w:t>
        </w:r>
      </w:fldSimple>
      <w:r w:rsidR="00E171BC" w:rsidRPr="00E171BC">
        <w:tab/>
      </w:r>
      <w:fldSimple w:instr=" STYLEREF  &quot;Fin H4&quot;  \* MERGEFORMAT ">
        <w:r w:rsidR="00C41AFC">
          <w:rPr>
            <w:noProof/>
          </w:rPr>
          <w:t>New and Revised Accounting Standards</w:t>
        </w:r>
      </w:fldSimple>
      <w:r w:rsidR="00342F5E">
        <w:t xml:space="preserve"> (cont’</w:t>
      </w:r>
      <w:r w:rsidR="00E171BC">
        <w:t>d)</w:t>
      </w:r>
    </w:p>
    <w:p w:rsidR="00115E3D" w:rsidRDefault="00115E3D" w:rsidP="00B81A0A">
      <w:pPr>
        <w:pStyle w:val="Finnormalindent"/>
      </w:pPr>
      <w:r w:rsidRPr="00972EBE">
        <w:t xml:space="preserve">In the case of the </w:t>
      </w:r>
      <w:r>
        <w:t>Queensland Studies Authority</w:t>
      </w:r>
      <w:r w:rsidRPr="00972EBE">
        <w:t>, Queensland Treasury and Trade is</w:t>
      </w:r>
      <w:r>
        <w:t xml:space="preserve"> </w:t>
      </w:r>
      <w:r w:rsidRPr="00972EBE">
        <w:t>the regulator. Queensland Treasury and Trade has advised that its policy decision is to require adoption of Tier 1</w:t>
      </w:r>
      <w:r>
        <w:t xml:space="preserve"> </w:t>
      </w:r>
      <w:r w:rsidRPr="00972EBE">
        <w:t>reporting by all Queensland Government departments and statutory bodies</w:t>
      </w:r>
      <w:r>
        <w:t xml:space="preserve"> </w:t>
      </w:r>
      <w:r w:rsidRPr="00972EBE">
        <w:t xml:space="preserve">(including the </w:t>
      </w:r>
      <w:r>
        <w:t>Queensland Studies Authority</w:t>
      </w:r>
      <w:r w:rsidRPr="00972EBE">
        <w:t>) that are consolidated into the whole-of-Government financial statements. Therefore, the release of AASB 1053 and</w:t>
      </w:r>
      <w:r>
        <w:t xml:space="preserve"> </w:t>
      </w:r>
      <w:r w:rsidRPr="00972EBE">
        <w:t xml:space="preserve">associated amending standards has had no impact on the </w:t>
      </w:r>
      <w:r>
        <w:t>Queensland Studies Authority</w:t>
      </w:r>
      <w:r w:rsidRPr="00972EBE">
        <w:t>.</w:t>
      </w:r>
    </w:p>
    <w:p w:rsidR="00115E3D" w:rsidRPr="00124AC1" w:rsidRDefault="00115E3D" w:rsidP="00B81A0A">
      <w:pPr>
        <w:pStyle w:val="Finnormalindent"/>
      </w:pPr>
      <w:r w:rsidRPr="00124AC1">
        <w:t>The Authority is not permitted to early adopt a new or amended accounting standard ahead of the specified commencement date unless approval is obtained from the Queensland Treasury and Trade. Consequently, the Queensland Studies Authority has not applied any Australian Accounting Standards and Interpretations that have been issued but are not yet effective. The Authority applies standards and interpretations in accordance with their respective commencement dates.</w:t>
      </w:r>
    </w:p>
    <w:p w:rsidR="00115E3D" w:rsidRPr="00124AC1" w:rsidRDefault="00115E3D" w:rsidP="00B81A0A">
      <w:pPr>
        <w:pStyle w:val="Finnormalindent"/>
      </w:pPr>
      <w:r w:rsidRPr="00124AC1">
        <w:t>At the date of authorisation of the financial report, the expected impacts of new or amended Australian Accounting Standards with future commencement dates are asset out below.</w:t>
      </w:r>
    </w:p>
    <w:p w:rsidR="00115E3D" w:rsidRDefault="00115E3D" w:rsidP="00352A1D">
      <w:pPr>
        <w:pStyle w:val="Finnormalindent"/>
      </w:pPr>
      <w:r w:rsidRPr="00F35B34">
        <w:t xml:space="preserve">AASB 1055 </w:t>
      </w:r>
      <w:r w:rsidRPr="00F35B34">
        <w:rPr>
          <w:i/>
        </w:rPr>
        <w:t>Budgetary Reporting</w:t>
      </w:r>
      <w:r w:rsidRPr="00F35B34">
        <w:t xml:space="preserve"> applies from reporting periods beginning on or after 1 July 2014. The Queensland Studies Authority</w:t>
      </w:r>
      <w:r>
        <w:t xml:space="preserve"> </w:t>
      </w:r>
      <w:r w:rsidRPr="00F35B34">
        <w:t>will need to include in its 2014</w:t>
      </w:r>
      <w:r w:rsidR="00FA5556">
        <w:t>–</w:t>
      </w:r>
      <w:r w:rsidRPr="00F35B34">
        <w:t>15 financial statements the original budgeted figures from the Income</w:t>
      </w:r>
      <w:r>
        <w:t xml:space="preserve"> </w:t>
      </w:r>
      <w:r w:rsidRPr="00F35B34">
        <w:t>Statement, Balance Sheet, Statement of Changes in Equity, and Cash Flow Statement as published in the 2014</w:t>
      </w:r>
      <w:r w:rsidR="00FA5556">
        <w:t>–</w:t>
      </w:r>
      <w:r w:rsidRPr="00F35B34">
        <w:t>15</w:t>
      </w:r>
      <w:r>
        <w:t xml:space="preserve"> </w:t>
      </w:r>
      <w:r w:rsidRPr="00F35B34">
        <w:t>Queensland Government's Service Delivery Statements. The budgeted figures will need to be presented</w:t>
      </w:r>
      <w:r>
        <w:t xml:space="preserve"> </w:t>
      </w:r>
      <w:r w:rsidRPr="00F35B34">
        <w:t>consistently with the corresponding (actuals) financial statements, and will be accompanied by explanations of</w:t>
      </w:r>
      <w:r>
        <w:t xml:space="preserve"> </w:t>
      </w:r>
      <w:r w:rsidRPr="00F35B34">
        <w:t>major variances between the actual amounts and the corresponding original budgeted figures.</w:t>
      </w:r>
    </w:p>
    <w:p w:rsidR="00115E3D" w:rsidRPr="00124AC1" w:rsidRDefault="00115E3D" w:rsidP="00B81A0A">
      <w:pPr>
        <w:pStyle w:val="Finnormalindent"/>
      </w:pPr>
      <w:r w:rsidRPr="00124AC1">
        <w:t>The following new and revised standards apply as from reporting periods beginn</w:t>
      </w:r>
      <w:r w:rsidR="0029578D">
        <w:t>ing on or after 1 January 2014:</w:t>
      </w:r>
    </w:p>
    <w:p w:rsidR="00115E3D" w:rsidRPr="00124AC1" w:rsidRDefault="00115E3D" w:rsidP="00C11EFE">
      <w:pPr>
        <w:pStyle w:val="ListParagraph0"/>
        <w:numPr>
          <w:ilvl w:val="0"/>
          <w:numId w:val="20"/>
        </w:numPr>
        <w:spacing w:before="40"/>
        <w:ind w:left="794" w:hanging="227"/>
        <w:contextualSpacing w:val="0"/>
        <w:rPr>
          <w:rFonts w:ascii="Arial" w:hAnsi="Arial" w:cs="Arial"/>
          <w:sz w:val="16"/>
          <w:szCs w:val="16"/>
        </w:rPr>
      </w:pPr>
      <w:r w:rsidRPr="00124AC1">
        <w:rPr>
          <w:rFonts w:ascii="Arial" w:hAnsi="Arial" w:cs="Arial"/>
          <w:sz w:val="16"/>
          <w:szCs w:val="16"/>
        </w:rPr>
        <w:t xml:space="preserve">AASB 10 </w:t>
      </w:r>
      <w:r w:rsidRPr="00124AC1">
        <w:rPr>
          <w:rFonts w:ascii="Arial" w:hAnsi="Arial" w:cs="Arial"/>
          <w:i/>
          <w:sz w:val="16"/>
          <w:szCs w:val="16"/>
        </w:rPr>
        <w:t>C</w:t>
      </w:r>
      <w:r w:rsidR="00D11210">
        <w:rPr>
          <w:rFonts w:ascii="Arial" w:hAnsi="Arial" w:cs="Arial"/>
          <w:i/>
          <w:sz w:val="16"/>
          <w:szCs w:val="16"/>
        </w:rPr>
        <w:t>onsolidated Financial Statement</w:t>
      </w:r>
      <w:r w:rsidRPr="00124AC1">
        <w:rPr>
          <w:rFonts w:ascii="Arial" w:hAnsi="Arial" w:cs="Arial"/>
          <w:sz w:val="16"/>
          <w:szCs w:val="16"/>
        </w:rPr>
        <w:t>;</w:t>
      </w:r>
    </w:p>
    <w:p w:rsidR="00115E3D" w:rsidRPr="00124AC1" w:rsidRDefault="00115E3D" w:rsidP="00C11EFE">
      <w:pPr>
        <w:pStyle w:val="ListParagraph0"/>
        <w:numPr>
          <w:ilvl w:val="0"/>
          <w:numId w:val="20"/>
        </w:numPr>
        <w:spacing w:before="40"/>
        <w:ind w:left="794" w:hanging="227"/>
        <w:contextualSpacing w:val="0"/>
        <w:rPr>
          <w:rFonts w:ascii="Arial" w:hAnsi="Arial" w:cs="Arial"/>
          <w:sz w:val="16"/>
          <w:szCs w:val="16"/>
        </w:rPr>
      </w:pPr>
      <w:r w:rsidRPr="00124AC1">
        <w:rPr>
          <w:rFonts w:ascii="Arial" w:hAnsi="Arial" w:cs="Arial"/>
          <w:sz w:val="16"/>
          <w:szCs w:val="16"/>
        </w:rPr>
        <w:t xml:space="preserve">AASB 11 </w:t>
      </w:r>
      <w:r w:rsidRPr="00124AC1">
        <w:rPr>
          <w:rFonts w:ascii="Arial" w:hAnsi="Arial" w:cs="Arial"/>
          <w:i/>
          <w:sz w:val="16"/>
          <w:szCs w:val="16"/>
        </w:rPr>
        <w:t>Joint Arrangements</w:t>
      </w:r>
      <w:r w:rsidRPr="00124AC1">
        <w:rPr>
          <w:rFonts w:ascii="Arial" w:hAnsi="Arial" w:cs="Arial"/>
          <w:sz w:val="16"/>
          <w:szCs w:val="16"/>
        </w:rPr>
        <w:t>;</w:t>
      </w:r>
    </w:p>
    <w:p w:rsidR="00115E3D" w:rsidRPr="00124AC1" w:rsidRDefault="00115E3D" w:rsidP="00C11EFE">
      <w:pPr>
        <w:pStyle w:val="ListParagraph0"/>
        <w:numPr>
          <w:ilvl w:val="0"/>
          <w:numId w:val="20"/>
        </w:numPr>
        <w:spacing w:before="40"/>
        <w:ind w:left="794" w:hanging="227"/>
        <w:contextualSpacing w:val="0"/>
        <w:rPr>
          <w:rFonts w:ascii="Arial" w:hAnsi="Arial" w:cs="Arial"/>
          <w:sz w:val="16"/>
          <w:szCs w:val="16"/>
        </w:rPr>
      </w:pPr>
      <w:r w:rsidRPr="00124AC1">
        <w:rPr>
          <w:rFonts w:ascii="Arial" w:hAnsi="Arial" w:cs="Arial"/>
          <w:sz w:val="16"/>
          <w:szCs w:val="16"/>
        </w:rPr>
        <w:t xml:space="preserve">AASB 12 </w:t>
      </w:r>
      <w:r w:rsidRPr="00124AC1">
        <w:rPr>
          <w:rFonts w:ascii="Arial" w:hAnsi="Arial" w:cs="Arial"/>
          <w:i/>
          <w:sz w:val="16"/>
          <w:szCs w:val="16"/>
        </w:rPr>
        <w:t>Disclosure of Interests in Other Entities</w:t>
      </w:r>
      <w:r w:rsidRPr="00124AC1">
        <w:rPr>
          <w:rFonts w:ascii="Arial" w:hAnsi="Arial" w:cs="Arial"/>
          <w:sz w:val="16"/>
          <w:szCs w:val="16"/>
        </w:rPr>
        <w:t>;</w:t>
      </w:r>
    </w:p>
    <w:p w:rsidR="00115E3D" w:rsidRPr="00124AC1" w:rsidRDefault="00115E3D" w:rsidP="00C11EFE">
      <w:pPr>
        <w:pStyle w:val="ListParagraph0"/>
        <w:numPr>
          <w:ilvl w:val="0"/>
          <w:numId w:val="20"/>
        </w:numPr>
        <w:spacing w:before="40"/>
        <w:ind w:left="794" w:hanging="227"/>
        <w:contextualSpacing w:val="0"/>
        <w:rPr>
          <w:rFonts w:ascii="Arial" w:hAnsi="Arial" w:cs="Arial"/>
          <w:sz w:val="16"/>
          <w:szCs w:val="16"/>
        </w:rPr>
      </w:pPr>
      <w:r w:rsidRPr="00124AC1">
        <w:rPr>
          <w:rFonts w:ascii="Arial" w:hAnsi="Arial" w:cs="Arial"/>
          <w:sz w:val="16"/>
          <w:szCs w:val="16"/>
        </w:rPr>
        <w:t xml:space="preserve">AASB 127 (revised) </w:t>
      </w:r>
      <w:r w:rsidRPr="00124AC1">
        <w:rPr>
          <w:rFonts w:ascii="Arial" w:hAnsi="Arial" w:cs="Arial"/>
          <w:i/>
          <w:sz w:val="16"/>
          <w:szCs w:val="16"/>
        </w:rPr>
        <w:t>Separate Financial Statements</w:t>
      </w:r>
      <w:r w:rsidRPr="00124AC1">
        <w:rPr>
          <w:rFonts w:ascii="Arial" w:hAnsi="Arial" w:cs="Arial"/>
          <w:sz w:val="16"/>
          <w:szCs w:val="16"/>
        </w:rPr>
        <w:t>;</w:t>
      </w:r>
    </w:p>
    <w:p w:rsidR="00115E3D" w:rsidRPr="00124AC1" w:rsidRDefault="00115E3D" w:rsidP="00C11EFE">
      <w:pPr>
        <w:pStyle w:val="ListParagraph0"/>
        <w:numPr>
          <w:ilvl w:val="0"/>
          <w:numId w:val="20"/>
        </w:numPr>
        <w:spacing w:before="40"/>
        <w:ind w:left="794" w:hanging="227"/>
        <w:contextualSpacing w:val="0"/>
        <w:rPr>
          <w:rFonts w:ascii="Arial" w:hAnsi="Arial" w:cs="Arial"/>
          <w:sz w:val="16"/>
          <w:szCs w:val="16"/>
        </w:rPr>
      </w:pPr>
      <w:r w:rsidRPr="00124AC1">
        <w:rPr>
          <w:rFonts w:ascii="Arial" w:hAnsi="Arial" w:cs="Arial"/>
          <w:sz w:val="16"/>
          <w:szCs w:val="16"/>
        </w:rPr>
        <w:t xml:space="preserve">AASB 128 (revised) </w:t>
      </w:r>
      <w:r w:rsidRPr="00124AC1">
        <w:rPr>
          <w:rFonts w:ascii="Arial" w:hAnsi="Arial" w:cs="Arial"/>
          <w:i/>
          <w:sz w:val="16"/>
          <w:szCs w:val="16"/>
        </w:rPr>
        <w:t>Investments in Associates and Joint Ventures</w:t>
      </w:r>
      <w:r w:rsidRPr="00124AC1">
        <w:rPr>
          <w:rFonts w:ascii="Arial" w:hAnsi="Arial" w:cs="Arial"/>
          <w:sz w:val="16"/>
          <w:szCs w:val="16"/>
        </w:rPr>
        <w:t>;</w:t>
      </w:r>
    </w:p>
    <w:p w:rsidR="00115E3D" w:rsidRDefault="00FA5556" w:rsidP="00C11EFE">
      <w:pPr>
        <w:pStyle w:val="ListParagraph0"/>
        <w:numPr>
          <w:ilvl w:val="0"/>
          <w:numId w:val="20"/>
        </w:numPr>
        <w:spacing w:before="40"/>
        <w:ind w:left="794" w:hanging="227"/>
        <w:contextualSpacing w:val="0"/>
        <w:rPr>
          <w:rFonts w:ascii="Arial" w:hAnsi="Arial" w:cs="Arial"/>
          <w:sz w:val="16"/>
          <w:szCs w:val="16"/>
        </w:rPr>
      </w:pPr>
      <w:r>
        <w:rPr>
          <w:rFonts w:ascii="Arial" w:hAnsi="Arial" w:cs="Arial"/>
          <w:sz w:val="16"/>
          <w:szCs w:val="16"/>
        </w:rPr>
        <w:t>AASB 2011</w:t>
      </w:r>
      <w:r w:rsidR="00115E3D" w:rsidRPr="00124AC1">
        <w:rPr>
          <w:rFonts w:ascii="Arial" w:hAnsi="Arial" w:cs="Arial"/>
          <w:sz w:val="16"/>
          <w:szCs w:val="16"/>
        </w:rPr>
        <w:t xml:space="preserve">-7 </w:t>
      </w:r>
      <w:r w:rsidR="00115E3D" w:rsidRPr="00124AC1">
        <w:rPr>
          <w:rFonts w:ascii="Arial" w:hAnsi="Arial" w:cs="Arial"/>
          <w:i/>
          <w:sz w:val="16"/>
          <w:szCs w:val="16"/>
        </w:rPr>
        <w:t>Amendments to Australian Accounting Standards arising from the Consolidation and Joint Arrangements Standards [AASB 1, 2, 3, 5, 7, 101, 107, 112, 118, 121, 124, 132, 133, 136, 138, 139, 1023 &amp; 1038 and Interpretations 5, 9, 16 &amp; 17]</w:t>
      </w:r>
      <w:r w:rsidR="00115E3D">
        <w:rPr>
          <w:rFonts w:ascii="Arial" w:hAnsi="Arial" w:cs="Arial"/>
          <w:sz w:val="16"/>
          <w:szCs w:val="16"/>
        </w:rPr>
        <w:t>,</w:t>
      </w:r>
      <w:r w:rsidR="00115E3D" w:rsidRPr="00124AC1">
        <w:rPr>
          <w:rFonts w:ascii="Arial" w:hAnsi="Arial" w:cs="Arial"/>
          <w:sz w:val="16"/>
          <w:szCs w:val="16"/>
        </w:rPr>
        <w:t xml:space="preserve"> and</w:t>
      </w:r>
    </w:p>
    <w:p w:rsidR="00115E3D" w:rsidRPr="00124AC1" w:rsidRDefault="00115E3D" w:rsidP="00C11EFE">
      <w:pPr>
        <w:pStyle w:val="ListParagraph0"/>
        <w:numPr>
          <w:ilvl w:val="0"/>
          <w:numId w:val="20"/>
        </w:numPr>
        <w:spacing w:before="40"/>
        <w:ind w:left="794" w:hanging="227"/>
        <w:contextualSpacing w:val="0"/>
        <w:rPr>
          <w:rFonts w:ascii="Arial" w:hAnsi="Arial" w:cs="Arial"/>
          <w:sz w:val="16"/>
          <w:szCs w:val="16"/>
        </w:rPr>
      </w:pPr>
      <w:r>
        <w:rPr>
          <w:rFonts w:ascii="Arial" w:hAnsi="Arial" w:cs="Arial"/>
          <w:sz w:val="16"/>
          <w:szCs w:val="16"/>
        </w:rPr>
        <w:t xml:space="preserve">AASB 2013-8 </w:t>
      </w:r>
      <w:r w:rsidRPr="00F35B34">
        <w:rPr>
          <w:rFonts w:ascii="Arial" w:hAnsi="Arial" w:cs="Arial"/>
          <w:i/>
          <w:sz w:val="16"/>
          <w:szCs w:val="16"/>
        </w:rPr>
        <w:t>Amendments to Australian Accounting Standards – Australian Implementation Guidance for Not-for-Profit Entities – Control and Structured Entities.</w:t>
      </w:r>
    </w:p>
    <w:p w:rsidR="00115E3D" w:rsidRDefault="00115E3D" w:rsidP="00B81A0A">
      <w:pPr>
        <w:pStyle w:val="Finnormalindent"/>
      </w:pPr>
      <w:r w:rsidRPr="00124AC1">
        <w:t>AASB 10 redefines and clarifies the concept of control of another entity</w:t>
      </w:r>
      <w:r>
        <w:t xml:space="preserve"> and </w:t>
      </w:r>
      <w:r w:rsidRPr="00124AC1">
        <w:t xml:space="preserve">is the basis for determining which entities should be consolidated into an entity’s financial statements. </w:t>
      </w:r>
      <w:r w:rsidRPr="008955C8">
        <w:t>AASB 2013-8 applies the various principles in</w:t>
      </w:r>
      <w:r>
        <w:t xml:space="preserve"> </w:t>
      </w:r>
      <w:r w:rsidRPr="008955C8">
        <w:t>AASB 10 for determining whether a not-for-profit entity controls another entity</w:t>
      </w:r>
      <w:r>
        <w:t xml:space="preserve">. The Authority’s conclusion is that is does not have any control over additional entities. </w:t>
      </w:r>
    </w:p>
    <w:p w:rsidR="00115E3D" w:rsidRDefault="00115E3D" w:rsidP="00352A1D">
      <w:pPr>
        <w:pStyle w:val="Finnormalindent"/>
      </w:pPr>
      <w:r w:rsidRPr="00124AC1">
        <w:t xml:space="preserve">AASB 11 deals with the concept of joint control and sets out new principles for determining the type of joint arrangement that exists, which in turn dictates the accounting treatment. The new categories of joint </w:t>
      </w:r>
      <w:r w:rsidRPr="00124AC1">
        <w:lastRenderedPageBreak/>
        <w:t xml:space="preserve">arrangements under AASB 11 are more aligned to the actual rights and obligations of the parties to the arrangement. </w:t>
      </w:r>
      <w:r w:rsidRPr="00054611">
        <w:t>The Queensland Studies Authority has assessed its arrangements with other entities to determine whether a joint arrangement</w:t>
      </w:r>
      <w:r>
        <w:t xml:space="preserve"> </w:t>
      </w:r>
      <w:r w:rsidRPr="00054611">
        <w:t>exists in terms of AASB 11. Based on present arrangements, no joint arrangements exist. However, if a joint</w:t>
      </w:r>
      <w:r>
        <w:t xml:space="preserve"> </w:t>
      </w:r>
      <w:r w:rsidRPr="00054611">
        <w:t>arrangement does arise in future, the Queensland Studies Authority will need to follow the relevant accounting treatment</w:t>
      </w:r>
      <w:r>
        <w:t xml:space="preserve"> </w:t>
      </w:r>
      <w:r w:rsidRPr="00054611">
        <w:t>specified in either AASB 11 or the revised AASB 128, depending on the nature of the joint arrangement.</w:t>
      </w:r>
    </w:p>
    <w:p w:rsidR="00115E3D" w:rsidRPr="00124AC1" w:rsidRDefault="00115E3D" w:rsidP="00B81A0A">
      <w:pPr>
        <w:pStyle w:val="Finnormalindent"/>
      </w:pPr>
      <w:r w:rsidRPr="00124AC1">
        <w:t xml:space="preserve">AASB 9 </w:t>
      </w:r>
      <w:r w:rsidRPr="00124AC1">
        <w:rPr>
          <w:i/>
        </w:rPr>
        <w:t>Financial Instruments</w:t>
      </w:r>
      <w:r w:rsidRPr="00124AC1">
        <w:t xml:space="preserve"> and AASB 2010-7 </w:t>
      </w:r>
      <w:r w:rsidRPr="00124AC1">
        <w:rPr>
          <w:i/>
        </w:rPr>
        <w:t>Amendments to Australian Accounting Standards arising from AASB 9 (December 2010) [AASB 1, 3, 4, 5, 7, 101, 102, 108, 112, 118, 120, 121, 127, 128, 131, 132, 136, 137, 139, 1023 &amp; 1038 and Interpretations 2, 5, 10, 12, 19 &amp; 127]</w:t>
      </w:r>
      <w:r w:rsidRPr="00124AC1">
        <w:t xml:space="preserve"> become effective from reporting periods beginning on or after 1 January </w:t>
      </w:r>
      <w:r>
        <w:t>2017</w:t>
      </w:r>
      <w:r w:rsidRPr="00124AC1">
        <w:t>. The main impacts of these standards on the Queensland Studies Authority are that they will change the requirements for the classification, measurement and disclosures associated with the Authority’s financial assets. Under the new requirements, financial assets will be more simply classified according to whether they are measured at either amortised cost or fair value. Pursuant to AASB 9, financial assets can only be measured at amortised cost if two conditions are met. One of these conditions is that the asset must be held within a business model whose objective is to hold assets in order to collect contractual cash flows. The other condition is that the contractual terms of the asset give rise on specified dates to cash flows that are solely payments of principal and interest on the principal amount outstanding.</w:t>
      </w:r>
    </w:p>
    <w:p w:rsidR="00115E3D" w:rsidRPr="00124AC1" w:rsidRDefault="00115E3D" w:rsidP="00B81A0A">
      <w:pPr>
        <w:pStyle w:val="Finnormalindent"/>
      </w:pPr>
      <w:r w:rsidRPr="00124AC1">
        <w:t xml:space="preserve">The Queensland Studies Authority has commenced reviewing the measurement of its financial assets against the new AASB 9 classification and measurement requirements. However, as the classification of financial assets at the date of initial application of AASB 9 will depend on the facts and circumstances existing at that date, the Authority’s conclusions will not be confirmed until closer to that time. At this stage, and assuming no change in the types of transactions the Queensland Studies Authority enters into, it is not expected that any of the Authority's financial assets will meet the criteria in AASB 9 to be measured at amortised cost. Therefore, as from </w:t>
      </w:r>
      <w:r>
        <w:t>2017-18</w:t>
      </w:r>
      <w:r w:rsidRPr="00124AC1">
        <w:t xml:space="preserve"> financial statements, all of the Authority's financial assets are expected to be required to be measured at fair value, and classified accordingly (instead of the measurement classifications presently used in Notes 1(</w:t>
      </w:r>
      <w:r>
        <w:t>r</w:t>
      </w:r>
      <w:r w:rsidRPr="00124AC1">
        <w:t>) and 2</w:t>
      </w:r>
      <w:r>
        <w:t>1</w:t>
      </w:r>
      <w:r w:rsidRPr="00124AC1">
        <w:t>). The same classification will be used for net gains/losses recognised in the Statement of Comprehensive Income in respect of those financial assets. In the case of the Authority's current</w:t>
      </w:r>
      <w:r w:rsidR="004E235F">
        <w:t xml:space="preserve"> </w:t>
      </w:r>
      <w:r w:rsidR="002C5C3C">
        <w:t xml:space="preserve">receivables, as they are short </w:t>
      </w:r>
      <w:r w:rsidRPr="00124AC1">
        <w:t xml:space="preserve">term in nature, the carrying amount is considered </w:t>
      </w:r>
      <w:proofErr w:type="gramStart"/>
      <w:r w:rsidRPr="00124AC1">
        <w:t>to be a</w:t>
      </w:r>
      <w:proofErr w:type="gramEnd"/>
      <w:r w:rsidRPr="00124AC1">
        <w:t xml:space="preserve"> reasonable approximation of fair value.</w:t>
      </w:r>
    </w:p>
    <w:p w:rsidR="00115E3D" w:rsidRDefault="00115E3D" w:rsidP="00B81A0A">
      <w:pPr>
        <w:pStyle w:val="Finnormalindent"/>
      </w:pPr>
      <w:r w:rsidRPr="003B5A2E">
        <w:t>The Queensland Studies Authority will not need to restate comparative figures for financial instruments on adopting AASB 9</w:t>
      </w:r>
      <w:r>
        <w:t xml:space="preserve"> </w:t>
      </w:r>
      <w:r w:rsidRPr="003B5A2E">
        <w:t>as from 2017</w:t>
      </w:r>
      <w:r w:rsidR="00FA5556">
        <w:t>–</w:t>
      </w:r>
      <w:r w:rsidRPr="003B5A2E">
        <w:t>18. However, changed disclosure requirements will apply from that time. A number of one-off</w:t>
      </w:r>
      <w:r>
        <w:t xml:space="preserve"> </w:t>
      </w:r>
      <w:r w:rsidRPr="003B5A2E">
        <w:t>disclosures will be required in the 2017</w:t>
      </w:r>
      <w:r w:rsidR="00FA5556">
        <w:t>–</w:t>
      </w:r>
      <w:r w:rsidRPr="003B5A2E">
        <w:t>18 financial statements to explain the impact of adopting AASB 9.</w:t>
      </w:r>
      <w:r>
        <w:t xml:space="preserve"> </w:t>
      </w:r>
    </w:p>
    <w:p w:rsidR="00115E3D" w:rsidRDefault="00115E3D" w:rsidP="00B81A0A">
      <w:pPr>
        <w:pStyle w:val="Finnormalindent"/>
      </w:pPr>
      <w:r w:rsidRPr="00124AC1">
        <w:t>All other Australian accounting standards and interpretations with future commencement dates are either not applicable to the Authority's activities, or have no material impact on the Authority.</w:t>
      </w:r>
    </w:p>
    <w:p w:rsidR="00115E3D" w:rsidRPr="00124AC1" w:rsidRDefault="00B81A0A" w:rsidP="00352A1D">
      <w:pPr>
        <w:pStyle w:val="FinH3"/>
        <w:tabs>
          <w:tab w:val="clear" w:pos="284"/>
          <w:tab w:val="clear" w:pos="851"/>
        </w:tabs>
      </w:pPr>
      <w:r>
        <w:br w:type="column"/>
      </w:r>
      <w:bookmarkStart w:id="99" w:name="Note2"/>
      <w:bookmarkEnd w:id="99"/>
      <w:r w:rsidR="00115E3D">
        <w:lastRenderedPageBreak/>
        <w:t>Going Concern Assumption</w:t>
      </w:r>
    </w:p>
    <w:p w:rsidR="00115E3D" w:rsidRDefault="00115E3D" w:rsidP="00352A1D">
      <w:pPr>
        <w:pStyle w:val="Finnormalindent"/>
        <w:ind w:left="255"/>
      </w:pPr>
      <w:r>
        <w:t xml:space="preserve">The </w:t>
      </w:r>
      <w:r w:rsidRPr="00BA1C92">
        <w:rPr>
          <w:i/>
        </w:rPr>
        <w:t>Education (Queensland Curriculum and Assessment Authority) Act 2014</w:t>
      </w:r>
      <w:r>
        <w:t xml:space="preserve"> was assented to on 19</w:t>
      </w:r>
      <w:r w:rsidR="0029578D">
        <w:t> </w:t>
      </w:r>
      <w:r>
        <w:t xml:space="preserve">February 2014. </w:t>
      </w:r>
      <w:r w:rsidRPr="00BA1C92">
        <w:t>The Queensland Curriculum and Assessment Authority (QCAA) will replace the Queensland Studies Authority (QSA) on 1 July 2014 as the statutory body responsible for providing kindergarten to Year 12 syllabuses and guidelines, and assessment, testing, reporting, certification and tertiary entrance services to Queensland schools</w:t>
      </w:r>
      <w:r>
        <w:t>.</w:t>
      </w:r>
    </w:p>
    <w:p w:rsidR="00115E3D" w:rsidRPr="00BD275C" w:rsidRDefault="00115E3D" w:rsidP="00352A1D">
      <w:pPr>
        <w:pStyle w:val="Finnormalindent"/>
        <w:ind w:left="255"/>
      </w:pPr>
      <w:r w:rsidRPr="008B57A7">
        <w:t xml:space="preserve">Whilst the QSA is not a going concern, the financial statements have, however, been prepared on a basis which is consistent with the going concern basis of preparation. This is appropriate as the </w:t>
      </w:r>
      <w:r w:rsidRPr="008B57A7">
        <w:rPr>
          <w:i/>
        </w:rPr>
        <w:t>Education (Queensland Curriculum and Assessment Authority) Act</w:t>
      </w:r>
      <w:r w:rsidRPr="008B57A7">
        <w:t xml:space="preserve"> 2014 provides that upon commencement of the Act, the QCAA becomes the successor in law of the QSA and that all assets and liabilities of the QSA become the assets and liabilities of the QCAA.</w:t>
      </w:r>
      <w:r w:rsidR="00776DD4">
        <w:br w:type="column"/>
      </w:r>
    </w:p>
    <w:p w:rsidR="00115E3D" w:rsidRPr="00776DD4" w:rsidRDefault="00115E3D" w:rsidP="00776DD4">
      <w:pPr>
        <w:sectPr w:rsidR="00115E3D" w:rsidRPr="00776DD4" w:rsidSect="003B1306">
          <w:headerReference w:type="even" r:id="rId43"/>
          <w:type w:val="continuous"/>
          <w:pgSz w:w="11907" w:h="16840" w:code="9"/>
          <w:pgMar w:top="1134" w:right="1191" w:bottom="1418" w:left="1191" w:header="567" w:footer="680" w:gutter="0"/>
          <w:cols w:num="2" w:space="425" w:equalWidth="0">
            <w:col w:w="4507" w:space="425"/>
            <w:col w:w="4593"/>
          </w:cols>
          <w:formProt w:val="0"/>
          <w:noEndnote/>
          <w:docGrid w:linePitch="299"/>
        </w:sectPr>
      </w:pPr>
    </w:p>
    <w:p w:rsidR="005E1AC4" w:rsidRDefault="00B42A73">
      <w:r w:rsidRPr="00CA2CF2">
        <w:lastRenderedPageBreak/>
        <w:br w:type="page"/>
      </w:r>
    </w:p>
    <w:tbl>
      <w:tblPr>
        <w:tblW w:w="4952" w:type="pct"/>
        <w:tblInd w:w="93" w:type="dxa"/>
        <w:tblLook w:val="04A0" w:firstRow="1" w:lastRow="0" w:firstColumn="1" w:lastColumn="0" w:noHBand="0" w:noVBand="1"/>
      </w:tblPr>
      <w:tblGrid>
        <w:gridCol w:w="395"/>
        <w:gridCol w:w="396"/>
        <w:gridCol w:w="6231"/>
        <w:gridCol w:w="1313"/>
        <w:gridCol w:w="1313"/>
      </w:tblGrid>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center"/>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1313" w:type="dxa"/>
            <w:tcBorders>
              <w:top w:val="nil"/>
              <w:left w:val="nil"/>
              <w:bottom w:val="nil"/>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2014</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2013</w:t>
            </w:r>
          </w:p>
        </w:tc>
      </w:tr>
      <w:tr w:rsidR="00DD2B7F" w:rsidRPr="005E1AC4" w:rsidTr="00DD2B7F">
        <w:trPr>
          <w:trHeight w:val="300"/>
        </w:trPr>
        <w:tc>
          <w:tcPr>
            <w:tcW w:w="7022" w:type="dxa"/>
            <w:gridSpan w:val="3"/>
            <w:tcBorders>
              <w:top w:val="nil"/>
              <w:left w:val="nil"/>
              <w:bottom w:val="nil"/>
              <w:right w:val="nil"/>
            </w:tcBorders>
            <w:shd w:val="clear" w:color="auto" w:fill="auto"/>
            <w:noWrap/>
            <w:vAlign w:val="bottom"/>
            <w:hideMark/>
          </w:tcPr>
          <w:p w:rsidR="00DD2B7F" w:rsidRPr="005E1AC4" w:rsidRDefault="00DD2B7F" w:rsidP="00DD2B7F">
            <w:pPr>
              <w:pStyle w:val="FinH3"/>
            </w:pPr>
            <w:bookmarkStart w:id="100" w:name="Note3"/>
            <w:bookmarkEnd w:id="100"/>
            <w:r w:rsidRPr="005E1AC4">
              <w:t>User Charges and Fees</w:t>
            </w:r>
          </w:p>
        </w:tc>
        <w:tc>
          <w:tcPr>
            <w:tcW w:w="1313" w:type="dxa"/>
            <w:tcBorders>
              <w:top w:val="nil"/>
              <w:left w:val="nil"/>
              <w:bottom w:val="nil"/>
              <w:right w:val="nil"/>
            </w:tcBorders>
            <w:shd w:val="clear" w:color="000000" w:fill="D9D9D9"/>
            <w:noWrap/>
            <w:vAlign w:val="bottom"/>
            <w:hideMark/>
          </w:tcPr>
          <w:p w:rsidR="00DD2B7F" w:rsidRPr="005E1AC4" w:rsidRDefault="00DD2B7F"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 xml:space="preserve">$'000 </w:t>
            </w:r>
          </w:p>
        </w:tc>
        <w:tc>
          <w:tcPr>
            <w:tcW w:w="1313" w:type="dxa"/>
            <w:tcBorders>
              <w:top w:val="nil"/>
              <w:left w:val="nil"/>
              <w:bottom w:val="nil"/>
              <w:right w:val="nil"/>
            </w:tcBorders>
            <w:shd w:val="clear" w:color="auto" w:fill="auto"/>
            <w:noWrap/>
            <w:vAlign w:val="bottom"/>
            <w:hideMark/>
          </w:tcPr>
          <w:p w:rsidR="00DD2B7F" w:rsidRPr="005E1AC4" w:rsidRDefault="00DD2B7F"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 xml:space="preserve">$'000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1313" w:type="dxa"/>
            <w:tcBorders>
              <w:top w:val="nil"/>
              <w:left w:val="nil"/>
              <w:bottom w:val="nil"/>
              <w:right w:val="nil"/>
            </w:tcBorders>
            <w:shd w:val="clear" w:color="000000" w:fill="D9D9D9"/>
            <w:noWrap/>
            <w:vAlign w:val="bottom"/>
            <w:hideMark/>
          </w:tcPr>
          <w:p w:rsidR="005E1AC4" w:rsidRPr="00370BED" w:rsidRDefault="005E1AC4" w:rsidP="005E1AC4">
            <w:pPr>
              <w:spacing w:before="0" w:line="240" w:lineRule="auto"/>
              <w:jc w:val="right"/>
              <w:rPr>
                <w:rFonts w:ascii="Arial" w:hAnsi="Arial" w:cs="Arial"/>
                <w:bCs/>
                <w:color w:val="000000"/>
                <w:sz w:val="20"/>
                <w:szCs w:val="20"/>
              </w:rPr>
            </w:pPr>
            <w:r w:rsidRPr="00370BED">
              <w:rPr>
                <w:rFonts w:ascii="Arial" w:hAnsi="Arial" w:cs="Arial"/>
                <w:bCs/>
                <w:color w:val="000000"/>
                <w:sz w:val="20"/>
                <w:szCs w:val="20"/>
              </w:rPr>
              <w:t> </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Visa student fees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428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419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Sale of publications, syllabuses, past papers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327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322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Workshops/conferences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305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771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Copyright fees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401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225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Attainment certificate statements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144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101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Examinations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57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62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Expenditure reimbursements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122 </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r w:rsidRPr="005E1AC4">
              <w:rPr>
                <w:rFonts w:ascii="Arial" w:hAnsi="Arial" w:cs="Arial"/>
                <w:color w:val="000000"/>
                <w:sz w:val="20"/>
                <w:szCs w:val="20"/>
              </w:rPr>
              <w:t xml:space="preserve">129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Other</w:t>
            </w:r>
          </w:p>
        </w:tc>
        <w:tc>
          <w:tcPr>
            <w:tcW w:w="1313" w:type="dxa"/>
            <w:tcBorders>
              <w:top w:val="nil"/>
              <w:left w:val="nil"/>
              <w:bottom w:val="nil"/>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color w:val="000000"/>
                <w:sz w:val="20"/>
                <w:szCs w:val="20"/>
              </w:rPr>
            </w:pPr>
            <w:r w:rsidRPr="005E1AC4">
              <w:rPr>
                <w:rFonts w:ascii="Arial" w:hAnsi="Arial" w:cs="Arial"/>
                <w:color w:val="000000"/>
                <w:sz w:val="20"/>
                <w:szCs w:val="20"/>
              </w:rPr>
              <w:t xml:space="preserve">120 </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r w:rsidRPr="005E1AC4">
              <w:rPr>
                <w:rFonts w:ascii="Arial" w:hAnsi="Arial" w:cs="Arial"/>
                <w:color w:val="000000"/>
                <w:sz w:val="20"/>
                <w:szCs w:val="20"/>
              </w:rPr>
              <w:t xml:space="preserve">167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6627" w:type="dxa"/>
            <w:gridSpan w:val="2"/>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r w:rsidRPr="005E1AC4">
              <w:rPr>
                <w:rFonts w:ascii="Arial" w:hAnsi="Arial" w:cs="Arial"/>
                <w:b/>
                <w:bCs/>
                <w:color w:val="000000"/>
                <w:sz w:val="20"/>
                <w:szCs w:val="20"/>
              </w:rPr>
              <w:t>Total</w:t>
            </w:r>
          </w:p>
        </w:tc>
        <w:tc>
          <w:tcPr>
            <w:tcW w:w="1313" w:type="dxa"/>
            <w:tcBorders>
              <w:top w:val="single" w:sz="4" w:space="0" w:color="auto"/>
              <w:left w:val="nil"/>
              <w:bottom w:val="double" w:sz="6" w:space="0" w:color="auto"/>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 xml:space="preserve">1,904 </w:t>
            </w:r>
          </w:p>
        </w:tc>
        <w:tc>
          <w:tcPr>
            <w:tcW w:w="1313" w:type="dxa"/>
            <w:tcBorders>
              <w:top w:val="single" w:sz="4" w:space="0" w:color="auto"/>
              <w:left w:val="nil"/>
              <w:bottom w:val="double" w:sz="6" w:space="0" w:color="auto"/>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 xml:space="preserve">2,196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Calibri" w:hAnsi="Calibri" w:cs="Calibri"/>
                <w:color w:val="000000"/>
                <w:sz w:val="22"/>
                <w:szCs w:val="22"/>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Calibri" w:hAnsi="Calibri" w:cs="Calibri"/>
                <w:color w:val="000000"/>
                <w:sz w:val="22"/>
                <w:szCs w:val="22"/>
              </w:rPr>
            </w:pPr>
          </w:p>
        </w:tc>
      </w:tr>
      <w:tr w:rsidR="00DD2B7F" w:rsidRPr="005E1AC4" w:rsidTr="00DD2B7F">
        <w:trPr>
          <w:trHeight w:val="300"/>
        </w:trPr>
        <w:tc>
          <w:tcPr>
            <w:tcW w:w="7022" w:type="dxa"/>
            <w:gridSpan w:val="3"/>
            <w:tcBorders>
              <w:top w:val="nil"/>
              <w:left w:val="nil"/>
              <w:bottom w:val="nil"/>
              <w:right w:val="nil"/>
            </w:tcBorders>
            <w:shd w:val="clear" w:color="auto" w:fill="auto"/>
            <w:noWrap/>
            <w:vAlign w:val="bottom"/>
            <w:hideMark/>
          </w:tcPr>
          <w:p w:rsidR="00DD2B7F" w:rsidRPr="005E1AC4" w:rsidRDefault="00DD2B7F" w:rsidP="00DD2B7F">
            <w:pPr>
              <w:pStyle w:val="FinH3"/>
            </w:pPr>
            <w:bookmarkStart w:id="101" w:name="Note4"/>
            <w:bookmarkEnd w:id="101"/>
            <w:r w:rsidRPr="005E1AC4">
              <w:t>Grants and other Contributions</w:t>
            </w:r>
          </w:p>
        </w:tc>
        <w:tc>
          <w:tcPr>
            <w:tcW w:w="1313" w:type="dxa"/>
            <w:tcBorders>
              <w:top w:val="nil"/>
              <w:left w:val="nil"/>
              <w:bottom w:val="nil"/>
              <w:right w:val="nil"/>
            </w:tcBorders>
            <w:shd w:val="clear" w:color="auto" w:fill="auto"/>
            <w:noWrap/>
            <w:vAlign w:val="bottom"/>
            <w:hideMark/>
          </w:tcPr>
          <w:p w:rsidR="00DD2B7F" w:rsidRPr="005E1AC4" w:rsidRDefault="00DD2B7F" w:rsidP="005E1AC4">
            <w:pPr>
              <w:spacing w:before="0" w:line="240" w:lineRule="auto"/>
              <w:rPr>
                <w:rFonts w:ascii="Calibri" w:hAnsi="Calibri" w:cs="Calibri"/>
                <w:color w:val="000000"/>
                <w:sz w:val="22"/>
                <w:szCs w:val="22"/>
              </w:rPr>
            </w:pPr>
          </w:p>
        </w:tc>
        <w:tc>
          <w:tcPr>
            <w:tcW w:w="1313" w:type="dxa"/>
            <w:tcBorders>
              <w:top w:val="nil"/>
              <w:left w:val="nil"/>
              <w:bottom w:val="nil"/>
              <w:right w:val="nil"/>
            </w:tcBorders>
            <w:shd w:val="clear" w:color="auto" w:fill="auto"/>
            <w:noWrap/>
            <w:vAlign w:val="bottom"/>
            <w:hideMark/>
          </w:tcPr>
          <w:p w:rsidR="00DD2B7F" w:rsidRPr="005E1AC4" w:rsidRDefault="00DD2B7F" w:rsidP="005E1AC4">
            <w:pPr>
              <w:spacing w:before="0" w:line="240" w:lineRule="auto"/>
              <w:rPr>
                <w:rFonts w:ascii="Calibri" w:hAnsi="Calibri" w:cs="Calibri"/>
                <w:color w:val="000000"/>
                <w:sz w:val="22"/>
                <w:szCs w:val="22"/>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Calibri" w:hAnsi="Calibri" w:cs="Calibri"/>
                <w:color w:val="000000"/>
                <w:sz w:val="22"/>
                <w:szCs w:val="22"/>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Calibri" w:hAnsi="Calibri" w:cs="Calibri"/>
                <w:color w:val="000000"/>
                <w:sz w:val="22"/>
                <w:szCs w:val="22"/>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Grants</w:t>
            </w:r>
          </w:p>
        </w:tc>
        <w:tc>
          <w:tcPr>
            <w:tcW w:w="1313" w:type="dxa"/>
            <w:tcBorders>
              <w:top w:val="nil"/>
              <w:left w:val="nil"/>
              <w:bottom w:val="nil"/>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color w:val="000000"/>
                <w:sz w:val="20"/>
                <w:szCs w:val="20"/>
              </w:rPr>
            </w:pPr>
            <w:r w:rsidRPr="005E1AC4">
              <w:rPr>
                <w:rFonts w:ascii="Arial" w:hAnsi="Arial" w:cs="Arial"/>
                <w:color w:val="000000"/>
                <w:sz w:val="20"/>
                <w:szCs w:val="20"/>
              </w:rPr>
              <w:t xml:space="preserve">37,233 </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r w:rsidRPr="005E1AC4">
              <w:rPr>
                <w:rFonts w:ascii="Arial" w:hAnsi="Arial" w:cs="Arial"/>
                <w:color w:val="000000"/>
                <w:sz w:val="20"/>
                <w:szCs w:val="20"/>
              </w:rPr>
              <w:t xml:space="preserve">37,329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Employee separation costs contributions *</w:t>
            </w:r>
          </w:p>
        </w:tc>
        <w:tc>
          <w:tcPr>
            <w:tcW w:w="1313" w:type="dxa"/>
            <w:tcBorders>
              <w:top w:val="nil"/>
              <w:left w:val="nil"/>
              <w:bottom w:val="nil"/>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sz w:val="20"/>
                <w:szCs w:val="20"/>
              </w:rPr>
            </w:pPr>
            <w:r w:rsidRPr="005E1AC4">
              <w:rPr>
                <w:rFonts w:ascii="Arial" w:hAnsi="Arial" w:cs="Arial"/>
                <w:sz w:val="20"/>
                <w:szCs w:val="20"/>
              </w:rPr>
              <w:t xml:space="preserve"> </w:t>
            </w:r>
            <w:r w:rsidR="00FA5556">
              <w:rPr>
                <w:rFonts w:ascii="Arial" w:hAnsi="Arial" w:cs="Arial"/>
                <w:sz w:val="20"/>
                <w:szCs w:val="20"/>
              </w:rPr>
              <w:t>–</w:t>
            </w:r>
            <w:r w:rsidRPr="005E1AC4">
              <w:rPr>
                <w:rFonts w:ascii="Arial" w:hAnsi="Arial" w:cs="Arial"/>
                <w:sz w:val="20"/>
                <w:szCs w:val="20"/>
              </w:rPr>
              <w:t xml:space="preserve"> </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r w:rsidRPr="005E1AC4">
              <w:rPr>
                <w:rFonts w:ascii="Arial" w:hAnsi="Arial" w:cs="Arial"/>
                <w:color w:val="000000"/>
                <w:sz w:val="20"/>
                <w:szCs w:val="20"/>
              </w:rPr>
              <w:t xml:space="preserve">1,198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6627" w:type="dxa"/>
            <w:gridSpan w:val="2"/>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r w:rsidRPr="005E1AC4">
              <w:rPr>
                <w:rFonts w:ascii="Arial" w:hAnsi="Arial" w:cs="Arial"/>
                <w:b/>
                <w:bCs/>
                <w:color w:val="000000"/>
                <w:sz w:val="20"/>
                <w:szCs w:val="20"/>
              </w:rPr>
              <w:t>Total</w:t>
            </w:r>
          </w:p>
        </w:tc>
        <w:tc>
          <w:tcPr>
            <w:tcW w:w="1313" w:type="dxa"/>
            <w:tcBorders>
              <w:top w:val="single" w:sz="4" w:space="0" w:color="auto"/>
              <w:left w:val="nil"/>
              <w:bottom w:val="double" w:sz="6" w:space="0" w:color="auto"/>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 xml:space="preserve">37,233 </w:t>
            </w:r>
          </w:p>
        </w:tc>
        <w:tc>
          <w:tcPr>
            <w:tcW w:w="1313" w:type="dxa"/>
            <w:tcBorders>
              <w:top w:val="single" w:sz="4" w:space="0" w:color="auto"/>
              <w:left w:val="nil"/>
              <w:bottom w:val="double" w:sz="6" w:space="0" w:color="auto"/>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 xml:space="preserve">38,527 </w:t>
            </w:r>
          </w:p>
        </w:tc>
      </w:tr>
      <w:tr w:rsidR="00E302D0" w:rsidRPr="005E1AC4" w:rsidTr="00340F31">
        <w:trPr>
          <w:trHeight w:val="300"/>
        </w:trPr>
        <w:tc>
          <w:tcPr>
            <w:tcW w:w="395" w:type="dxa"/>
            <w:tcBorders>
              <w:top w:val="nil"/>
              <w:left w:val="nil"/>
              <w:bottom w:val="nil"/>
              <w:right w:val="nil"/>
            </w:tcBorders>
            <w:shd w:val="clear" w:color="auto" w:fill="auto"/>
            <w:noWrap/>
            <w:vAlign w:val="bottom"/>
            <w:hideMark/>
          </w:tcPr>
          <w:p w:rsidR="00E302D0" w:rsidRPr="005E1AC4" w:rsidRDefault="00E302D0" w:rsidP="00D542D1">
            <w:pPr>
              <w:spacing w:before="0" w:line="240" w:lineRule="auto"/>
              <w:rPr>
                <w:rFonts w:ascii="Arial" w:hAnsi="Arial" w:cs="Arial"/>
                <w:b/>
                <w:bCs/>
                <w:color w:val="000000"/>
                <w:sz w:val="20"/>
                <w:szCs w:val="20"/>
              </w:rPr>
            </w:pPr>
          </w:p>
        </w:tc>
        <w:tc>
          <w:tcPr>
            <w:tcW w:w="6627" w:type="dxa"/>
            <w:gridSpan w:val="2"/>
            <w:tcBorders>
              <w:top w:val="nil"/>
              <w:left w:val="nil"/>
              <w:bottom w:val="nil"/>
              <w:right w:val="nil"/>
            </w:tcBorders>
            <w:shd w:val="clear" w:color="auto" w:fill="auto"/>
            <w:noWrap/>
            <w:vAlign w:val="bottom"/>
            <w:hideMark/>
          </w:tcPr>
          <w:p w:rsidR="00E302D0" w:rsidRPr="00E302D0" w:rsidRDefault="00E302D0" w:rsidP="005E1AC4">
            <w:pPr>
              <w:spacing w:before="0" w:line="240" w:lineRule="auto"/>
              <w:rPr>
                <w:rFonts w:ascii="Arial" w:hAnsi="Arial" w:cs="Arial"/>
                <w:b/>
                <w:bCs/>
                <w:color w:val="000000"/>
                <w:sz w:val="20"/>
                <w:szCs w:val="20"/>
              </w:rPr>
            </w:pPr>
            <w:r>
              <w:rPr>
                <w:rFonts w:ascii="Arial" w:hAnsi="Arial" w:cs="Arial"/>
                <w:b/>
                <w:bCs/>
                <w:color w:val="000000"/>
                <w:sz w:val="20"/>
                <w:szCs w:val="20"/>
              </w:rPr>
              <w:t xml:space="preserve">* </w:t>
            </w:r>
            <w:r w:rsidRPr="005E1AC4">
              <w:rPr>
                <w:rFonts w:ascii="Arial" w:hAnsi="Arial" w:cs="Arial"/>
                <w:sz w:val="20"/>
                <w:szCs w:val="20"/>
              </w:rPr>
              <w:t>Contributions rece</w:t>
            </w:r>
            <w:r>
              <w:rPr>
                <w:rFonts w:ascii="Arial" w:hAnsi="Arial" w:cs="Arial"/>
                <w:sz w:val="20"/>
                <w:szCs w:val="20"/>
              </w:rPr>
              <w:t>ived from the Consolidated Fund</w:t>
            </w:r>
          </w:p>
        </w:tc>
        <w:tc>
          <w:tcPr>
            <w:tcW w:w="1313" w:type="dxa"/>
            <w:tcBorders>
              <w:top w:val="nil"/>
              <w:left w:val="nil"/>
              <w:bottom w:val="nil"/>
              <w:right w:val="nil"/>
            </w:tcBorders>
            <w:shd w:val="clear" w:color="auto" w:fill="auto"/>
            <w:noWrap/>
            <w:vAlign w:val="bottom"/>
            <w:hideMark/>
          </w:tcPr>
          <w:p w:rsidR="00E302D0" w:rsidRPr="005E1AC4" w:rsidRDefault="00E302D0" w:rsidP="005E1AC4">
            <w:pPr>
              <w:spacing w:before="0" w:line="240" w:lineRule="auto"/>
              <w:rPr>
                <w:rFonts w:ascii="Calibri" w:hAnsi="Calibri" w:cs="Calibri"/>
                <w:color w:val="000000"/>
                <w:sz w:val="22"/>
                <w:szCs w:val="22"/>
              </w:rPr>
            </w:pPr>
          </w:p>
        </w:tc>
        <w:tc>
          <w:tcPr>
            <w:tcW w:w="1313" w:type="dxa"/>
            <w:tcBorders>
              <w:top w:val="nil"/>
              <w:left w:val="nil"/>
              <w:bottom w:val="nil"/>
              <w:right w:val="nil"/>
            </w:tcBorders>
            <w:shd w:val="clear" w:color="auto" w:fill="auto"/>
            <w:noWrap/>
            <w:vAlign w:val="bottom"/>
            <w:hideMark/>
          </w:tcPr>
          <w:p w:rsidR="00E302D0" w:rsidRPr="005E1AC4" w:rsidRDefault="00E302D0" w:rsidP="005E1AC4">
            <w:pPr>
              <w:spacing w:before="0" w:line="240" w:lineRule="auto"/>
              <w:rPr>
                <w:rFonts w:ascii="Calibri" w:hAnsi="Calibri" w:cs="Calibri"/>
                <w:color w:val="000000"/>
                <w:sz w:val="22"/>
                <w:szCs w:val="22"/>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Calibri" w:hAnsi="Calibri" w:cs="Calibri"/>
                <w:color w:val="000000"/>
                <w:sz w:val="22"/>
                <w:szCs w:val="22"/>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Calibri" w:hAnsi="Calibri" w:cs="Calibri"/>
                <w:color w:val="000000"/>
                <w:sz w:val="22"/>
                <w:szCs w:val="22"/>
              </w:rPr>
            </w:pPr>
          </w:p>
        </w:tc>
      </w:tr>
      <w:tr w:rsidR="00DD2B7F" w:rsidRPr="005E1AC4" w:rsidTr="00DD2B7F">
        <w:trPr>
          <w:trHeight w:val="300"/>
        </w:trPr>
        <w:tc>
          <w:tcPr>
            <w:tcW w:w="7022" w:type="dxa"/>
            <w:gridSpan w:val="3"/>
            <w:tcBorders>
              <w:top w:val="nil"/>
              <w:left w:val="nil"/>
              <w:bottom w:val="nil"/>
              <w:right w:val="nil"/>
            </w:tcBorders>
            <w:shd w:val="clear" w:color="auto" w:fill="auto"/>
            <w:noWrap/>
            <w:vAlign w:val="bottom"/>
            <w:hideMark/>
          </w:tcPr>
          <w:p w:rsidR="00DD2B7F" w:rsidRPr="005E1AC4" w:rsidRDefault="00DD2B7F" w:rsidP="00DD2B7F">
            <w:pPr>
              <w:pStyle w:val="FinH3"/>
            </w:pPr>
            <w:bookmarkStart w:id="102" w:name="Note5"/>
            <w:bookmarkEnd w:id="102"/>
            <w:r w:rsidRPr="005E1AC4">
              <w:t xml:space="preserve">Employee Expenses </w:t>
            </w:r>
          </w:p>
        </w:tc>
        <w:tc>
          <w:tcPr>
            <w:tcW w:w="1313" w:type="dxa"/>
            <w:tcBorders>
              <w:top w:val="nil"/>
              <w:left w:val="nil"/>
              <w:bottom w:val="nil"/>
              <w:right w:val="nil"/>
            </w:tcBorders>
            <w:shd w:val="clear" w:color="auto" w:fill="auto"/>
            <w:noWrap/>
            <w:vAlign w:val="bottom"/>
            <w:hideMark/>
          </w:tcPr>
          <w:p w:rsidR="00DD2B7F" w:rsidRPr="005E1AC4" w:rsidRDefault="00DD2B7F" w:rsidP="005E1AC4">
            <w:pPr>
              <w:spacing w:before="0" w:line="240" w:lineRule="auto"/>
              <w:rPr>
                <w:rFonts w:ascii="Calibri" w:hAnsi="Calibri" w:cs="Calibri"/>
                <w:color w:val="000000"/>
                <w:sz w:val="22"/>
                <w:szCs w:val="22"/>
              </w:rPr>
            </w:pPr>
          </w:p>
        </w:tc>
        <w:tc>
          <w:tcPr>
            <w:tcW w:w="1313" w:type="dxa"/>
            <w:tcBorders>
              <w:top w:val="nil"/>
              <w:left w:val="nil"/>
              <w:bottom w:val="nil"/>
              <w:right w:val="nil"/>
            </w:tcBorders>
            <w:shd w:val="clear" w:color="auto" w:fill="auto"/>
            <w:noWrap/>
            <w:vAlign w:val="bottom"/>
            <w:hideMark/>
          </w:tcPr>
          <w:p w:rsidR="00DD2B7F" w:rsidRPr="005E1AC4" w:rsidRDefault="00DD2B7F" w:rsidP="005E1AC4">
            <w:pPr>
              <w:spacing w:before="0" w:line="240" w:lineRule="auto"/>
              <w:rPr>
                <w:rFonts w:ascii="Calibri" w:hAnsi="Calibri" w:cs="Calibri"/>
                <w:color w:val="000000"/>
                <w:sz w:val="22"/>
                <w:szCs w:val="22"/>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Calibri" w:hAnsi="Calibri" w:cs="Calibri"/>
                <w:color w:val="000000"/>
                <w:sz w:val="22"/>
                <w:szCs w:val="22"/>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Calibri" w:hAnsi="Calibri" w:cs="Calibri"/>
                <w:color w:val="000000"/>
                <w:sz w:val="22"/>
                <w:szCs w:val="22"/>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6627" w:type="dxa"/>
            <w:gridSpan w:val="2"/>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sz w:val="20"/>
                <w:szCs w:val="20"/>
              </w:rPr>
            </w:pPr>
            <w:r w:rsidRPr="005E1AC4">
              <w:rPr>
                <w:rFonts w:ascii="Arial" w:hAnsi="Arial" w:cs="Arial"/>
                <w:b/>
                <w:bCs/>
                <w:sz w:val="20"/>
                <w:szCs w:val="20"/>
              </w:rPr>
              <w:t>Employee benefits:</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Calibri" w:hAnsi="Calibri" w:cs="Calibri"/>
                <w:color w:val="000000"/>
                <w:sz w:val="22"/>
                <w:szCs w:val="22"/>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r w:rsidRPr="005E1AC4">
              <w:rPr>
                <w:rFonts w:ascii="Arial" w:hAnsi="Arial" w:cs="Arial"/>
                <w:sz w:val="20"/>
                <w:szCs w:val="20"/>
              </w:rPr>
              <w:t>Wages and salaries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20,645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20,264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r w:rsidRPr="005E1AC4">
              <w:rPr>
                <w:rFonts w:ascii="Arial" w:hAnsi="Arial" w:cs="Arial"/>
                <w:sz w:val="20"/>
                <w:szCs w:val="20"/>
              </w:rPr>
              <w:t>Annual leave *</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1,388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1,432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b/>
                <w:bCs/>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r w:rsidRPr="005E1AC4">
              <w:rPr>
                <w:rFonts w:ascii="Arial" w:hAnsi="Arial" w:cs="Arial"/>
                <w:sz w:val="20"/>
                <w:szCs w:val="20"/>
              </w:rPr>
              <w:t>Employer superannuation contributions *</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2,325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2,335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Long service leave levy *</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357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289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r w:rsidRPr="005E1AC4">
              <w:rPr>
                <w:rFonts w:ascii="Arial" w:hAnsi="Arial" w:cs="Arial"/>
                <w:sz w:val="20"/>
                <w:szCs w:val="20"/>
              </w:rPr>
              <w:t>Redundancies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30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1,221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p>
        </w:tc>
        <w:tc>
          <w:tcPr>
            <w:tcW w:w="1313" w:type="dxa"/>
            <w:tcBorders>
              <w:top w:val="nil"/>
              <w:left w:val="nil"/>
              <w:bottom w:val="nil"/>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color w:val="000000"/>
                <w:sz w:val="20"/>
                <w:szCs w:val="20"/>
              </w:rPr>
            </w:pPr>
            <w:r w:rsidRPr="005E1AC4">
              <w:rPr>
                <w:rFonts w:ascii="Arial" w:hAnsi="Arial" w:cs="Arial"/>
                <w:color w:val="000000"/>
                <w:sz w:val="20"/>
                <w:szCs w:val="20"/>
              </w:rPr>
              <w:t> </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6627" w:type="dxa"/>
            <w:gridSpan w:val="2"/>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sz w:val="20"/>
                <w:szCs w:val="20"/>
              </w:rPr>
            </w:pPr>
            <w:r w:rsidRPr="005E1AC4">
              <w:rPr>
                <w:rFonts w:ascii="Arial" w:hAnsi="Arial" w:cs="Arial"/>
                <w:b/>
                <w:bCs/>
                <w:sz w:val="20"/>
                <w:szCs w:val="20"/>
              </w:rPr>
              <w:t>Employee related expenses:</w:t>
            </w:r>
          </w:p>
        </w:tc>
        <w:tc>
          <w:tcPr>
            <w:tcW w:w="1313" w:type="dxa"/>
            <w:tcBorders>
              <w:top w:val="nil"/>
              <w:left w:val="nil"/>
              <w:bottom w:val="nil"/>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color w:val="000000"/>
                <w:sz w:val="20"/>
                <w:szCs w:val="20"/>
              </w:rPr>
            </w:pPr>
            <w:r w:rsidRPr="005E1AC4">
              <w:rPr>
                <w:rFonts w:ascii="Arial" w:hAnsi="Arial" w:cs="Arial"/>
                <w:color w:val="000000"/>
                <w:sz w:val="20"/>
                <w:szCs w:val="20"/>
              </w:rPr>
              <w:t> </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Workers compensation premium *</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29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25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Payroll tax *</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1,155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1,210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Other employee related expenses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53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130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6627" w:type="dxa"/>
            <w:gridSpan w:val="2"/>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b/>
                <w:bCs/>
                <w:color w:val="000000"/>
                <w:sz w:val="20"/>
                <w:szCs w:val="20"/>
              </w:rPr>
            </w:pPr>
            <w:r w:rsidRPr="005E1AC4">
              <w:rPr>
                <w:rFonts w:ascii="Arial" w:hAnsi="Arial" w:cs="Arial"/>
                <w:b/>
                <w:bCs/>
                <w:color w:val="000000"/>
                <w:sz w:val="20"/>
                <w:szCs w:val="20"/>
              </w:rPr>
              <w:t>Total</w:t>
            </w:r>
          </w:p>
        </w:tc>
        <w:tc>
          <w:tcPr>
            <w:tcW w:w="1313" w:type="dxa"/>
            <w:tcBorders>
              <w:top w:val="single" w:sz="4" w:space="0" w:color="auto"/>
              <w:left w:val="nil"/>
              <w:bottom w:val="double" w:sz="6" w:space="0" w:color="auto"/>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 xml:space="preserve">25,982 </w:t>
            </w:r>
          </w:p>
        </w:tc>
        <w:tc>
          <w:tcPr>
            <w:tcW w:w="1313" w:type="dxa"/>
            <w:tcBorders>
              <w:top w:val="single" w:sz="4" w:space="0" w:color="auto"/>
              <w:left w:val="nil"/>
              <w:bottom w:val="double" w:sz="6" w:space="0" w:color="auto"/>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 xml:space="preserve">26,906 </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6627" w:type="dxa"/>
            <w:gridSpan w:val="2"/>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 Refer to Note 1(s)</w:t>
            </w:r>
            <w:r w:rsidR="00E92853">
              <w:rPr>
                <w:rFonts w:ascii="Arial" w:hAnsi="Arial" w:cs="Arial"/>
                <w:color w:val="000000"/>
                <w:sz w:val="20"/>
                <w:szCs w:val="20"/>
              </w:rPr>
              <w:t xml:space="preserve"> </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color w:val="000000"/>
                <w:sz w:val="20"/>
                <w:szCs w:val="20"/>
              </w:rPr>
            </w:pP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9253" w:type="dxa"/>
            <w:gridSpan w:val="4"/>
            <w:tcBorders>
              <w:top w:val="nil"/>
              <w:left w:val="nil"/>
              <w:bottom w:val="nil"/>
              <w:right w:val="nil"/>
            </w:tcBorders>
            <w:shd w:val="clear" w:color="auto" w:fill="auto"/>
            <w:noWrap/>
            <w:vAlign w:val="bottom"/>
            <w:hideMark/>
          </w:tcPr>
          <w:p w:rsidR="005E1AC4" w:rsidRPr="005E1AC4" w:rsidRDefault="005E1AC4" w:rsidP="0007006E">
            <w:pPr>
              <w:spacing w:before="120" w:after="120"/>
              <w:rPr>
                <w:rFonts w:ascii="Arial" w:hAnsi="Arial" w:cs="Arial"/>
                <w:color w:val="000000"/>
                <w:sz w:val="20"/>
                <w:szCs w:val="20"/>
              </w:rPr>
            </w:pPr>
            <w:r w:rsidRPr="005E1AC4">
              <w:rPr>
                <w:rFonts w:ascii="Arial" w:hAnsi="Arial" w:cs="Arial"/>
                <w:color w:val="000000"/>
                <w:sz w:val="20"/>
                <w:szCs w:val="20"/>
              </w:rPr>
              <w:t xml:space="preserve">The number of employees as at 30 June, including both full-time employees and part-time employees, </w:t>
            </w:r>
            <w:r w:rsidR="0007006E" w:rsidRPr="005E1AC4">
              <w:rPr>
                <w:rFonts w:ascii="Arial" w:hAnsi="Arial" w:cs="Arial"/>
                <w:color w:val="000000"/>
                <w:sz w:val="20"/>
                <w:szCs w:val="20"/>
              </w:rPr>
              <w:t>measured on a full-time equivalent basis (reflecting Minimum Obligatory Human Resource Information(MOHRI))</w:t>
            </w:r>
            <w:r w:rsidR="0007006E">
              <w:rPr>
                <w:rFonts w:ascii="Arial" w:hAnsi="Arial" w:cs="Arial"/>
                <w:color w:val="000000"/>
                <w:sz w:val="20"/>
                <w:szCs w:val="20"/>
              </w:rPr>
              <w:t xml:space="preserve"> </w:t>
            </w:r>
            <w:r w:rsidR="0007006E" w:rsidRPr="005E1AC4">
              <w:rPr>
                <w:rFonts w:ascii="Arial" w:hAnsi="Arial" w:cs="Arial"/>
                <w:color w:val="000000"/>
                <w:sz w:val="20"/>
                <w:szCs w:val="20"/>
              </w:rPr>
              <w:t>is:</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396"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p>
        </w:tc>
        <w:tc>
          <w:tcPr>
            <w:tcW w:w="6231"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sz w:val="20"/>
                <w:szCs w:val="20"/>
              </w:rPr>
            </w:pPr>
          </w:p>
        </w:tc>
        <w:tc>
          <w:tcPr>
            <w:tcW w:w="1313" w:type="dxa"/>
            <w:tcBorders>
              <w:top w:val="nil"/>
              <w:left w:val="nil"/>
              <w:bottom w:val="nil"/>
              <w:right w:val="nil"/>
            </w:tcBorders>
            <w:shd w:val="clear" w:color="000000" w:fill="D9D9D9"/>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2014</w:t>
            </w:r>
          </w:p>
        </w:tc>
        <w:tc>
          <w:tcPr>
            <w:tcW w:w="1313" w:type="dxa"/>
            <w:tcBorders>
              <w:top w:val="nil"/>
              <w:left w:val="nil"/>
              <w:bottom w:val="nil"/>
              <w:right w:val="nil"/>
            </w:tcBorders>
            <w:shd w:val="clear" w:color="auto" w:fill="auto"/>
            <w:noWrap/>
            <w:vAlign w:val="bottom"/>
            <w:hideMark/>
          </w:tcPr>
          <w:p w:rsidR="005E1AC4" w:rsidRPr="005E1AC4" w:rsidRDefault="005E1AC4" w:rsidP="005E1AC4">
            <w:pPr>
              <w:spacing w:before="0" w:line="240" w:lineRule="auto"/>
              <w:jc w:val="right"/>
              <w:rPr>
                <w:rFonts w:ascii="Arial" w:hAnsi="Arial" w:cs="Arial"/>
                <w:b/>
                <w:bCs/>
                <w:color w:val="000000"/>
                <w:sz w:val="20"/>
                <w:szCs w:val="20"/>
              </w:rPr>
            </w:pPr>
            <w:r w:rsidRPr="005E1AC4">
              <w:rPr>
                <w:rFonts w:ascii="Arial" w:hAnsi="Arial" w:cs="Arial"/>
                <w:b/>
                <w:bCs/>
                <w:color w:val="000000"/>
                <w:sz w:val="20"/>
                <w:szCs w:val="20"/>
              </w:rPr>
              <w:t>2013</w:t>
            </w:r>
          </w:p>
        </w:tc>
      </w:tr>
      <w:tr w:rsidR="005E1AC4" w:rsidRPr="005E1AC4" w:rsidTr="00596387">
        <w:trPr>
          <w:trHeight w:val="300"/>
        </w:trPr>
        <w:tc>
          <w:tcPr>
            <w:tcW w:w="395" w:type="dxa"/>
            <w:tcBorders>
              <w:top w:val="nil"/>
              <w:left w:val="nil"/>
              <w:bottom w:val="nil"/>
              <w:right w:val="nil"/>
            </w:tcBorders>
            <w:shd w:val="clear" w:color="auto" w:fill="auto"/>
            <w:noWrap/>
            <w:vAlign w:val="bottom"/>
            <w:hideMark/>
          </w:tcPr>
          <w:p w:rsidR="005E1AC4" w:rsidRPr="005E1AC4" w:rsidRDefault="005E1AC4" w:rsidP="00D542D1">
            <w:pPr>
              <w:spacing w:before="0" w:line="240" w:lineRule="auto"/>
              <w:rPr>
                <w:rFonts w:ascii="Arial" w:hAnsi="Arial" w:cs="Arial"/>
                <w:color w:val="000000"/>
                <w:sz w:val="20"/>
                <w:szCs w:val="20"/>
              </w:rPr>
            </w:pPr>
          </w:p>
        </w:tc>
        <w:tc>
          <w:tcPr>
            <w:tcW w:w="6627" w:type="dxa"/>
            <w:gridSpan w:val="2"/>
            <w:tcBorders>
              <w:top w:val="nil"/>
              <w:left w:val="nil"/>
              <w:bottom w:val="nil"/>
              <w:right w:val="nil"/>
            </w:tcBorders>
            <w:shd w:val="clear" w:color="auto" w:fill="auto"/>
            <w:noWrap/>
            <w:vAlign w:val="bottom"/>
            <w:hideMark/>
          </w:tcPr>
          <w:p w:rsidR="005E1AC4" w:rsidRPr="005E1AC4" w:rsidRDefault="005E1AC4" w:rsidP="005E1AC4">
            <w:pPr>
              <w:spacing w:before="0" w:line="240" w:lineRule="auto"/>
              <w:rPr>
                <w:rFonts w:ascii="Arial" w:hAnsi="Arial" w:cs="Arial"/>
                <w:color w:val="000000"/>
                <w:sz w:val="20"/>
                <w:szCs w:val="20"/>
              </w:rPr>
            </w:pPr>
            <w:r w:rsidRPr="005E1AC4">
              <w:rPr>
                <w:rFonts w:ascii="Arial" w:hAnsi="Arial" w:cs="Arial"/>
                <w:color w:val="000000"/>
                <w:sz w:val="20"/>
                <w:szCs w:val="20"/>
              </w:rPr>
              <w:t>Number of Employees:</w:t>
            </w:r>
          </w:p>
        </w:tc>
        <w:tc>
          <w:tcPr>
            <w:tcW w:w="1313" w:type="dxa"/>
            <w:tcBorders>
              <w:top w:val="nil"/>
              <w:left w:val="nil"/>
              <w:bottom w:val="nil"/>
              <w:right w:val="nil"/>
            </w:tcBorders>
            <w:shd w:val="clear" w:color="000000" w:fill="D9D9D9"/>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207 </w:t>
            </w:r>
          </w:p>
        </w:tc>
        <w:tc>
          <w:tcPr>
            <w:tcW w:w="1313" w:type="dxa"/>
            <w:tcBorders>
              <w:top w:val="nil"/>
              <w:left w:val="nil"/>
              <w:bottom w:val="nil"/>
              <w:right w:val="nil"/>
            </w:tcBorders>
            <w:shd w:val="clear" w:color="auto" w:fill="auto"/>
            <w:noWrap/>
            <w:vAlign w:val="bottom"/>
            <w:hideMark/>
          </w:tcPr>
          <w:p w:rsidR="005E1AC4" w:rsidRPr="005E1AC4" w:rsidRDefault="00E92853" w:rsidP="005E1AC4">
            <w:pPr>
              <w:spacing w:before="0" w:line="240" w:lineRule="auto"/>
              <w:jc w:val="right"/>
              <w:rPr>
                <w:rFonts w:ascii="Arial" w:hAnsi="Arial" w:cs="Arial"/>
                <w:color w:val="000000"/>
                <w:sz w:val="20"/>
                <w:szCs w:val="20"/>
              </w:rPr>
            </w:pPr>
            <w:r>
              <w:rPr>
                <w:rFonts w:ascii="Arial" w:hAnsi="Arial" w:cs="Arial"/>
                <w:color w:val="000000"/>
                <w:sz w:val="20"/>
                <w:szCs w:val="20"/>
              </w:rPr>
              <w:t xml:space="preserve"> </w:t>
            </w:r>
            <w:r w:rsidR="005E1AC4" w:rsidRPr="005E1AC4">
              <w:rPr>
                <w:rFonts w:ascii="Arial" w:hAnsi="Arial" w:cs="Arial"/>
                <w:color w:val="000000"/>
                <w:sz w:val="20"/>
                <w:szCs w:val="20"/>
              </w:rPr>
              <w:t xml:space="preserve">217 </w:t>
            </w:r>
          </w:p>
        </w:tc>
      </w:tr>
    </w:tbl>
    <w:p w:rsidR="00596387" w:rsidRDefault="00857B96">
      <w:r>
        <w:br w:type="page"/>
      </w:r>
    </w:p>
    <w:tbl>
      <w:tblPr>
        <w:tblW w:w="4900" w:type="pct"/>
        <w:tblInd w:w="93" w:type="dxa"/>
        <w:tblLayout w:type="fixed"/>
        <w:tblLook w:val="04A0" w:firstRow="1" w:lastRow="0" w:firstColumn="1" w:lastColumn="0" w:noHBand="0" w:noVBand="1"/>
      </w:tblPr>
      <w:tblGrid>
        <w:gridCol w:w="402"/>
        <w:gridCol w:w="1314"/>
        <w:gridCol w:w="3402"/>
        <w:gridCol w:w="2214"/>
        <w:gridCol w:w="2214"/>
      </w:tblGrid>
      <w:tr w:rsidR="00DD2B7F" w:rsidRPr="00596387" w:rsidTr="00DD2B7F">
        <w:trPr>
          <w:trHeight w:val="300"/>
        </w:trPr>
        <w:tc>
          <w:tcPr>
            <w:tcW w:w="9546" w:type="dxa"/>
            <w:gridSpan w:val="5"/>
            <w:tcBorders>
              <w:top w:val="nil"/>
              <w:left w:val="nil"/>
              <w:bottom w:val="nil"/>
              <w:right w:val="nil"/>
            </w:tcBorders>
            <w:shd w:val="clear" w:color="auto" w:fill="auto"/>
            <w:noWrap/>
            <w:vAlign w:val="bottom"/>
            <w:hideMark/>
          </w:tcPr>
          <w:p w:rsidR="00DD2B7F" w:rsidRPr="00DD2B7F" w:rsidRDefault="00DD2B7F" w:rsidP="00DD2B7F">
            <w:pPr>
              <w:pStyle w:val="FinH3"/>
            </w:pPr>
            <w:bookmarkStart w:id="103" w:name="Note6"/>
            <w:bookmarkEnd w:id="103"/>
            <w:r w:rsidRPr="00596387">
              <w:lastRenderedPageBreak/>
              <w:t>Key Management Personnel and Remuneration</w:t>
            </w:r>
          </w:p>
        </w:tc>
      </w:tr>
      <w:tr w:rsidR="00342F5E" w:rsidRPr="00596387" w:rsidTr="00342F5E">
        <w:trPr>
          <w:trHeight w:val="300"/>
        </w:trPr>
        <w:tc>
          <w:tcPr>
            <w:tcW w:w="9546" w:type="dxa"/>
            <w:gridSpan w:val="5"/>
            <w:tcBorders>
              <w:top w:val="nil"/>
              <w:left w:val="nil"/>
              <w:bottom w:val="nil"/>
              <w:right w:val="nil"/>
            </w:tcBorders>
            <w:shd w:val="clear" w:color="auto" w:fill="auto"/>
            <w:noWrap/>
            <w:vAlign w:val="bottom"/>
            <w:hideMark/>
          </w:tcPr>
          <w:p w:rsidR="00342F5E" w:rsidRPr="00342F5E" w:rsidRDefault="00342F5E" w:rsidP="00342F5E">
            <w:pPr>
              <w:pStyle w:val="FinH4"/>
            </w:pPr>
            <w:r w:rsidRPr="00342F5E">
              <w:t>Key Management Personnel</w:t>
            </w:r>
          </w:p>
        </w:tc>
      </w:tr>
      <w:tr w:rsidR="00596387" w:rsidRPr="00596387" w:rsidTr="00D542D1">
        <w:trPr>
          <w:trHeight w:val="478"/>
        </w:trPr>
        <w:tc>
          <w:tcPr>
            <w:tcW w:w="402" w:type="dxa"/>
            <w:tcBorders>
              <w:top w:val="nil"/>
              <w:left w:val="nil"/>
              <w:bottom w:val="nil"/>
              <w:right w:val="nil"/>
            </w:tcBorders>
            <w:shd w:val="clear" w:color="auto" w:fill="auto"/>
            <w:noWrap/>
            <w:vAlign w:val="bottom"/>
            <w:hideMark/>
          </w:tcPr>
          <w:p w:rsidR="00596387" w:rsidRPr="00596387" w:rsidRDefault="00596387" w:rsidP="0007006E">
            <w:pPr>
              <w:spacing w:before="0"/>
              <w:rPr>
                <w:rFonts w:ascii="Arial" w:hAnsi="Arial" w:cs="Arial"/>
                <w:b/>
                <w:bCs/>
                <w:color w:val="000000"/>
                <w:sz w:val="20"/>
                <w:szCs w:val="20"/>
              </w:rPr>
            </w:pPr>
          </w:p>
        </w:tc>
        <w:tc>
          <w:tcPr>
            <w:tcW w:w="9144" w:type="dxa"/>
            <w:gridSpan w:val="4"/>
            <w:tcBorders>
              <w:top w:val="nil"/>
              <w:left w:val="nil"/>
              <w:bottom w:val="nil"/>
              <w:right w:val="nil"/>
            </w:tcBorders>
            <w:shd w:val="clear" w:color="auto" w:fill="auto"/>
            <w:hideMark/>
          </w:tcPr>
          <w:p w:rsidR="00596387" w:rsidRPr="00D542D1" w:rsidRDefault="00596387" w:rsidP="0007006E">
            <w:pPr>
              <w:spacing w:before="120" w:after="120"/>
              <w:rPr>
                <w:rFonts w:ascii="Arial" w:hAnsi="Arial" w:cs="Arial"/>
                <w:color w:val="000000"/>
                <w:sz w:val="18"/>
                <w:szCs w:val="18"/>
              </w:rPr>
            </w:pPr>
            <w:r w:rsidRPr="00D542D1">
              <w:rPr>
                <w:rFonts w:ascii="Arial" w:hAnsi="Arial" w:cs="Arial"/>
                <w:color w:val="000000"/>
                <w:sz w:val="18"/>
                <w:szCs w:val="18"/>
              </w:rPr>
              <w:t xml:space="preserve">The following details for key management </w:t>
            </w:r>
            <w:r w:rsidRPr="0007006E">
              <w:rPr>
                <w:rFonts w:ascii="Arial" w:hAnsi="Arial" w:cs="Arial"/>
                <w:sz w:val="20"/>
                <w:szCs w:val="20"/>
              </w:rPr>
              <w:t>personnel</w:t>
            </w:r>
            <w:r w:rsidRPr="00D542D1">
              <w:rPr>
                <w:rFonts w:ascii="Arial" w:hAnsi="Arial" w:cs="Arial"/>
                <w:color w:val="000000"/>
                <w:sz w:val="18"/>
                <w:szCs w:val="18"/>
              </w:rPr>
              <w:t xml:space="preserve"> include those positions that had authority and responsibility for planning, directing and controlling the activities of the Queensland Studies Authority during 2013</w:t>
            </w:r>
            <w:r w:rsidR="00FA5556">
              <w:rPr>
                <w:rFonts w:ascii="Arial" w:hAnsi="Arial" w:cs="Arial"/>
                <w:color w:val="000000"/>
                <w:sz w:val="18"/>
                <w:szCs w:val="18"/>
              </w:rPr>
              <w:t>–</w:t>
            </w:r>
            <w:r w:rsidR="00F170CD">
              <w:rPr>
                <w:rFonts w:ascii="Arial" w:hAnsi="Arial" w:cs="Arial"/>
                <w:color w:val="000000"/>
                <w:sz w:val="18"/>
                <w:szCs w:val="18"/>
              </w:rPr>
              <w:t>14.</w:t>
            </w:r>
          </w:p>
        </w:tc>
      </w:tr>
      <w:tr w:rsidR="00596387" w:rsidRPr="00596387" w:rsidTr="000672D7">
        <w:trPr>
          <w:trHeight w:val="300"/>
        </w:trPr>
        <w:tc>
          <w:tcPr>
            <w:tcW w:w="402" w:type="dxa"/>
            <w:tcBorders>
              <w:top w:val="nil"/>
              <w:left w:val="nil"/>
              <w:bottom w:val="nil"/>
              <w:right w:val="nil"/>
            </w:tcBorders>
            <w:shd w:val="clear" w:color="auto" w:fill="auto"/>
            <w:noWrap/>
            <w:vAlign w:val="bottom"/>
            <w:hideMark/>
          </w:tcPr>
          <w:p w:rsidR="00596387" w:rsidRPr="00596387" w:rsidRDefault="00596387" w:rsidP="0007006E">
            <w:pPr>
              <w:spacing w:before="0"/>
              <w:rPr>
                <w:rFonts w:ascii="Arial" w:hAnsi="Arial" w:cs="Arial"/>
                <w:b/>
                <w:bCs/>
                <w:color w:val="000000"/>
                <w:sz w:val="20"/>
                <w:szCs w:val="20"/>
              </w:rPr>
            </w:pP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6387" w:rsidRPr="000672D7" w:rsidRDefault="00596387" w:rsidP="0007006E">
            <w:pPr>
              <w:spacing w:before="0"/>
              <w:jc w:val="center"/>
              <w:rPr>
                <w:rFonts w:ascii="Arial" w:hAnsi="Arial" w:cs="Arial"/>
                <w:color w:val="000000"/>
                <w:sz w:val="18"/>
                <w:szCs w:val="16"/>
              </w:rPr>
            </w:pPr>
            <w:r w:rsidRPr="000672D7">
              <w:rPr>
                <w:rFonts w:ascii="Arial" w:hAnsi="Arial" w:cs="Arial"/>
                <w:color w:val="000000"/>
                <w:sz w:val="18"/>
                <w:szCs w:val="16"/>
              </w:rPr>
              <w:t>Position</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6387" w:rsidRPr="000672D7" w:rsidRDefault="00596387" w:rsidP="0007006E">
            <w:pPr>
              <w:spacing w:before="0"/>
              <w:jc w:val="center"/>
              <w:rPr>
                <w:rFonts w:ascii="Arial" w:hAnsi="Arial" w:cs="Arial"/>
                <w:color w:val="000000"/>
                <w:sz w:val="18"/>
                <w:szCs w:val="16"/>
              </w:rPr>
            </w:pPr>
            <w:r w:rsidRPr="000672D7">
              <w:rPr>
                <w:rFonts w:ascii="Arial" w:hAnsi="Arial" w:cs="Arial"/>
                <w:color w:val="000000"/>
                <w:sz w:val="18"/>
                <w:szCs w:val="16"/>
              </w:rPr>
              <w:t>Responsibilities</w:t>
            </w:r>
          </w:p>
        </w:tc>
        <w:tc>
          <w:tcPr>
            <w:tcW w:w="4428" w:type="dxa"/>
            <w:gridSpan w:val="2"/>
            <w:tcBorders>
              <w:top w:val="single" w:sz="4" w:space="0" w:color="auto"/>
              <w:left w:val="nil"/>
              <w:bottom w:val="single" w:sz="4" w:space="0" w:color="auto"/>
              <w:right w:val="single" w:sz="4" w:space="0" w:color="auto"/>
            </w:tcBorders>
            <w:shd w:val="clear" w:color="auto" w:fill="auto"/>
            <w:noWrap/>
            <w:vAlign w:val="center"/>
            <w:hideMark/>
          </w:tcPr>
          <w:p w:rsidR="00596387" w:rsidRPr="000672D7" w:rsidRDefault="00596387" w:rsidP="0007006E">
            <w:pPr>
              <w:spacing w:before="0"/>
              <w:jc w:val="center"/>
              <w:rPr>
                <w:rFonts w:ascii="Arial" w:hAnsi="Arial" w:cs="Arial"/>
                <w:color w:val="000000"/>
                <w:sz w:val="18"/>
                <w:szCs w:val="16"/>
              </w:rPr>
            </w:pPr>
            <w:r w:rsidRPr="000672D7">
              <w:rPr>
                <w:rFonts w:ascii="Arial" w:hAnsi="Arial" w:cs="Arial"/>
                <w:color w:val="000000"/>
                <w:sz w:val="18"/>
                <w:szCs w:val="16"/>
              </w:rPr>
              <w:t>Current Incumbents</w:t>
            </w:r>
          </w:p>
        </w:tc>
      </w:tr>
      <w:tr w:rsidR="00596387" w:rsidRPr="00596387" w:rsidTr="00F170CD">
        <w:trPr>
          <w:trHeight w:val="702"/>
        </w:trPr>
        <w:tc>
          <w:tcPr>
            <w:tcW w:w="402" w:type="dxa"/>
            <w:tcBorders>
              <w:top w:val="nil"/>
              <w:left w:val="nil"/>
              <w:bottom w:val="nil"/>
              <w:right w:val="nil"/>
            </w:tcBorders>
            <w:shd w:val="clear" w:color="auto" w:fill="auto"/>
            <w:noWrap/>
            <w:vAlign w:val="bottom"/>
            <w:hideMark/>
          </w:tcPr>
          <w:p w:rsidR="00596387" w:rsidRPr="00596387" w:rsidRDefault="00596387" w:rsidP="0007006E">
            <w:pPr>
              <w:spacing w:before="0"/>
              <w:rPr>
                <w:rFonts w:ascii="Arial" w:hAnsi="Arial" w:cs="Arial"/>
                <w:b/>
                <w:bCs/>
                <w:color w:val="000000"/>
                <w:sz w:val="20"/>
                <w:szCs w:val="20"/>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596387" w:rsidRPr="000672D7" w:rsidRDefault="00596387" w:rsidP="0007006E">
            <w:pPr>
              <w:spacing w:before="0"/>
              <w:rPr>
                <w:rFonts w:ascii="Arial" w:hAnsi="Arial" w:cs="Arial"/>
                <w:color w:val="000000"/>
                <w:sz w:val="18"/>
                <w:szCs w:val="16"/>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596387" w:rsidRPr="000672D7" w:rsidRDefault="00596387" w:rsidP="0007006E">
            <w:pPr>
              <w:spacing w:before="0"/>
              <w:rPr>
                <w:rFonts w:ascii="Arial" w:hAnsi="Arial" w:cs="Arial"/>
                <w:color w:val="000000"/>
                <w:sz w:val="18"/>
                <w:szCs w:val="16"/>
              </w:rPr>
            </w:pPr>
          </w:p>
        </w:tc>
        <w:tc>
          <w:tcPr>
            <w:tcW w:w="2214" w:type="dxa"/>
            <w:tcBorders>
              <w:top w:val="nil"/>
              <w:left w:val="nil"/>
              <w:bottom w:val="single" w:sz="4" w:space="0" w:color="auto"/>
              <w:right w:val="single" w:sz="4" w:space="0" w:color="auto"/>
            </w:tcBorders>
            <w:shd w:val="clear" w:color="auto" w:fill="auto"/>
            <w:vAlign w:val="center"/>
            <w:hideMark/>
          </w:tcPr>
          <w:p w:rsidR="00596387" w:rsidRPr="000672D7" w:rsidRDefault="00596387" w:rsidP="0007006E">
            <w:pPr>
              <w:spacing w:before="0"/>
              <w:jc w:val="center"/>
              <w:rPr>
                <w:rFonts w:ascii="Arial" w:hAnsi="Arial" w:cs="Arial"/>
                <w:color w:val="000000"/>
                <w:sz w:val="18"/>
                <w:szCs w:val="16"/>
              </w:rPr>
            </w:pPr>
            <w:r w:rsidRPr="000672D7">
              <w:rPr>
                <w:rFonts w:ascii="Arial" w:hAnsi="Arial" w:cs="Arial"/>
                <w:color w:val="000000"/>
                <w:sz w:val="18"/>
                <w:szCs w:val="16"/>
              </w:rPr>
              <w:t>Contract classification and appointment authority</w:t>
            </w:r>
          </w:p>
        </w:tc>
        <w:tc>
          <w:tcPr>
            <w:tcW w:w="2214" w:type="dxa"/>
            <w:tcBorders>
              <w:top w:val="nil"/>
              <w:left w:val="nil"/>
              <w:bottom w:val="single" w:sz="4" w:space="0" w:color="auto"/>
              <w:right w:val="single" w:sz="4" w:space="0" w:color="auto"/>
            </w:tcBorders>
            <w:shd w:val="clear" w:color="auto" w:fill="auto"/>
            <w:vAlign w:val="center"/>
            <w:hideMark/>
          </w:tcPr>
          <w:p w:rsidR="00596387" w:rsidRPr="000672D7" w:rsidRDefault="00596387" w:rsidP="0007006E">
            <w:pPr>
              <w:spacing w:before="0"/>
              <w:jc w:val="center"/>
              <w:rPr>
                <w:rFonts w:ascii="Arial" w:hAnsi="Arial" w:cs="Arial"/>
                <w:color w:val="000000"/>
                <w:sz w:val="18"/>
                <w:szCs w:val="16"/>
              </w:rPr>
            </w:pPr>
            <w:r w:rsidRPr="000672D7">
              <w:rPr>
                <w:rFonts w:ascii="Arial" w:hAnsi="Arial" w:cs="Arial"/>
                <w:color w:val="000000"/>
                <w:sz w:val="18"/>
                <w:szCs w:val="16"/>
              </w:rPr>
              <w:t xml:space="preserve">Date appointed to position </w:t>
            </w:r>
            <w:r w:rsidR="0007006E" w:rsidRPr="000672D7">
              <w:rPr>
                <w:rFonts w:ascii="Arial" w:hAnsi="Arial" w:cs="Arial"/>
                <w:color w:val="000000"/>
                <w:sz w:val="18"/>
                <w:szCs w:val="16"/>
              </w:rPr>
              <w:br/>
            </w:r>
            <w:r w:rsidRPr="000672D7">
              <w:rPr>
                <w:rFonts w:ascii="Arial" w:hAnsi="Arial" w:cs="Arial"/>
                <w:color w:val="000000"/>
                <w:sz w:val="18"/>
                <w:szCs w:val="16"/>
              </w:rPr>
              <w:t>(date resigned from position)</w:t>
            </w:r>
          </w:p>
        </w:tc>
      </w:tr>
      <w:tr w:rsidR="00596387" w:rsidRPr="00596387" w:rsidTr="00F170CD">
        <w:trPr>
          <w:trHeight w:val="1176"/>
        </w:trPr>
        <w:tc>
          <w:tcPr>
            <w:tcW w:w="402" w:type="dxa"/>
            <w:tcBorders>
              <w:top w:val="nil"/>
              <w:left w:val="nil"/>
              <w:bottom w:val="nil"/>
              <w:right w:val="nil"/>
            </w:tcBorders>
            <w:shd w:val="clear" w:color="auto" w:fill="auto"/>
            <w:noWrap/>
            <w:vAlign w:val="bottom"/>
            <w:hideMark/>
          </w:tcPr>
          <w:p w:rsidR="00596387" w:rsidRPr="00596387" w:rsidRDefault="00596387" w:rsidP="0007006E">
            <w:pPr>
              <w:spacing w:before="0"/>
              <w:rPr>
                <w:rFonts w:ascii="Arial" w:hAnsi="Arial" w:cs="Arial"/>
                <w:b/>
                <w:bCs/>
                <w:color w:val="000000"/>
                <w:sz w:val="20"/>
                <w:szCs w:val="20"/>
              </w:rPr>
            </w:pPr>
          </w:p>
        </w:tc>
        <w:tc>
          <w:tcPr>
            <w:tcW w:w="1314" w:type="dxa"/>
            <w:tcBorders>
              <w:top w:val="nil"/>
              <w:left w:val="single" w:sz="4" w:space="0" w:color="auto"/>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Chief Executive Officer</w:t>
            </w:r>
          </w:p>
        </w:tc>
        <w:tc>
          <w:tcPr>
            <w:tcW w:w="3402"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The Chief Executive Officer is responsible for providing advice to the Minister on strategic educational issues and manages the staff, functions and resources of the Office of the QSA in accordance with relevant legislation.</w:t>
            </w:r>
          </w:p>
        </w:tc>
        <w:tc>
          <w:tcPr>
            <w:tcW w:w="2214"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The Chief Executive Officer is at classification level SES 4 under sections 59 and 60 of the Education (Queensland Studies Authority) Act 2002.</w:t>
            </w:r>
          </w:p>
        </w:tc>
        <w:tc>
          <w:tcPr>
            <w:tcW w:w="2214" w:type="dxa"/>
            <w:tcBorders>
              <w:top w:val="nil"/>
              <w:left w:val="nil"/>
              <w:bottom w:val="single" w:sz="4" w:space="0" w:color="auto"/>
              <w:right w:val="single" w:sz="4" w:space="0" w:color="auto"/>
            </w:tcBorders>
            <w:shd w:val="clear" w:color="auto" w:fill="auto"/>
            <w:hideMark/>
          </w:tcPr>
          <w:p w:rsidR="00D542D1"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 xml:space="preserve">Contract start date 06/03/2014, contract completion date 05/03/2017. </w:t>
            </w:r>
          </w:p>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 xml:space="preserve">(Position filled on an acting basis prior to this appointment.) </w:t>
            </w:r>
          </w:p>
        </w:tc>
      </w:tr>
      <w:tr w:rsidR="00596387" w:rsidRPr="00596387" w:rsidTr="00F170CD">
        <w:trPr>
          <w:trHeight w:val="1298"/>
        </w:trPr>
        <w:tc>
          <w:tcPr>
            <w:tcW w:w="402" w:type="dxa"/>
            <w:tcBorders>
              <w:top w:val="nil"/>
              <w:left w:val="nil"/>
              <w:bottom w:val="nil"/>
              <w:right w:val="nil"/>
            </w:tcBorders>
            <w:shd w:val="clear" w:color="auto" w:fill="auto"/>
            <w:noWrap/>
            <w:vAlign w:val="bottom"/>
            <w:hideMark/>
          </w:tcPr>
          <w:p w:rsidR="00596387" w:rsidRPr="00596387" w:rsidRDefault="00596387" w:rsidP="0007006E">
            <w:pPr>
              <w:spacing w:before="0"/>
              <w:rPr>
                <w:rFonts w:ascii="Arial" w:hAnsi="Arial" w:cs="Arial"/>
                <w:b/>
                <w:bCs/>
                <w:color w:val="000000"/>
                <w:sz w:val="20"/>
                <w:szCs w:val="20"/>
              </w:rPr>
            </w:pPr>
          </w:p>
        </w:tc>
        <w:tc>
          <w:tcPr>
            <w:tcW w:w="1314" w:type="dxa"/>
            <w:tcBorders>
              <w:top w:val="nil"/>
              <w:left w:val="single" w:sz="4" w:space="0" w:color="auto"/>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Deputy Director, Curriculum Services Division</w:t>
            </w:r>
          </w:p>
        </w:tc>
        <w:tc>
          <w:tcPr>
            <w:tcW w:w="3402"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The Deputy Director, Curriculum Services leads the development, implementation and promotion of QSA’s policy approach to curriculum, learning, assessment and reporting. The position also leads the review of syllabuses and curriculum development with a particular focus on implementation of the Australian Curriculum.</w:t>
            </w:r>
          </w:p>
        </w:tc>
        <w:tc>
          <w:tcPr>
            <w:tcW w:w="2214"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 xml:space="preserve">Classification level SES 2 (High) under sections 110 and 113 of the Public Service Act 2008. </w:t>
            </w:r>
          </w:p>
        </w:tc>
        <w:tc>
          <w:tcPr>
            <w:tcW w:w="2214" w:type="dxa"/>
            <w:tcBorders>
              <w:top w:val="nil"/>
              <w:left w:val="nil"/>
              <w:bottom w:val="single" w:sz="4" w:space="0" w:color="auto"/>
              <w:right w:val="single" w:sz="4" w:space="0" w:color="auto"/>
            </w:tcBorders>
            <w:shd w:val="clear" w:color="auto" w:fill="auto"/>
            <w:hideMark/>
          </w:tcPr>
          <w:p w:rsidR="00D542D1"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 xml:space="preserve">Contract start date 18/02/2009, contract termination date 04/10/2013. </w:t>
            </w:r>
          </w:p>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(Position filled on an acting basis from 07/10/2013 to 27/06/14.)</w:t>
            </w:r>
          </w:p>
        </w:tc>
      </w:tr>
      <w:tr w:rsidR="00596387" w:rsidRPr="00596387" w:rsidTr="00F170CD">
        <w:trPr>
          <w:trHeight w:val="1250"/>
        </w:trPr>
        <w:tc>
          <w:tcPr>
            <w:tcW w:w="402" w:type="dxa"/>
            <w:tcBorders>
              <w:top w:val="nil"/>
              <w:left w:val="nil"/>
              <w:bottom w:val="nil"/>
              <w:right w:val="nil"/>
            </w:tcBorders>
            <w:shd w:val="clear" w:color="auto" w:fill="auto"/>
            <w:noWrap/>
            <w:vAlign w:val="bottom"/>
            <w:hideMark/>
          </w:tcPr>
          <w:p w:rsidR="00596387" w:rsidRPr="00596387" w:rsidRDefault="00596387" w:rsidP="0007006E">
            <w:pPr>
              <w:spacing w:before="0"/>
              <w:rPr>
                <w:rFonts w:ascii="Arial" w:hAnsi="Arial" w:cs="Arial"/>
                <w:b/>
                <w:bCs/>
                <w:color w:val="000000"/>
                <w:sz w:val="20"/>
                <w:szCs w:val="20"/>
              </w:rPr>
            </w:pPr>
          </w:p>
        </w:tc>
        <w:tc>
          <w:tcPr>
            <w:tcW w:w="1314" w:type="dxa"/>
            <w:tcBorders>
              <w:top w:val="nil"/>
              <w:left w:val="single" w:sz="4" w:space="0" w:color="auto"/>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Acting Deputy Director, Assessment and Reporting Division</w:t>
            </w:r>
          </w:p>
        </w:tc>
        <w:tc>
          <w:tcPr>
            <w:tcW w:w="3402"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The Deputy Director, Assessment and Reporting is responsible for the development and implementation of strategies to support QSA’s assessment capability and to manage the quality assurance processes for QSA’s testing, certification and assessment functions. The position is also responsible for the release of accurate student achievement data.</w:t>
            </w:r>
          </w:p>
        </w:tc>
        <w:tc>
          <w:tcPr>
            <w:tcW w:w="2214"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Acting, Deputy Director classification level SES 2 (High) under section 112 of the Public Service Act 2008.</w:t>
            </w:r>
          </w:p>
        </w:tc>
        <w:tc>
          <w:tcPr>
            <w:tcW w:w="2214"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Acting Deputy Director start date 19/06/2013, finish date 27/06/2014.</w:t>
            </w:r>
          </w:p>
        </w:tc>
      </w:tr>
      <w:tr w:rsidR="00596387" w:rsidRPr="00596387" w:rsidTr="00F170CD">
        <w:trPr>
          <w:trHeight w:val="667"/>
        </w:trPr>
        <w:tc>
          <w:tcPr>
            <w:tcW w:w="402" w:type="dxa"/>
            <w:tcBorders>
              <w:top w:val="nil"/>
              <w:left w:val="nil"/>
              <w:bottom w:val="nil"/>
              <w:right w:val="nil"/>
            </w:tcBorders>
            <w:shd w:val="clear" w:color="auto" w:fill="auto"/>
            <w:noWrap/>
            <w:vAlign w:val="bottom"/>
            <w:hideMark/>
          </w:tcPr>
          <w:p w:rsidR="00596387" w:rsidRPr="00596387" w:rsidRDefault="00596387" w:rsidP="0007006E">
            <w:pPr>
              <w:spacing w:before="0"/>
              <w:rPr>
                <w:rFonts w:ascii="Arial" w:hAnsi="Arial" w:cs="Arial"/>
                <w:b/>
                <w:bCs/>
                <w:color w:val="000000"/>
                <w:sz w:val="20"/>
                <w:szCs w:val="20"/>
              </w:rPr>
            </w:pPr>
          </w:p>
        </w:tc>
        <w:tc>
          <w:tcPr>
            <w:tcW w:w="1314" w:type="dxa"/>
            <w:tcBorders>
              <w:top w:val="nil"/>
              <w:left w:val="single" w:sz="4" w:space="0" w:color="auto"/>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Deputy Director, Corporate and Information Services Division</w:t>
            </w:r>
          </w:p>
        </w:tc>
        <w:tc>
          <w:tcPr>
            <w:tcW w:w="3402"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 xml:space="preserve">The Deputy Director, Corporate and Information Services is accountable for the delivery of strategic corporate outcomes and the development, implementation and evaluation of QSA’s corporate and information technology governance arrangements. </w:t>
            </w:r>
          </w:p>
        </w:tc>
        <w:tc>
          <w:tcPr>
            <w:tcW w:w="2214"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Classification level SES 2 (Low) under sections 110 and 113 of the Public Service Act 2008.</w:t>
            </w:r>
          </w:p>
        </w:tc>
        <w:tc>
          <w:tcPr>
            <w:tcW w:w="2214"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Start date 04/02/2008, contract completion date 03/02/2016.</w:t>
            </w:r>
          </w:p>
        </w:tc>
      </w:tr>
      <w:tr w:rsidR="00596387" w:rsidRPr="00596387" w:rsidTr="00F170CD">
        <w:trPr>
          <w:trHeight w:val="815"/>
        </w:trPr>
        <w:tc>
          <w:tcPr>
            <w:tcW w:w="402" w:type="dxa"/>
            <w:tcBorders>
              <w:top w:val="nil"/>
              <w:left w:val="nil"/>
              <w:bottom w:val="nil"/>
              <w:right w:val="nil"/>
            </w:tcBorders>
            <w:shd w:val="clear" w:color="auto" w:fill="auto"/>
            <w:noWrap/>
            <w:vAlign w:val="bottom"/>
            <w:hideMark/>
          </w:tcPr>
          <w:p w:rsidR="00596387" w:rsidRPr="00596387" w:rsidRDefault="00596387" w:rsidP="0007006E">
            <w:pPr>
              <w:spacing w:before="0"/>
              <w:rPr>
                <w:rFonts w:ascii="Arial" w:hAnsi="Arial" w:cs="Arial"/>
                <w:b/>
                <w:bCs/>
                <w:color w:val="000000"/>
                <w:sz w:val="20"/>
                <w:szCs w:val="20"/>
              </w:rPr>
            </w:pPr>
          </w:p>
        </w:tc>
        <w:tc>
          <w:tcPr>
            <w:tcW w:w="1314" w:type="dxa"/>
            <w:tcBorders>
              <w:top w:val="nil"/>
              <w:left w:val="single" w:sz="4" w:space="0" w:color="auto"/>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Assistant Director, Policy Coordination Branch</w:t>
            </w:r>
          </w:p>
        </w:tc>
        <w:tc>
          <w:tcPr>
            <w:tcW w:w="3402"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 xml:space="preserve">The Assistant Director, Policy Coordination provides high-level advice on government relationship management and coordinates policy development and communication of QSA policy and information to stakeholders. </w:t>
            </w:r>
          </w:p>
        </w:tc>
        <w:tc>
          <w:tcPr>
            <w:tcW w:w="2214" w:type="dxa"/>
            <w:tcBorders>
              <w:top w:val="nil"/>
              <w:left w:val="nil"/>
              <w:bottom w:val="single" w:sz="4" w:space="0" w:color="auto"/>
              <w:right w:val="single" w:sz="4" w:space="0" w:color="auto"/>
            </w:tcBorders>
            <w:shd w:val="clear" w:color="auto" w:fill="auto"/>
            <w:hideMark/>
          </w:tcPr>
          <w:p w:rsidR="00596387" w:rsidRPr="000672D7" w:rsidRDefault="00596387" w:rsidP="0007006E">
            <w:pPr>
              <w:spacing w:before="40" w:after="40"/>
              <w:rPr>
                <w:rFonts w:ascii="Arial" w:hAnsi="Arial" w:cs="Arial"/>
                <w:color w:val="000000"/>
                <w:sz w:val="18"/>
                <w:szCs w:val="16"/>
              </w:rPr>
            </w:pPr>
            <w:r w:rsidRPr="000672D7">
              <w:rPr>
                <w:rFonts w:ascii="Arial" w:hAnsi="Arial" w:cs="Arial"/>
                <w:color w:val="000000"/>
                <w:sz w:val="18"/>
                <w:szCs w:val="16"/>
              </w:rPr>
              <w:t>Senior Officer classification level under sections 116 and 119 of the Public Service Act 2008</w:t>
            </w:r>
            <w:r w:rsidR="005C2A68">
              <w:rPr>
                <w:rFonts w:ascii="Arial" w:hAnsi="Arial" w:cs="Arial"/>
                <w:color w:val="000000"/>
                <w:sz w:val="18"/>
                <w:szCs w:val="16"/>
              </w:rPr>
              <w:t>.</w:t>
            </w:r>
            <w:r w:rsidRPr="000672D7">
              <w:rPr>
                <w:rFonts w:ascii="Arial" w:hAnsi="Arial" w:cs="Arial"/>
                <w:color w:val="000000"/>
                <w:sz w:val="18"/>
                <w:szCs w:val="16"/>
              </w:rPr>
              <w:t xml:space="preserve"> </w:t>
            </w:r>
          </w:p>
        </w:tc>
        <w:tc>
          <w:tcPr>
            <w:tcW w:w="2214" w:type="dxa"/>
            <w:tcBorders>
              <w:top w:val="nil"/>
              <w:left w:val="nil"/>
              <w:bottom w:val="single" w:sz="4" w:space="0" w:color="auto"/>
              <w:right w:val="single" w:sz="4" w:space="0" w:color="auto"/>
            </w:tcBorders>
            <w:shd w:val="clear" w:color="auto" w:fill="auto"/>
            <w:hideMark/>
          </w:tcPr>
          <w:p w:rsidR="00596387" w:rsidRPr="000672D7" w:rsidRDefault="00F170CD" w:rsidP="0007006E">
            <w:pPr>
              <w:spacing w:before="40" w:after="40"/>
              <w:rPr>
                <w:rFonts w:ascii="Arial" w:hAnsi="Arial" w:cs="Arial"/>
                <w:color w:val="000000"/>
                <w:sz w:val="18"/>
                <w:szCs w:val="16"/>
              </w:rPr>
            </w:pPr>
            <w:r>
              <w:rPr>
                <w:rFonts w:ascii="Arial" w:hAnsi="Arial" w:cs="Arial"/>
                <w:color w:val="000000"/>
                <w:sz w:val="18"/>
                <w:szCs w:val="16"/>
              </w:rPr>
              <w:t>Appointment date 15/10/2007.</w:t>
            </w:r>
          </w:p>
        </w:tc>
      </w:tr>
      <w:tr w:rsidR="00342F5E" w:rsidRPr="00596387" w:rsidTr="00342F5E">
        <w:trPr>
          <w:trHeight w:val="300"/>
        </w:trPr>
        <w:tc>
          <w:tcPr>
            <w:tcW w:w="9546" w:type="dxa"/>
            <w:gridSpan w:val="5"/>
            <w:tcBorders>
              <w:top w:val="nil"/>
              <w:left w:val="nil"/>
              <w:bottom w:val="nil"/>
              <w:right w:val="nil"/>
            </w:tcBorders>
            <w:shd w:val="clear" w:color="auto" w:fill="auto"/>
            <w:noWrap/>
            <w:vAlign w:val="center"/>
            <w:hideMark/>
          </w:tcPr>
          <w:p w:rsidR="00342F5E" w:rsidRPr="00F170CD" w:rsidRDefault="00342F5E" w:rsidP="00342F5E">
            <w:pPr>
              <w:pStyle w:val="FinH4"/>
            </w:pPr>
            <w:r w:rsidRPr="00596387">
              <w:t>Remuneration</w:t>
            </w:r>
          </w:p>
        </w:tc>
      </w:tr>
      <w:tr w:rsidR="00596387" w:rsidRPr="00596387" w:rsidTr="00D542D1">
        <w:trPr>
          <w:trHeight w:val="685"/>
        </w:trPr>
        <w:tc>
          <w:tcPr>
            <w:tcW w:w="402" w:type="dxa"/>
            <w:tcBorders>
              <w:top w:val="nil"/>
              <w:left w:val="nil"/>
              <w:bottom w:val="nil"/>
              <w:right w:val="nil"/>
            </w:tcBorders>
            <w:shd w:val="clear" w:color="auto" w:fill="auto"/>
            <w:noWrap/>
            <w:vAlign w:val="bottom"/>
            <w:hideMark/>
          </w:tcPr>
          <w:p w:rsidR="00596387" w:rsidRPr="00596387" w:rsidRDefault="00596387" w:rsidP="0007006E">
            <w:pPr>
              <w:spacing w:before="0"/>
              <w:rPr>
                <w:rFonts w:ascii="Arial" w:hAnsi="Arial" w:cs="Arial"/>
                <w:b/>
                <w:bCs/>
                <w:color w:val="000000"/>
                <w:sz w:val="20"/>
                <w:szCs w:val="20"/>
              </w:rPr>
            </w:pPr>
          </w:p>
        </w:tc>
        <w:tc>
          <w:tcPr>
            <w:tcW w:w="9144" w:type="dxa"/>
            <w:gridSpan w:val="4"/>
            <w:tcBorders>
              <w:top w:val="nil"/>
              <w:left w:val="nil"/>
              <w:bottom w:val="nil"/>
              <w:right w:val="nil"/>
            </w:tcBorders>
            <w:shd w:val="clear" w:color="auto" w:fill="auto"/>
            <w:hideMark/>
          </w:tcPr>
          <w:p w:rsidR="00596387" w:rsidRPr="00D542D1" w:rsidRDefault="00596387" w:rsidP="0007006E">
            <w:pPr>
              <w:spacing w:before="120" w:after="120"/>
              <w:rPr>
                <w:rFonts w:ascii="Arial" w:hAnsi="Arial" w:cs="Arial"/>
                <w:color w:val="000000"/>
                <w:sz w:val="18"/>
                <w:szCs w:val="18"/>
              </w:rPr>
            </w:pPr>
            <w:r w:rsidRPr="00D542D1">
              <w:rPr>
                <w:rFonts w:ascii="Arial" w:hAnsi="Arial" w:cs="Arial"/>
                <w:color w:val="000000"/>
                <w:sz w:val="18"/>
                <w:szCs w:val="18"/>
              </w:rPr>
              <w:t>Remuneration policy for the agency’s key management personnel is set by the Queensland Public Service Commission as provided for under the Public Service Act 2008. The remuneration and other terms of employment for the key executive management personnel are specified in employment contracts. The contracts provide for the provision of benefits including motor vehicles.</w:t>
            </w:r>
          </w:p>
        </w:tc>
      </w:tr>
    </w:tbl>
    <w:p w:rsidR="002D140E" w:rsidRDefault="002D140E">
      <w:r>
        <w:br w:type="page"/>
      </w:r>
    </w:p>
    <w:tbl>
      <w:tblPr>
        <w:tblW w:w="4900" w:type="pct"/>
        <w:tblInd w:w="93" w:type="dxa"/>
        <w:tblLayout w:type="fixed"/>
        <w:tblCellMar>
          <w:left w:w="0" w:type="dxa"/>
          <w:right w:w="0" w:type="dxa"/>
        </w:tblCellMar>
        <w:tblLook w:val="04A0" w:firstRow="1" w:lastRow="0" w:firstColumn="1" w:lastColumn="0" w:noHBand="0" w:noVBand="1"/>
      </w:tblPr>
      <w:tblGrid>
        <w:gridCol w:w="333"/>
        <w:gridCol w:w="2551"/>
        <w:gridCol w:w="953"/>
        <w:gridCol w:w="1173"/>
        <w:gridCol w:w="1081"/>
        <w:gridCol w:w="1081"/>
        <w:gridCol w:w="1081"/>
        <w:gridCol w:w="1082"/>
      </w:tblGrid>
      <w:tr w:rsidR="00342F5E" w:rsidRPr="00D34C53" w:rsidTr="00342F5E">
        <w:trPr>
          <w:trHeight w:val="300"/>
        </w:trPr>
        <w:tc>
          <w:tcPr>
            <w:tcW w:w="9335" w:type="dxa"/>
            <w:gridSpan w:val="8"/>
            <w:tcBorders>
              <w:top w:val="nil"/>
              <w:left w:val="nil"/>
              <w:bottom w:val="nil"/>
              <w:right w:val="nil"/>
            </w:tcBorders>
            <w:shd w:val="clear" w:color="auto" w:fill="auto"/>
            <w:noWrap/>
            <w:vAlign w:val="bottom"/>
            <w:hideMark/>
          </w:tcPr>
          <w:p w:rsidR="00342F5E" w:rsidRPr="00342F5E" w:rsidRDefault="005A4557" w:rsidP="00342F5E">
            <w:pPr>
              <w:pStyle w:val="FinF3continuation"/>
            </w:pPr>
            <w:fldSimple w:instr=" STYLEREF  &quot;Fin H3&quot; \r \w  \* MERGEFORMAT ">
              <w:r w:rsidR="00C41AFC">
                <w:t>6</w:t>
              </w:r>
            </w:fldSimple>
            <w:r w:rsidR="00342F5E" w:rsidRPr="00342F5E">
              <w:tab/>
            </w:r>
            <w:fldSimple w:instr=" STYLEREF  &quot;Fin H3&quot;  \* MERGEFORMAT ">
              <w:r w:rsidR="00C41AFC">
                <w:t>Key Management Personnel and Remuneration</w:t>
              </w:r>
            </w:fldSimple>
            <w:r w:rsidR="00342F5E">
              <w:t xml:space="preserve">, </w:t>
            </w:r>
            <w:fldSimple w:instr=" STYLEREF  &quot;Fin H4&quot; \r \w  \* MERGEFORMAT ">
              <w:r w:rsidR="00C41AFC">
                <w:t>(b)</w:t>
              </w:r>
            </w:fldSimple>
            <w:r w:rsidR="00342F5E">
              <w:t xml:space="preserve"> </w:t>
            </w:r>
            <w:fldSimple w:instr=" STYLEREF  &quot;Fin H4&quot;  \* MERGEFORMAT ">
              <w:r w:rsidR="00C41AFC">
                <w:t>Remuneration</w:t>
              </w:r>
            </w:fldSimple>
            <w:r w:rsidR="00342F5E" w:rsidRPr="00342F5E">
              <w:t xml:space="preserve"> (cont</w:t>
            </w:r>
            <w:r w:rsidR="00342F5E">
              <w:t>’</w:t>
            </w:r>
            <w:r w:rsidR="00342F5E" w:rsidRPr="00342F5E">
              <w:t>d)</w:t>
            </w:r>
          </w:p>
        </w:tc>
      </w:tr>
      <w:tr w:rsidR="00F170CD" w:rsidRPr="00D34C53" w:rsidTr="00F170CD">
        <w:trPr>
          <w:trHeight w:val="3777"/>
        </w:trPr>
        <w:tc>
          <w:tcPr>
            <w:tcW w:w="333" w:type="dxa"/>
            <w:tcBorders>
              <w:top w:val="nil"/>
              <w:left w:val="nil"/>
              <w:right w:val="nil"/>
            </w:tcBorders>
            <w:shd w:val="clear" w:color="auto" w:fill="auto"/>
            <w:noWrap/>
            <w:vAlign w:val="bottom"/>
            <w:hideMark/>
          </w:tcPr>
          <w:p w:rsidR="00F170CD" w:rsidRPr="00F170CD" w:rsidRDefault="00F170CD" w:rsidP="00D542D1">
            <w:pPr>
              <w:spacing w:before="0" w:line="240" w:lineRule="auto"/>
              <w:rPr>
                <w:rFonts w:ascii="Arial" w:hAnsi="Arial" w:cs="Arial"/>
                <w:bCs/>
                <w:color w:val="000000"/>
                <w:sz w:val="20"/>
                <w:szCs w:val="20"/>
              </w:rPr>
            </w:pPr>
          </w:p>
        </w:tc>
        <w:tc>
          <w:tcPr>
            <w:tcW w:w="9002" w:type="dxa"/>
            <w:gridSpan w:val="7"/>
            <w:tcBorders>
              <w:top w:val="nil"/>
              <w:left w:val="nil"/>
              <w:right w:val="nil"/>
            </w:tcBorders>
            <w:shd w:val="clear" w:color="auto" w:fill="auto"/>
            <w:noWrap/>
            <w:vAlign w:val="center"/>
            <w:hideMark/>
          </w:tcPr>
          <w:p w:rsidR="00F170CD" w:rsidRPr="000672D7" w:rsidRDefault="00F170CD" w:rsidP="00D542D1">
            <w:pPr>
              <w:spacing w:beforeLines="40" w:before="96" w:line="240" w:lineRule="auto"/>
              <w:rPr>
                <w:rFonts w:ascii="Arial" w:hAnsi="Arial" w:cs="Arial"/>
                <w:color w:val="000000"/>
                <w:sz w:val="18"/>
                <w:szCs w:val="16"/>
              </w:rPr>
            </w:pPr>
            <w:r w:rsidRPr="000672D7">
              <w:rPr>
                <w:rFonts w:ascii="Arial" w:hAnsi="Arial" w:cs="Arial"/>
                <w:color w:val="000000"/>
                <w:sz w:val="18"/>
                <w:szCs w:val="16"/>
              </w:rPr>
              <w:t>For the 2013–14 year, remuneration of key management personnel increased by 2.2% in accordance with government policy. Remuneration packages for key management personnel com</w:t>
            </w:r>
            <w:r>
              <w:rPr>
                <w:rFonts w:ascii="Arial" w:hAnsi="Arial" w:cs="Arial"/>
                <w:color w:val="000000"/>
                <w:sz w:val="18"/>
                <w:szCs w:val="16"/>
              </w:rPr>
              <w:t>prise the following components.</w:t>
            </w:r>
          </w:p>
          <w:p w:rsidR="00F170CD" w:rsidRDefault="00F170CD" w:rsidP="00F170CD">
            <w:pPr>
              <w:spacing w:before="60" w:line="240" w:lineRule="auto"/>
              <w:rPr>
                <w:rFonts w:ascii="Arial" w:hAnsi="Arial" w:cs="Arial"/>
                <w:color w:val="000000"/>
                <w:sz w:val="18"/>
                <w:szCs w:val="16"/>
              </w:rPr>
            </w:pPr>
            <w:r w:rsidRPr="000672D7">
              <w:rPr>
                <w:rFonts w:ascii="Arial" w:hAnsi="Arial" w:cs="Arial"/>
                <w:color w:val="000000"/>
                <w:sz w:val="18"/>
                <w:szCs w:val="16"/>
              </w:rPr>
              <w:t>• Short-term employee benefits which include:</w:t>
            </w:r>
          </w:p>
          <w:p w:rsidR="00F170CD" w:rsidRDefault="00F170CD" w:rsidP="00F170CD">
            <w:pPr>
              <w:spacing w:before="40" w:line="240" w:lineRule="auto"/>
              <w:ind w:left="226" w:hanging="113"/>
              <w:rPr>
                <w:rFonts w:ascii="Arial" w:hAnsi="Arial" w:cs="Arial"/>
                <w:color w:val="000000"/>
                <w:sz w:val="18"/>
                <w:szCs w:val="16"/>
              </w:rPr>
            </w:pPr>
            <w:r w:rsidRPr="000672D7">
              <w:rPr>
                <w:rFonts w:ascii="Arial" w:hAnsi="Arial" w:cs="Arial"/>
                <w:color w:val="000000"/>
                <w:sz w:val="18"/>
                <w:szCs w:val="16"/>
              </w:rPr>
              <w:t xml:space="preserve">– Base — consisting of base salary, allowances and leave entitlements paid and provided for the entire year or for that part of the year during which the employee </w:t>
            </w:r>
            <w:r>
              <w:rPr>
                <w:rFonts w:ascii="Arial" w:hAnsi="Arial" w:cs="Arial"/>
                <w:color w:val="000000"/>
                <w:sz w:val="18"/>
                <w:szCs w:val="16"/>
              </w:rPr>
              <w:t>occupied the specified position</w:t>
            </w:r>
          </w:p>
          <w:p w:rsidR="00F170CD" w:rsidRPr="000672D7" w:rsidRDefault="00F170CD" w:rsidP="00F170CD">
            <w:pPr>
              <w:spacing w:before="40" w:line="240" w:lineRule="auto"/>
              <w:ind w:left="226" w:hanging="113"/>
              <w:rPr>
                <w:rFonts w:ascii="Arial" w:hAnsi="Arial" w:cs="Arial"/>
                <w:color w:val="000000"/>
                <w:sz w:val="18"/>
                <w:szCs w:val="16"/>
              </w:rPr>
            </w:pPr>
            <w:r w:rsidRPr="000672D7">
              <w:rPr>
                <w:rFonts w:ascii="Arial" w:hAnsi="Arial" w:cs="Arial"/>
                <w:color w:val="000000"/>
                <w:sz w:val="18"/>
                <w:szCs w:val="16"/>
              </w:rPr>
              <w:t>– Non-monetary benefits — consisting of provision of vehicle together with fringe benefits tax applicable to the benefit.</w:t>
            </w:r>
          </w:p>
          <w:p w:rsidR="00F170CD" w:rsidRDefault="00F170CD" w:rsidP="00F170CD">
            <w:pPr>
              <w:spacing w:before="60" w:line="240" w:lineRule="auto"/>
              <w:rPr>
                <w:rFonts w:ascii="Arial" w:hAnsi="Arial" w:cs="Arial"/>
                <w:color w:val="000000"/>
                <w:sz w:val="18"/>
                <w:szCs w:val="16"/>
              </w:rPr>
            </w:pPr>
            <w:r w:rsidRPr="000672D7">
              <w:rPr>
                <w:rFonts w:ascii="Arial" w:hAnsi="Arial" w:cs="Arial"/>
                <w:color w:val="000000"/>
                <w:sz w:val="18"/>
                <w:szCs w:val="16"/>
              </w:rPr>
              <w:t>• Long-term employee benefits include long service leave accrued.</w:t>
            </w:r>
          </w:p>
          <w:p w:rsidR="00F170CD" w:rsidRDefault="00F170CD" w:rsidP="00F170CD">
            <w:pPr>
              <w:spacing w:before="60" w:line="240" w:lineRule="auto"/>
              <w:rPr>
                <w:rFonts w:ascii="Arial" w:hAnsi="Arial" w:cs="Arial"/>
                <w:color w:val="000000"/>
                <w:sz w:val="18"/>
                <w:szCs w:val="16"/>
              </w:rPr>
            </w:pPr>
            <w:r w:rsidRPr="000672D7">
              <w:rPr>
                <w:rFonts w:ascii="Arial" w:hAnsi="Arial" w:cs="Arial"/>
                <w:color w:val="000000"/>
                <w:sz w:val="18"/>
                <w:szCs w:val="16"/>
              </w:rPr>
              <w:t>• Post-employment benefits include amounts expensed in respect of employer superannuation obligations.</w:t>
            </w:r>
          </w:p>
          <w:p w:rsidR="00F170CD" w:rsidRDefault="00F170CD" w:rsidP="00F170CD">
            <w:pPr>
              <w:spacing w:line="240" w:lineRule="auto"/>
              <w:ind w:left="113" w:hanging="113"/>
              <w:rPr>
                <w:rFonts w:ascii="Arial" w:hAnsi="Arial" w:cs="Arial"/>
                <w:color w:val="000000"/>
                <w:sz w:val="18"/>
                <w:szCs w:val="16"/>
              </w:rPr>
            </w:pPr>
            <w:r w:rsidRPr="000672D7">
              <w:rPr>
                <w:rFonts w:ascii="Arial" w:hAnsi="Arial" w:cs="Arial"/>
                <w:color w:val="000000"/>
                <w:sz w:val="18"/>
                <w:szCs w:val="16"/>
              </w:rPr>
              <w:t>• Redundancy payments are not provided for within individual contracts of employment. Contracts of employment provide only for notice periods or payment in lieu of notice on termination, regardless of the reason for termination.</w:t>
            </w:r>
          </w:p>
          <w:p w:rsidR="00F170CD" w:rsidRDefault="00F170CD" w:rsidP="00F170CD">
            <w:pPr>
              <w:spacing w:line="240" w:lineRule="auto"/>
              <w:ind w:left="113" w:hanging="113"/>
              <w:rPr>
                <w:rFonts w:ascii="Arial" w:hAnsi="Arial" w:cs="Arial"/>
                <w:color w:val="000000"/>
                <w:sz w:val="18"/>
                <w:szCs w:val="16"/>
              </w:rPr>
            </w:pPr>
            <w:r w:rsidRPr="000672D7">
              <w:rPr>
                <w:rFonts w:ascii="Arial" w:hAnsi="Arial" w:cs="Arial"/>
                <w:color w:val="000000"/>
                <w:sz w:val="18"/>
                <w:szCs w:val="16"/>
              </w:rPr>
              <w:t>• Performance bonuses are not paid under the contracts in place.</w:t>
            </w:r>
          </w:p>
          <w:p w:rsidR="00F170CD" w:rsidRPr="000672D7" w:rsidRDefault="00F170CD" w:rsidP="00F170CD">
            <w:pPr>
              <w:spacing w:line="240" w:lineRule="auto"/>
              <w:ind w:hanging="13"/>
              <w:rPr>
                <w:rFonts w:ascii="Arial" w:hAnsi="Arial" w:cs="Arial"/>
                <w:color w:val="000000"/>
                <w:sz w:val="18"/>
                <w:szCs w:val="16"/>
              </w:rPr>
            </w:pPr>
            <w:r w:rsidRPr="000672D7">
              <w:rPr>
                <w:rFonts w:ascii="Arial" w:hAnsi="Arial" w:cs="Arial"/>
                <w:color w:val="000000"/>
                <w:sz w:val="18"/>
                <w:szCs w:val="16"/>
              </w:rPr>
              <w:t>Total fixed remuneration is calculated on a ‘total cost’ basis and includes the base and non-monetary benefits, long-term employee benefits and post-employment benefits.</w:t>
            </w:r>
          </w:p>
        </w:tc>
      </w:tr>
      <w:tr w:rsidR="00D34C53" w:rsidRPr="00C11EFE" w:rsidTr="00F170CD">
        <w:trPr>
          <w:trHeight w:val="255"/>
        </w:trPr>
        <w:tc>
          <w:tcPr>
            <w:tcW w:w="333" w:type="dxa"/>
            <w:tcBorders>
              <w:top w:val="nil"/>
              <w:left w:val="nil"/>
              <w:bottom w:val="nil"/>
              <w:right w:val="nil"/>
            </w:tcBorders>
            <w:shd w:val="clear" w:color="auto" w:fill="auto"/>
            <w:noWrap/>
            <w:vAlign w:val="bottom"/>
            <w:hideMark/>
          </w:tcPr>
          <w:p w:rsidR="00D34C53" w:rsidRPr="00C11EFE" w:rsidRDefault="00D34C53" w:rsidP="00F170CD">
            <w:pPr>
              <w:spacing w:before="240" w:line="240" w:lineRule="auto"/>
              <w:rPr>
                <w:rFonts w:ascii="Arial" w:hAnsi="Arial" w:cs="Arial"/>
                <w:b/>
                <w:bCs/>
                <w:color w:val="000000"/>
              </w:rPr>
            </w:pPr>
          </w:p>
        </w:tc>
        <w:tc>
          <w:tcPr>
            <w:tcW w:w="9002" w:type="dxa"/>
            <w:gridSpan w:val="7"/>
            <w:tcBorders>
              <w:top w:val="nil"/>
              <w:left w:val="nil"/>
              <w:bottom w:val="nil"/>
              <w:right w:val="nil"/>
            </w:tcBorders>
            <w:shd w:val="clear" w:color="auto" w:fill="auto"/>
            <w:noWrap/>
            <w:vAlign w:val="bottom"/>
            <w:hideMark/>
          </w:tcPr>
          <w:p w:rsidR="00D34C53" w:rsidRPr="00C11EFE" w:rsidRDefault="00D34C53" w:rsidP="00F170CD">
            <w:pPr>
              <w:spacing w:before="240" w:line="240" w:lineRule="auto"/>
              <w:rPr>
                <w:rFonts w:ascii="Arial" w:hAnsi="Arial" w:cs="Arial"/>
                <w:b/>
                <w:bCs/>
                <w:color w:val="000000"/>
              </w:rPr>
            </w:pPr>
            <w:r w:rsidRPr="00C11EFE">
              <w:rPr>
                <w:rFonts w:ascii="Arial" w:hAnsi="Arial" w:cs="Arial"/>
                <w:b/>
                <w:bCs/>
                <w:color w:val="000000"/>
              </w:rPr>
              <w:t xml:space="preserve">1 July 2013 </w:t>
            </w:r>
            <w:r w:rsidR="00FA5556" w:rsidRPr="00C11EFE">
              <w:rPr>
                <w:rFonts w:ascii="Arial" w:hAnsi="Arial" w:cs="Arial"/>
                <w:b/>
                <w:bCs/>
                <w:color w:val="000000"/>
              </w:rPr>
              <w:t>–</w:t>
            </w:r>
            <w:r w:rsidRPr="00C11EFE">
              <w:rPr>
                <w:rFonts w:ascii="Arial" w:hAnsi="Arial" w:cs="Arial"/>
                <w:b/>
                <w:bCs/>
                <w:color w:val="000000"/>
              </w:rPr>
              <w:t xml:space="preserve"> 30 June 2014</w:t>
            </w:r>
          </w:p>
        </w:tc>
      </w:tr>
      <w:tr w:rsidR="00D34C53" w:rsidRPr="00D34C53" w:rsidTr="00F170CD">
        <w:trPr>
          <w:trHeight w:val="5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16"/>
                <w:szCs w:val="16"/>
              </w:rPr>
            </w:pPr>
          </w:p>
        </w:tc>
        <w:tc>
          <w:tcPr>
            <w:tcW w:w="2551" w:type="dxa"/>
            <w:vMerge w:val="restart"/>
            <w:tcBorders>
              <w:top w:val="nil"/>
              <w:left w:val="nil"/>
              <w:bottom w:val="nil"/>
              <w:right w:val="nil"/>
            </w:tcBorders>
            <w:shd w:val="clear" w:color="auto" w:fill="auto"/>
            <w:noWrap/>
            <w:vAlign w:val="center"/>
            <w:hideMark/>
          </w:tcPr>
          <w:p w:rsidR="00D34C53" w:rsidRPr="00D34C53" w:rsidRDefault="00D34C53" w:rsidP="00D34C53">
            <w:pPr>
              <w:spacing w:before="0" w:line="240" w:lineRule="auto"/>
              <w:jc w:val="center"/>
              <w:rPr>
                <w:rFonts w:ascii="Arial" w:hAnsi="Arial" w:cs="Arial"/>
                <w:b/>
                <w:bCs/>
                <w:color w:val="000000"/>
                <w:sz w:val="16"/>
                <w:szCs w:val="16"/>
              </w:rPr>
            </w:pPr>
            <w:r w:rsidRPr="00F170CD">
              <w:rPr>
                <w:rFonts w:ascii="Arial" w:hAnsi="Arial" w:cs="Arial"/>
                <w:b/>
                <w:bCs/>
                <w:color w:val="000000"/>
                <w:sz w:val="18"/>
                <w:szCs w:val="16"/>
              </w:rPr>
              <w:t>Position</w:t>
            </w:r>
          </w:p>
        </w:tc>
        <w:tc>
          <w:tcPr>
            <w:tcW w:w="2126" w:type="dxa"/>
            <w:gridSpan w:val="2"/>
            <w:tcBorders>
              <w:top w:val="nil"/>
              <w:left w:val="nil"/>
              <w:bottom w:val="nil"/>
              <w:right w:val="nil"/>
            </w:tcBorders>
            <w:shd w:val="clear" w:color="auto" w:fill="auto"/>
            <w:vAlign w:val="center"/>
            <w:hideMark/>
          </w:tcPr>
          <w:p w:rsidR="00D34C53" w:rsidRPr="001027FD" w:rsidRDefault="004E235F" w:rsidP="00D34C53">
            <w:pPr>
              <w:spacing w:before="0" w:line="240" w:lineRule="auto"/>
              <w:jc w:val="center"/>
              <w:rPr>
                <w:rFonts w:ascii="Arial" w:hAnsi="Arial" w:cs="Arial"/>
                <w:b/>
                <w:bCs/>
                <w:color w:val="000000"/>
                <w:sz w:val="16"/>
                <w:szCs w:val="16"/>
              </w:rPr>
            </w:pPr>
            <w:r>
              <w:rPr>
                <w:rFonts w:ascii="Arial" w:hAnsi="Arial" w:cs="Arial"/>
                <w:b/>
                <w:bCs/>
                <w:color w:val="000000"/>
                <w:sz w:val="16"/>
                <w:szCs w:val="16"/>
              </w:rPr>
              <w:t>Short-term</w:t>
            </w:r>
            <w:r w:rsidR="00D34C53" w:rsidRPr="001027FD">
              <w:rPr>
                <w:rFonts w:ascii="Arial" w:hAnsi="Arial" w:cs="Arial"/>
                <w:b/>
                <w:bCs/>
                <w:color w:val="000000"/>
                <w:sz w:val="16"/>
                <w:szCs w:val="16"/>
              </w:rPr>
              <w:t xml:space="preserve"> employee benefits </w:t>
            </w:r>
          </w:p>
        </w:tc>
        <w:tc>
          <w:tcPr>
            <w:tcW w:w="1081" w:type="dxa"/>
            <w:tcBorders>
              <w:top w:val="nil"/>
              <w:left w:val="nil"/>
              <w:bottom w:val="nil"/>
              <w:right w:val="nil"/>
            </w:tcBorders>
            <w:shd w:val="clear" w:color="auto" w:fill="auto"/>
            <w:vAlign w:val="center"/>
            <w:hideMark/>
          </w:tcPr>
          <w:p w:rsidR="00D34C53" w:rsidRPr="001027FD" w:rsidRDefault="004E235F" w:rsidP="00D34C53">
            <w:pPr>
              <w:spacing w:before="0" w:line="240" w:lineRule="auto"/>
              <w:jc w:val="center"/>
              <w:rPr>
                <w:rFonts w:ascii="Arial" w:hAnsi="Arial" w:cs="Arial"/>
                <w:b/>
                <w:bCs/>
                <w:color w:val="000000"/>
                <w:sz w:val="16"/>
                <w:szCs w:val="16"/>
              </w:rPr>
            </w:pPr>
            <w:r>
              <w:rPr>
                <w:rFonts w:ascii="Arial" w:hAnsi="Arial" w:cs="Arial"/>
                <w:b/>
                <w:bCs/>
                <w:color w:val="000000"/>
                <w:sz w:val="16"/>
                <w:szCs w:val="16"/>
              </w:rPr>
              <w:t>Long-term</w:t>
            </w:r>
            <w:r w:rsidR="00D34C53" w:rsidRPr="001027FD">
              <w:rPr>
                <w:rFonts w:ascii="Arial" w:hAnsi="Arial" w:cs="Arial"/>
                <w:b/>
                <w:bCs/>
                <w:color w:val="000000"/>
                <w:sz w:val="16"/>
                <w:szCs w:val="16"/>
              </w:rPr>
              <w:t xml:space="preserve"> employee benefits </w:t>
            </w:r>
          </w:p>
        </w:tc>
        <w:tc>
          <w:tcPr>
            <w:tcW w:w="1081" w:type="dxa"/>
            <w:tcBorders>
              <w:top w:val="nil"/>
              <w:left w:val="nil"/>
              <w:bottom w:val="nil"/>
              <w:right w:val="nil"/>
            </w:tcBorders>
            <w:shd w:val="clear" w:color="auto" w:fill="auto"/>
            <w:vAlign w:val="center"/>
            <w:hideMark/>
          </w:tcPr>
          <w:p w:rsidR="00D34C53" w:rsidRPr="001027FD" w:rsidRDefault="008875B5" w:rsidP="00D34C53">
            <w:pPr>
              <w:spacing w:before="0" w:line="240" w:lineRule="auto"/>
              <w:jc w:val="center"/>
              <w:rPr>
                <w:rFonts w:ascii="Arial" w:hAnsi="Arial" w:cs="Arial"/>
                <w:b/>
                <w:bCs/>
                <w:color w:val="000000"/>
                <w:sz w:val="16"/>
                <w:szCs w:val="16"/>
              </w:rPr>
            </w:pPr>
            <w:r>
              <w:rPr>
                <w:rFonts w:ascii="Arial" w:hAnsi="Arial" w:cs="Arial"/>
                <w:b/>
                <w:bCs/>
                <w:color w:val="000000"/>
                <w:sz w:val="16"/>
                <w:szCs w:val="16"/>
              </w:rPr>
              <w:t>Post-</w:t>
            </w:r>
            <w:r w:rsidR="00D34C53" w:rsidRPr="001027FD">
              <w:rPr>
                <w:rFonts w:ascii="Arial" w:hAnsi="Arial" w:cs="Arial"/>
                <w:b/>
                <w:bCs/>
                <w:color w:val="000000"/>
                <w:sz w:val="16"/>
                <w:szCs w:val="16"/>
              </w:rPr>
              <w:t xml:space="preserve">employment benefits </w:t>
            </w:r>
          </w:p>
        </w:tc>
        <w:tc>
          <w:tcPr>
            <w:tcW w:w="1081" w:type="dxa"/>
            <w:tcBorders>
              <w:top w:val="nil"/>
              <w:left w:val="nil"/>
              <w:bottom w:val="nil"/>
              <w:right w:val="nil"/>
            </w:tcBorders>
            <w:shd w:val="clear" w:color="auto" w:fill="auto"/>
            <w:vAlign w:val="center"/>
            <w:hideMark/>
          </w:tcPr>
          <w:p w:rsidR="00D34C53" w:rsidRPr="001027FD" w:rsidRDefault="00D34C53" w:rsidP="00D34C53">
            <w:pPr>
              <w:spacing w:before="0" w:line="240" w:lineRule="auto"/>
              <w:jc w:val="center"/>
              <w:rPr>
                <w:rFonts w:ascii="Arial" w:hAnsi="Arial" w:cs="Arial"/>
                <w:b/>
                <w:bCs/>
                <w:color w:val="000000"/>
                <w:sz w:val="16"/>
                <w:szCs w:val="16"/>
              </w:rPr>
            </w:pPr>
            <w:r w:rsidRPr="001027FD">
              <w:rPr>
                <w:rFonts w:ascii="Arial" w:hAnsi="Arial" w:cs="Arial"/>
                <w:b/>
                <w:bCs/>
                <w:color w:val="000000"/>
                <w:sz w:val="16"/>
                <w:szCs w:val="16"/>
              </w:rPr>
              <w:t xml:space="preserve">Termination benefits </w:t>
            </w:r>
          </w:p>
        </w:tc>
        <w:tc>
          <w:tcPr>
            <w:tcW w:w="1082" w:type="dxa"/>
            <w:tcBorders>
              <w:top w:val="nil"/>
              <w:left w:val="nil"/>
              <w:bottom w:val="nil"/>
              <w:right w:val="nil"/>
            </w:tcBorders>
            <w:shd w:val="clear" w:color="auto" w:fill="auto"/>
            <w:vAlign w:val="center"/>
            <w:hideMark/>
          </w:tcPr>
          <w:p w:rsidR="00D34C53" w:rsidRPr="001027FD" w:rsidRDefault="00D34C53" w:rsidP="00D34C53">
            <w:pPr>
              <w:spacing w:before="0" w:line="240" w:lineRule="auto"/>
              <w:jc w:val="center"/>
              <w:rPr>
                <w:rFonts w:ascii="Arial" w:hAnsi="Arial" w:cs="Arial"/>
                <w:b/>
                <w:bCs/>
                <w:color w:val="000000"/>
                <w:sz w:val="16"/>
                <w:szCs w:val="16"/>
              </w:rPr>
            </w:pPr>
            <w:r w:rsidRPr="001027FD">
              <w:rPr>
                <w:rFonts w:ascii="Arial" w:hAnsi="Arial" w:cs="Arial"/>
                <w:b/>
                <w:bCs/>
                <w:color w:val="000000"/>
                <w:sz w:val="16"/>
                <w:szCs w:val="16"/>
              </w:rPr>
              <w:t xml:space="preserve">Total Remuneration </w:t>
            </w:r>
          </w:p>
        </w:tc>
      </w:tr>
      <w:tr w:rsidR="00D34C53" w:rsidRPr="00D34C53" w:rsidTr="00F170CD">
        <w:trPr>
          <w:trHeight w:val="202"/>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16"/>
                <w:szCs w:val="16"/>
              </w:rPr>
            </w:pPr>
          </w:p>
        </w:tc>
        <w:tc>
          <w:tcPr>
            <w:tcW w:w="2551" w:type="dxa"/>
            <w:vMerge/>
            <w:tcBorders>
              <w:top w:val="nil"/>
              <w:left w:val="nil"/>
              <w:bottom w:val="nil"/>
              <w:right w:val="nil"/>
            </w:tcBorders>
            <w:vAlign w:val="center"/>
            <w:hideMark/>
          </w:tcPr>
          <w:p w:rsidR="00D34C53" w:rsidRPr="00D34C53" w:rsidRDefault="00D34C53" w:rsidP="00D34C53">
            <w:pPr>
              <w:spacing w:before="0" w:line="240" w:lineRule="auto"/>
              <w:rPr>
                <w:rFonts w:ascii="Arial" w:hAnsi="Arial" w:cs="Arial"/>
                <w:b/>
                <w:bCs/>
                <w:color w:val="000000"/>
                <w:sz w:val="16"/>
                <w:szCs w:val="16"/>
              </w:rPr>
            </w:pPr>
          </w:p>
        </w:tc>
        <w:tc>
          <w:tcPr>
            <w:tcW w:w="953" w:type="dxa"/>
            <w:tcBorders>
              <w:top w:val="nil"/>
              <w:left w:val="nil"/>
              <w:bottom w:val="nil"/>
              <w:right w:val="nil"/>
            </w:tcBorders>
            <w:shd w:val="clear" w:color="auto" w:fill="auto"/>
            <w:vAlign w:val="center"/>
            <w:hideMark/>
          </w:tcPr>
          <w:p w:rsidR="00D34C53" w:rsidRPr="0007006E" w:rsidRDefault="00D34C53" w:rsidP="004E235F">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 xml:space="preserve">Base </w:t>
            </w:r>
            <w:r w:rsidRPr="0007006E">
              <w:rPr>
                <w:rFonts w:ascii="Arial" w:hAnsi="Arial" w:cs="Arial"/>
                <w:b/>
                <w:bCs/>
                <w:color w:val="000000"/>
                <w:sz w:val="16"/>
                <w:szCs w:val="16"/>
              </w:rPr>
              <w:br/>
              <w:t>$'000</w:t>
            </w:r>
          </w:p>
        </w:tc>
        <w:tc>
          <w:tcPr>
            <w:tcW w:w="1173" w:type="dxa"/>
            <w:tcBorders>
              <w:top w:val="nil"/>
              <w:left w:val="nil"/>
              <w:bottom w:val="nil"/>
              <w:right w:val="nil"/>
            </w:tcBorders>
            <w:shd w:val="clear" w:color="auto" w:fill="auto"/>
            <w:vAlign w:val="center"/>
            <w:hideMark/>
          </w:tcPr>
          <w:p w:rsidR="00D34C53" w:rsidRPr="0007006E" w:rsidRDefault="00D34C53" w:rsidP="004E235F">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Non</w:t>
            </w:r>
            <w:r w:rsidR="00FA5556">
              <w:rPr>
                <w:rFonts w:ascii="Arial" w:hAnsi="Arial" w:cs="Arial"/>
                <w:b/>
                <w:bCs/>
                <w:color w:val="000000"/>
                <w:sz w:val="16"/>
                <w:szCs w:val="16"/>
              </w:rPr>
              <w:t>-</w:t>
            </w:r>
            <w:r w:rsidRPr="0007006E">
              <w:rPr>
                <w:rFonts w:ascii="Arial" w:hAnsi="Arial" w:cs="Arial"/>
                <w:b/>
                <w:bCs/>
                <w:color w:val="000000"/>
                <w:sz w:val="16"/>
                <w:szCs w:val="16"/>
              </w:rPr>
              <w:t>monetary benefits</w:t>
            </w:r>
            <w:r w:rsidRPr="0007006E">
              <w:rPr>
                <w:rFonts w:ascii="Arial" w:hAnsi="Arial" w:cs="Arial"/>
                <w:b/>
                <w:bCs/>
                <w:color w:val="000000"/>
                <w:sz w:val="16"/>
                <w:szCs w:val="16"/>
              </w:rPr>
              <w:br/>
              <w:t>$'000</w:t>
            </w:r>
          </w:p>
        </w:tc>
        <w:tc>
          <w:tcPr>
            <w:tcW w:w="1081" w:type="dxa"/>
            <w:tcBorders>
              <w:top w:val="nil"/>
              <w:left w:val="nil"/>
              <w:bottom w:val="nil"/>
              <w:right w:val="nil"/>
            </w:tcBorders>
            <w:shd w:val="clear" w:color="auto" w:fill="auto"/>
            <w:noWrap/>
            <w:vAlign w:val="center"/>
            <w:hideMark/>
          </w:tcPr>
          <w:p w:rsidR="00D34C53" w:rsidRPr="0007006E" w:rsidRDefault="00D34C53" w:rsidP="004E235F">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$'000</w:t>
            </w:r>
          </w:p>
        </w:tc>
        <w:tc>
          <w:tcPr>
            <w:tcW w:w="1081" w:type="dxa"/>
            <w:tcBorders>
              <w:top w:val="nil"/>
              <w:left w:val="nil"/>
              <w:bottom w:val="nil"/>
              <w:right w:val="nil"/>
            </w:tcBorders>
            <w:shd w:val="clear" w:color="auto" w:fill="auto"/>
            <w:noWrap/>
            <w:vAlign w:val="center"/>
            <w:hideMark/>
          </w:tcPr>
          <w:p w:rsidR="00D34C53" w:rsidRPr="0007006E" w:rsidRDefault="00D34C53" w:rsidP="004E235F">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$'000</w:t>
            </w:r>
          </w:p>
        </w:tc>
        <w:tc>
          <w:tcPr>
            <w:tcW w:w="1081" w:type="dxa"/>
            <w:tcBorders>
              <w:top w:val="nil"/>
              <w:left w:val="nil"/>
              <w:bottom w:val="nil"/>
              <w:right w:val="nil"/>
            </w:tcBorders>
            <w:shd w:val="clear" w:color="auto" w:fill="auto"/>
            <w:noWrap/>
            <w:vAlign w:val="center"/>
            <w:hideMark/>
          </w:tcPr>
          <w:p w:rsidR="00D34C53" w:rsidRPr="0007006E" w:rsidRDefault="00D34C53" w:rsidP="004E235F">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$'000</w:t>
            </w:r>
          </w:p>
        </w:tc>
        <w:tc>
          <w:tcPr>
            <w:tcW w:w="1082" w:type="dxa"/>
            <w:tcBorders>
              <w:top w:val="nil"/>
              <w:left w:val="nil"/>
              <w:bottom w:val="nil"/>
              <w:right w:val="nil"/>
            </w:tcBorders>
            <w:shd w:val="clear" w:color="auto" w:fill="auto"/>
            <w:noWrap/>
            <w:vAlign w:val="center"/>
            <w:hideMark/>
          </w:tcPr>
          <w:p w:rsidR="00D34C53" w:rsidRPr="0007006E" w:rsidRDefault="00D34C53" w:rsidP="004E235F">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$'000</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16"/>
                <w:szCs w:val="16"/>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Chief Executive Officer</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205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14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4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21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244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16"/>
                <w:szCs w:val="16"/>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Acting Deputy Director,</w:t>
            </w:r>
            <w:r w:rsidRPr="000672D7">
              <w:rPr>
                <w:rFonts w:ascii="Arial" w:hAnsi="Arial" w:cs="Arial"/>
                <w:color w:val="000000"/>
                <w:sz w:val="18"/>
                <w:szCs w:val="16"/>
              </w:rPr>
              <w:br/>
              <w:t>Curriculum Services Division</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175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6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4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16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174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375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16"/>
                <w:szCs w:val="16"/>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Acting Deputy Director,</w:t>
            </w:r>
            <w:r w:rsidRPr="000672D7">
              <w:rPr>
                <w:rFonts w:ascii="Arial" w:hAnsi="Arial" w:cs="Arial"/>
                <w:color w:val="000000"/>
                <w:sz w:val="18"/>
                <w:szCs w:val="16"/>
              </w:rPr>
              <w:br/>
              <w:t>Assessment and Reporting Division</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180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4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16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200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16"/>
                <w:szCs w:val="16"/>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Deputy Director,</w:t>
            </w:r>
            <w:r w:rsidRPr="000672D7">
              <w:rPr>
                <w:rFonts w:ascii="Arial" w:hAnsi="Arial" w:cs="Arial"/>
                <w:color w:val="000000"/>
                <w:sz w:val="18"/>
                <w:szCs w:val="16"/>
              </w:rPr>
              <w:br/>
              <w:t>Corporate &amp; Information Services Division</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165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10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3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17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195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16"/>
                <w:szCs w:val="16"/>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Assistant Director,</w:t>
            </w:r>
            <w:r w:rsidRPr="000672D7">
              <w:rPr>
                <w:rFonts w:ascii="Arial" w:hAnsi="Arial" w:cs="Arial"/>
                <w:color w:val="000000"/>
                <w:sz w:val="18"/>
                <w:szCs w:val="16"/>
              </w:rPr>
              <w:br/>
              <w:t>Policy Coordination Branch</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134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3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16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153 </w:t>
            </w:r>
          </w:p>
        </w:tc>
      </w:tr>
      <w:tr w:rsidR="00D34C53" w:rsidRPr="00D34C53" w:rsidTr="00F170CD">
        <w:trPr>
          <w:trHeight w:val="45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16"/>
                <w:szCs w:val="16"/>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b/>
                <w:bCs/>
                <w:color w:val="000000"/>
                <w:sz w:val="18"/>
                <w:szCs w:val="16"/>
              </w:rPr>
            </w:pPr>
            <w:r w:rsidRPr="000672D7">
              <w:rPr>
                <w:rFonts w:ascii="Arial" w:hAnsi="Arial" w:cs="Arial"/>
                <w:b/>
                <w:bCs/>
                <w:color w:val="000000"/>
                <w:sz w:val="18"/>
                <w:szCs w:val="16"/>
              </w:rPr>
              <w:t>Total Remuneration</w:t>
            </w:r>
          </w:p>
        </w:tc>
        <w:tc>
          <w:tcPr>
            <w:tcW w:w="953" w:type="dxa"/>
            <w:tcBorders>
              <w:top w:val="single" w:sz="4" w:space="0" w:color="auto"/>
              <w:left w:val="nil"/>
              <w:bottom w:val="double" w:sz="6" w:space="0" w:color="auto"/>
              <w:right w:val="nil"/>
            </w:tcBorders>
            <w:shd w:val="clear" w:color="000000" w:fill="D9D9D9"/>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859 </w:t>
            </w:r>
          </w:p>
        </w:tc>
        <w:tc>
          <w:tcPr>
            <w:tcW w:w="1173" w:type="dxa"/>
            <w:tcBorders>
              <w:top w:val="single" w:sz="4" w:space="0" w:color="auto"/>
              <w:left w:val="nil"/>
              <w:bottom w:val="double" w:sz="6" w:space="0" w:color="auto"/>
              <w:right w:val="nil"/>
            </w:tcBorders>
            <w:shd w:val="clear" w:color="000000" w:fill="D9D9D9"/>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30 </w:t>
            </w:r>
          </w:p>
        </w:tc>
        <w:tc>
          <w:tcPr>
            <w:tcW w:w="1081" w:type="dxa"/>
            <w:tcBorders>
              <w:top w:val="single" w:sz="4" w:space="0" w:color="auto"/>
              <w:left w:val="nil"/>
              <w:bottom w:val="double" w:sz="6" w:space="0" w:color="auto"/>
              <w:right w:val="nil"/>
            </w:tcBorders>
            <w:shd w:val="clear" w:color="000000" w:fill="D9D9D9"/>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18 </w:t>
            </w:r>
          </w:p>
        </w:tc>
        <w:tc>
          <w:tcPr>
            <w:tcW w:w="1081" w:type="dxa"/>
            <w:tcBorders>
              <w:top w:val="single" w:sz="4" w:space="0" w:color="auto"/>
              <w:left w:val="nil"/>
              <w:bottom w:val="double" w:sz="6" w:space="0" w:color="auto"/>
              <w:right w:val="nil"/>
            </w:tcBorders>
            <w:shd w:val="clear" w:color="000000" w:fill="D9D9D9"/>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86 </w:t>
            </w:r>
          </w:p>
        </w:tc>
        <w:tc>
          <w:tcPr>
            <w:tcW w:w="1081" w:type="dxa"/>
            <w:tcBorders>
              <w:top w:val="single" w:sz="4" w:space="0" w:color="auto"/>
              <w:left w:val="nil"/>
              <w:bottom w:val="double" w:sz="6" w:space="0" w:color="auto"/>
              <w:right w:val="nil"/>
            </w:tcBorders>
            <w:shd w:val="clear" w:color="000000" w:fill="D9D9D9"/>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174 </w:t>
            </w:r>
          </w:p>
        </w:tc>
        <w:tc>
          <w:tcPr>
            <w:tcW w:w="1082" w:type="dxa"/>
            <w:tcBorders>
              <w:top w:val="single" w:sz="4" w:space="0" w:color="auto"/>
              <w:left w:val="nil"/>
              <w:bottom w:val="double" w:sz="6" w:space="0" w:color="auto"/>
              <w:right w:val="nil"/>
            </w:tcBorders>
            <w:shd w:val="clear" w:color="000000" w:fill="D9D9D9"/>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1,167 </w:t>
            </w:r>
          </w:p>
        </w:tc>
      </w:tr>
      <w:tr w:rsidR="0007006E" w:rsidRPr="00C11EFE" w:rsidTr="00F170CD">
        <w:trPr>
          <w:trHeight w:val="255"/>
        </w:trPr>
        <w:tc>
          <w:tcPr>
            <w:tcW w:w="333" w:type="dxa"/>
            <w:tcBorders>
              <w:top w:val="nil"/>
              <w:left w:val="nil"/>
              <w:bottom w:val="nil"/>
              <w:right w:val="nil"/>
            </w:tcBorders>
            <w:shd w:val="clear" w:color="auto" w:fill="auto"/>
            <w:noWrap/>
            <w:vAlign w:val="bottom"/>
            <w:hideMark/>
          </w:tcPr>
          <w:p w:rsidR="0007006E" w:rsidRPr="00C11EFE" w:rsidRDefault="0007006E" w:rsidP="00F170CD">
            <w:pPr>
              <w:spacing w:before="240" w:line="240" w:lineRule="auto"/>
              <w:rPr>
                <w:rFonts w:ascii="Arial" w:hAnsi="Arial" w:cs="Arial"/>
                <w:bCs/>
                <w:color w:val="000000"/>
              </w:rPr>
            </w:pPr>
          </w:p>
        </w:tc>
        <w:tc>
          <w:tcPr>
            <w:tcW w:w="9002" w:type="dxa"/>
            <w:gridSpan w:val="7"/>
            <w:tcBorders>
              <w:top w:val="nil"/>
              <w:left w:val="nil"/>
              <w:bottom w:val="nil"/>
              <w:right w:val="nil"/>
            </w:tcBorders>
            <w:shd w:val="clear" w:color="auto" w:fill="auto"/>
            <w:noWrap/>
            <w:vAlign w:val="bottom"/>
            <w:hideMark/>
          </w:tcPr>
          <w:p w:rsidR="0007006E" w:rsidRPr="00C11EFE" w:rsidRDefault="0007006E" w:rsidP="00F170CD">
            <w:pPr>
              <w:spacing w:before="240" w:line="240" w:lineRule="auto"/>
              <w:rPr>
                <w:rFonts w:ascii="Arial" w:hAnsi="Arial" w:cs="Arial"/>
                <w:color w:val="000000"/>
              </w:rPr>
            </w:pPr>
            <w:r w:rsidRPr="00C11EFE">
              <w:rPr>
                <w:rFonts w:ascii="Arial" w:hAnsi="Arial" w:cs="Arial"/>
                <w:b/>
                <w:bCs/>
                <w:color w:val="000000"/>
              </w:rPr>
              <w:t xml:space="preserve">1 July 2012 </w:t>
            </w:r>
            <w:r w:rsidR="00FA5556" w:rsidRPr="00C11EFE">
              <w:rPr>
                <w:rFonts w:ascii="Arial" w:hAnsi="Arial" w:cs="Arial"/>
                <w:b/>
                <w:bCs/>
                <w:color w:val="000000"/>
              </w:rPr>
              <w:t>–</w:t>
            </w:r>
            <w:r w:rsidRPr="00C11EFE">
              <w:rPr>
                <w:rFonts w:ascii="Arial" w:hAnsi="Arial" w:cs="Arial"/>
                <w:b/>
                <w:bCs/>
                <w:color w:val="000000"/>
              </w:rPr>
              <w:t xml:space="preserve"> 30 June 2013</w:t>
            </w:r>
          </w:p>
        </w:tc>
      </w:tr>
      <w:tr w:rsidR="0007006E" w:rsidRPr="00D34C53" w:rsidTr="00F170CD">
        <w:trPr>
          <w:trHeight w:val="540"/>
        </w:trPr>
        <w:tc>
          <w:tcPr>
            <w:tcW w:w="333" w:type="dxa"/>
            <w:tcBorders>
              <w:top w:val="nil"/>
              <w:left w:val="nil"/>
              <w:bottom w:val="nil"/>
              <w:right w:val="nil"/>
            </w:tcBorders>
            <w:shd w:val="clear" w:color="auto" w:fill="auto"/>
            <w:noWrap/>
            <w:vAlign w:val="bottom"/>
            <w:hideMark/>
          </w:tcPr>
          <w:p w:rsidR="0007006E" w:rsidRPr="00F170CD" w:rsidRDefault="0007006E" w:rsidP="0007006E">
            <w:pPr>
              <w:spacing w:before="0" w:line="240" w:lineRule="auto"/>
              <w:rPr>
                <w:rFonts w:ascii="Arial" w:hAnsi="Arial" w:cs="Arial"/>
                <w:bCs/>
                <w:color w:val="000000"/>
                <w:sz w:val="16"/>
                <w:szCs w:val="16"/>
              </w:rPr>
            </w:pPr>
          </w:p>
        </w:tc>
        <w:tc>
          <w:tcPr>
            <w:tcW w:w="2551" w:type="dxa"/>
            <w:vMerge w:val="restart"/>
            <w:tcBorders>
              <w:top w:val="nil"/>
              <w:left w:val="nil"/>
              <w:bottom w:val="nil"/>
              <w:right w:val="nil"/>
            </w:tcBorders>
            <w:shd w:val="clear" w:color="auto" w:fill="auto"/>
            <w:noWrap/>
            <w:vAlign w:val="center"/>
            <w:hideMark/>
          </w:tcPr>
          <w:p w:rsidR="0007006E" w:rsidRPr="00D34C53" w:rsidRDefault="0007006E" w:rsidP="0007006E">
            <w:pPr>
              <w:spacing w:before="0" w:line="240" w:lineRule="auto"/>
              <w:jc w:val="center"/>
              <w:rPr>
                <w:rFonts w:ascii="Arial" w:hAnsi="Arial" w:cs="Arial"/>
                <w:b/>
                <w:bCs/>
                <w:color w:val="000000"/>
                <w:sz w:val="16"/>
                <w:szCs w:val="16"/>
              </w:rPr>
            </w:pPr>
            <w:r w:rsidRPr="00F170CD">
              <w:rPr>
                <w:rFonts w:ascii="Arial" w:hAnsi="Arial" w:cs="Arial"/>
                <w:b/>
                <w:bCs/>
                <w:color w:val="000000"/>
                <w:sz w:val="18"/>
                <w:szCs w:val="16"/>
              </w:rPr>
              <w:t>Position</w:t>
            </w:r>
          </w:p>
        </w:tc>
        <w:tc>
          <w:tcPr>
            <w:tcW w:w="2126" w:type="dxa"/>
            <w:gridSpan w:val="2"/>
            <w:tcBorders>
              <w:top w:val="nil"/>
              <w:left w:val="nil"/>
              <w:bottom w:val="nil"/>
              <w:right w:val="nil"/>
            </w:tcBorders>
            <w:shd w:val="clear" w:color="auto" w:fill="auto"/>
            <w:vAlign w:val="center"/>
            <w:hideMark/>
          </w:tcPr>
          <w:p w:rsidR="0007006E" w:rsidRPr="001027FD" w:rsidRDefault="004E235F" w:rsidP="0007006E">
            <w:pPr>
              <w:spacing w:before="0" w:line="240" w:lineRule="auto"/>
              <w:jc w:val="center"/>
              <w:rPr>
                <w:rFonts w:ascii="Arial" w:hAnsi="Arial" w:cs="Arial"/>
                <w:b/>
                <w:bCs/>
                <w:color w:val="000000"/>
                <w:sz w:val="16"/>
                <w:szCs w:val="16"/>
              </w:rPr>
            </w:pPr>
            <w:r>
              <w:rPr>
                <w:rFonts w:ascii="Arial" w:hAnsi="Arial" w:cs="Arial"/>
                <w:b/>
                <w:bCs/>
                <w:color w:val="000000"/>
                <w:sz w:val="16"/>
                <w:szCs w:val="16"/>
              </w:rPr>
              <w:t>Short-term</w:t>
            </w:r>
            <w:r w:rsidR="0007006E" w:rsidRPr="001027FD">
              <w:rPr>
                <w:rFonts w:ascii="Arial" w:hAnsi="Arial" w:cs="Arial"/>
                <w:b/>
                <w:bCs/>
                <w:color w:val="000000"/>
                <w:sz w:val="16"/>
                <w:szCs w:val="16"/>
              </w:rPr>
              <w:t xml:space="preserve"> employee benefits </w:t>
            </w:r>
          </w:p>
        </w:tc>
        <w:tc>
          <w:tcPr>
            <w:tcW w:w="1081" w:type="dxa"/>
            <w:tcBorders>
              <w:top w:val="nil"/>
              <w:left w:val="nil"/>
              <w:bottom w:val="nil"/>
              <w:right w:val="nil"/>
            </w:tcBorders>
            <w:shd w:val="clear" w:color="auto" w:fill="auto"/>
            <w:vAlign w:val="center"/>
            <w:hideMark/>
          </w:tcPr>
          <w:p w:rsidR="0007006E" w:rsidRPr="001027FD" w:rsidRDefault="004E235F" w:rsidP="0007006E">
            <w:pPr>
              <w:spacing w:before="0" w:line="240" w:lineRule="auto"/>
              <w:jc w:val="center"/>
              <w:rPr>
                <w:rFonts w:ascii="Arial" w:hAnsi="Arial" w:cs="Arial"/>
                <w:b/>
                <w:bCs/>
                <w:color w:val="000000"/>
                <w:sz w:val="16"/>
                <w:szCs w:val="16"/>
              </w:rPr>
            </w:pPr>
            <w:r>
              <w:rPr>
                <w:rFonts w:ascii="Arial" w:hAnsi="Arial" w:cs="Arial"/>
                <w:b/>
                <w:bCs/>
                <w:color w:val="000000"/>
                <w:sz w:val="16"/>
                <w:szCs w:val="16"/>
              </w:rPr>
              <w:t>Long-term</w:t>
            </w:r>
            <w:r w:rsidR="0007006E" w:rsidRPr="001027FD">
              <w:rPr>
                <w:rFonts w:ascii="Arial" w:hAnsi="Arial" w:cs="Arial"/>
                <w:b/>
                <w:bCs/>
                <w:color w:val="000000"/>
                <w:sz w:val="16"/>
                <w:szCs w:val="16"/>
              </w:rPr>
              <w:t xml:space="preserve"> employee benefits </w:t>
            </w:r>
          </w:p>
        </w:tc>
        <w:tc>
          <w:tcPr>
            <w:tcW w:w="1081" w:type="dxa"/>
            <w:tcBorders>
              <w:top w:val="nil"/>
              <w:left w:val="nil"/>
              <w:bottom w:val="nil"/>
              <w:right w:val="nil"/>
            </w:tcBorders>
            <w:shd w:val="clear" w:color="auto" w:fill="auto"/>
            <w:vAlign w:val="center"/>
            <w:hideMark/>
          </w:tcPr>
          <w:p w:rsidR="0007006E" w:rsidRPr="001027FD" w:rsidRDefault="008875B5" w:rsidP="0007006E">
            <w:pPr>
              <w:spacing w:before="0" w:line="240" w:lineRule="auto"/>
              <w:jc w:val="center"/>
              <w:rPr>
                <w:rFonts w:ascii="Arial" w:hAnsi="Arial" w:cs="Arial"/>
                <w:b/>
                <w:bCs/>
                <w:color w:val="000000"/>
                <w:sz w:val="16"/>
                <w:szCs w:val="16"/>
              </w:rPr>
            </w:pPr>
            <w:r>
              <w:rPr>
                <w:rFonts w:ascii="Arial" w:hAnsi="Arial" w:cs="Arial"/>
                <w:b/>
                <w:bCs/>
                <w:color w:val="000000"/>
                <w:sz w:val="16"/>
                <w:szCs w:val="16"/>
              </w:rPr>
              <w:t>Post-</w:t>
            </w:r>
            <w:r w:rsidR="0007006E" w:rsidRPr="001027FD">
              <w:rPr>
                <w:rFonts w:ascii="Arial" w:hAnsi="Arial" w:cs="Arial"/>
                <w:b/>
                <w:bCs/>
                <w:color w:val="000000"/>
                <w:sz w:val="16"/>
                <w:szCs w:val="16"/>
              </w:rPr>
              <w:t xml:space="preserve">employment benefits </w:t>
            </w:r>
          </w:p>
        </w:tc>
        <w:tc>
          <w:tcPr>
            <w:tcW w:w="1081" w:type="dxa"/>
            <w:tcBorders>
              <w:top w:val="nil"/>
              <w:left w:val="nil"/>
              <w:bottom w:val="nil"/>
              <w:right w:val="nil"/>
            </w:tcBorders>
            <w:shd w:val="clear" w:color="auto" w:fill="auto"/>
            <w:vAlign w:val="center"/>
            <w:hideMark/>
          </w:tcPr>
          <w:p w:rsidR="0007006E" w:rsidRPr="001027FD" w:rsidRDefault="0007006E" w:rsidP="0007006E">
            <w:pPr>
              <w:spacing w:before="0" w:line="240" w:lineRule="auto"/>
              <w:jc w:val="center"/>
              <w:rPr>
                <w:rFonts w:ascii="Arial" w:hAnsi="Arial" w:cs="Arial"/>
                <w:b/>
                <w:bCs/>
                <w:color w:val="000000"/>
                <w:sz w:val="16"/>
                <w:szCs w:val="16"/>
              </w:rPr>
            </w:pPr>
            <w:r w:rsidRPr="001027FD">
              <w:rPr>
                <w:rFonts w:ascii="Arial" w:hAnsi="Arial" w:cs="Arial"/>
                <w:b/>
                <w:bCs/>
                <w:color w:val="000000"/>
                <w:sz w:val="16"/>
                <w:szCs w:val="16"/>
              </w:rPr>
              <w:t xml:space="preserve">Termination benefits </w:t>
            </w:r>
          </w:p>
        </w:tc>
        <w:tc>
          <w:tcPr>
            <w:tcW w:w="1082" w:type="dxa"/>
            <w:tcBorders>
              <w:top w:val="nil"/>
              <w:left w:val="nil"/>
              <w:bottom w:val="nil"/>
              <w:right w:val="nil"/>
            </w:tcBorders>
            <w:shd w:val="clear" w:color="auto" w:fill="auto"/>
            <w:vAlign w:val="center"/>
            <w:hideMark/>
          </w:tcPr>
          <w:p w:rsidR="0007006E" w:rsidRPr="001027FD" w:rsidRDefault="0007006E" w:rsidP="0007006E">
            <w:pPr>
              <w:spacing w:before="0" w:line="240" w:lineRule="auto"/>
              <w:jc w:val="center"/>
              <w:rPr>
                <w:rFonts w:ascii="Arial" w:hAnsi="Arial" w:cs="Arial"/>
                <w:b/>
                <w:bCs/>
                <w:color w:val="000000"/>
                <w:sz w:val="16"/>
                <w:szCs w:val="16"/>
              </w:rPr>
            </w:pPr>
            <w:r w:rsidRPr="001027FD">
              <w:rPr>
                <w:rFonts w:ascii="Arial" w:hAnsi="Arial" w:cs="Arial"/>
                <w:b/>
                <w:bCs/>
                <w:color w:val="000000"/>
                <w:sz w:val="16"/>
                <w:szCs w:val="16"/>
              </w:rPr>
              <w:t xml:space="preserve">Total Remuneration </w:t>
            </w:r>
          </w:p>
        </w:tc>
      </w:tr>
      <w:tr w:rsidR="0007006E" w:rsidRPr="00D34C53" w:rsidTr="00F170CD">
        <w:trPr>
          <w:trHeight w:val="202"/>
        </w:trPr>
        <w:tc>
          <w:tcPr>
            <w:tcW w:w="333" w:type="dxa"/>
            <w:tcBorders>
              <w:top w:val="nil"/>
              <w:left w:val="nil"/>
              <w:bottom w:val="nil"/>
              <w:right w:val="nil"/>
            </w:tcBorders>
            <w:shd w:val="clear" w:color="auto" w:fill="auto"/>
            <w:noWrap/>
            <w:vAlign w:val="bottom"/>
            <w:hideMark/>
          </w:tcPr>
          <w:p w:rsidR="0007006E" w:rsidRPr="00F170CD" w:rsidRDefault="0007006E" w:rsidP="0007006E">
            <w:pPr>
              <w:spacing w:before="0" w:line="240" w:lineRule="auto"/>
              <w:rPr>
                <w:rFonts w:ascii="Arial" w:hAnsi="Arial" w:cs="Arial"/>
                <w:bCs/>
                <w:color w:val="000000"/>
                <w:sz w:val="16"/>
                <w:szCs w:val="16"/>
              </w:rPr>
            </w:pPr>
          </w:p>
        </w:tc>
        <w:tc>
          <w:tcPr>
            <w:tcW w:w="2551" w:type="dxa"/>
            <w:vMerge/>
            <w:tcBorders>
              <w:top w:val="nil"/>
              <w:left w:val="nil"/>
              <w:bottom w:val="nil"/>
              <w:right w:val="nil"/>
            </w:tcBorders>
            <w:vAlign w:val="center"/>
            <w:hideMark/>
          </w:tcPr>
          <w:p w:rsidR="0007006E" w:rsidRPr="00D34C53" w:rsidRDefault="0007006E" w:rsidP="0007006E">
            <w:pPr>
              <w:spacing w:before="0" w:line="240" w:lineRule="auto"/>
              <w:rPr>
                <w:rFonts w:ascii="Arial" w:hAnsi="Arial" w:cs="Arial"/>
                <w:b/>
                <w:bCs/>
                <w:color w:val="000000"/>
                <w:sz w:val="16"/>
                <w:szCs w:val="16"/>
              </w:rPr>
            </w:pPr>
          </w:p>
        </w:tc>
        <w:tc>
          <w:tcPr>
            <w:tcW w:w="953" w:type="dxa"/>
            <w:tcBorders>
              <w:top w:val="nil"/>
              <w:left w:val="nil"/>
              <w:bottom w:val="nil"/>
              <w:right w:val="nil"/>
            </w:tcBorders>
            <w:shd w:val="clear" w:color="auto" w:fill="auto"/>
            <w:vAlign w:val="center"/>
            <w:hideMark/>
          </w:tcPr>
          <w:p w:rsidR="0007006E" w:rsidRPr="0007006E" w:rsidRDefault="0007006E" w:rsidP="0007006E">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 xml:space="preserve">Base </w:t>
            </w:r>
            <w:r w:rsidRPr="0007006E">
              <w:rPr>
                <w:rFonts w:ascii="Arial" w:hAnsi="Arial" w:cs="Arial"/>
                <w:b/>
                <w:bCs/>
                <w:color w:val="000000"/>
                <w:sz w:val="16"/>
                <w:szCs w:val="16"/>
              </w:rPr>
              <w:br/>
              <w:t xml:space="preserve">$'000 </w:t>
            </w:r>
          </w:p>
        </w:tc>
        <w:tc>
          <w:tcPr>
            <w:tcW w:w="1173" w:type="dxa"/>
            <w:tcBorders>
              <w:top w:val="nil"/>
              <w:left w:val="nil"/>
              <w:bottom w:val="nil"/>
              <w:right w:val="nil"/>
            </w:tcBorders>
            <w:shd w:val="clear" w:color="auto" w:fill="auto"/>
            <w:vAlign w:val="center"/>
            <w:hideMark/>
          </w:tcPr>
          <w:p w:rsidR="0007006E" w:rsidRPr="0007006E" w:rsidRDefault="0007006E" w:rsidP="0007006E">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Non-monetary benefits</w:t>
            </w:r>
            <w:r w:rsidRPr="0007006E">
              <w:rPr>
                <w:rFonts w:ascii="Arial" w:hAnsi="Arial" w:cs="Arial"/>
                <w:b/>
                <w:bCs/>
                <w:color w:val="000000"/>
                <w:sz w:val="16"/>
                <w:szCs w:val="16"/>
              </w:rPr>
              <w:br/>
              <w:t xml:space="preserve">$'000 </w:t>
            </w:r>
          </w:p>
        </w:tc>
        <w:tc>
          <w:tcPr>
            <w:tcW w:w="1081" w:type="dxa"/>
            <w:tcBorders>
              <w:top w:val="nil"/>
              <w:left w:val="nil"/>
              <w:bottom w:val="nil"/>
              <w:right w:val="nil"/>
            </w:tcBorders>
            <w:shd w:val="clear" w:color="auto" w:fill="auto"/>
            <w:noWrap/>
            <w:vAlign w:val="center"/>
            <w:hideMark/>
          </w:tcPr>
          <w:p w:rsidR="0007006E" w:rsidRPr="0007006E" w:rsidRDefault="0007006E" w:rsidP="0007006E">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 xml:space="preserve">$'000 </w:t>
            </w:r>
          </w:p>
        </w:tc>
        <w:tc>
          <w:tcPr>
            <w:tcW w:w="1081" w:type="dxa"/>
            <w:tcBorders>
              <w:top w:val="nil"/>
              <w:left w:val="nil"/>
              <w:bottom w:val="nil"/>
              <w:right w:val="nil"/>
            </w:tcBorders>
            <w:shd w:val="clear" w:color="auto" w:fill="auto"/>
            <w:noWrap/>
            <w:vAlign w:val="center"/>
            <w:hideMark/>
          </w:tcPr>
          <w:p w:rsidR="0007006E" w:rsidRPr="0007006E" w:rsidRDefault="0007006E" w:rsidP="0007006E">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 xml:space="preserve">$'000 </w:t>
            </w:r>
          </w:p>
        </w:tc>
        <w:tc>
          <w:tcPr>
            <w:tcW w:w="1081" w:type="dxa"/>
            <w:tcBorders>
              <w:top w:val="nil"/>
              <w:left w:val="nil"/>
              <w:bottom w:val="nil"/>
              <w:right w:val="nil"/>
            </w:tcBorders>
            <w:shd w:val="clear" w:color="auto" w:fill="auto"/>
            <w:noWrap/>
            <w:vAlign w:val="center"/>
            <w:hideMark/>
          </w:tcPr>
          <w:p w:rsidR="0007006E" w:rsidRPr="0007006E" w:rsidRDefault="0007006E" w:rsidP="0007006E">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 xml:space="preserve">$'000 </w:t>
            </w:r>
          </w:p>
        </w:tc>
        <w:tc>
          <w:tcPr>
            <w:tcW w:w="1082" w:type="dxa"/>
            <w:tcBorders>
              <w:top w:val="nil"/>
              <w:left w:val="nil"/>
              <w:bottom w:val="nil"/>
              <w:right w:val="nil"/>
            </w:tcBorders>
            <w:shd w:val="clear" w:color="auto" w:fill="auto"/>
            <w:noWrap/>
            <w:vAlign w:val="center"/>
            <w:hideMark/>
          </w:tcPr>
          <w:p w:rsidR="0007006E" w:rsidRPr="0007006E" w:rsidRDefault="0007006E" w:rsidP="0007006E">
            <w:pPr>
              <w:spacing w:before="0" w:line="240" w:lineRule="auto"/>
              <w:jc w:val="center"/>
              <w:rPr>
                <w:rFonts w:ascii="Arial" w:hAnsi="Arial" w:cs="Arial"/>
                <w:b/>
                <w:bCs/>
                <w:color w:val="000000"/>
                <w:sz w:val="16"/>
                <w:szCs w:val="16"/>
              </w:rPr>
            </w:pPr>
            <w:r w:rsidRPr="0007006E">
              <w:rPr>
                <w:rFonts w:ascii="Arial" w:hAnsi="Arial" w:cs="Arial"/>
                <w:b/>
                <w:bCs/>
                <w:color w:val="000000"/>
                <w:sz w:val="16"/>
                <w:szCs w:val="16"/>
              </w:rPr>
              <w:t xml:space="preserve">$'000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20"/>
                <w:szCs w:val="20"/>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Chief Executive Officer</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97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14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11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124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20"/>
                <w:szCs w:val="20"/>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Acting Director</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104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14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12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154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286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20"/>
                <w:szCs w:val="20"/>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Deputy Director,</w:t>
            </w:r>
            <w:r w:rsidRPr="000672D7">
              <w:rPr>
                <w:rFonts w:ascii="Arial" w:hAnsi="Arial" w:cs="Arial"/>
                <w:color w:val="000000"/>
                <w:sz w:val="18"/>
                <w:szCs w:val="16"/>
              </w:rPr>
              <w:br/>
              <w:t>Curriculum Services Division</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154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25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3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18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200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20"/>
                <w:szCs w:val="20"/>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Acting Deputy Director,</w:t>
            </w:r>
            <w:r w:rsidRPr="000672D7">
              <w:rPr>
                <w:rFonts w:ascii="Arial" w:hAnsi="Arial" w:cs="Arial"/>
                <w:color w:val="000000"/>
                <w:sz w:val="18"/>
                <w:szCs w:val="16"/>
              </w:rPr>
              <w:br/>
              <w:t>Assessment and Reporting Division</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178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3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18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83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282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20"/>
                <w:szCs w:val="20"/>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Deputy Director,</w:t>
            </w:r>
            <w:r w:rsidRPr="000672D7">
              <w:rPr>
                <w:rFonts w:ascii="Arial" w:hAnsi="Arial" w:cs="Arial"/>
                <w:color w:val="000000"/>
                <w:sz w:val="18"/>
                <w:szCs w:val="16"/>
              </w:rPr>
              <w:br/>
              <w:t>Corporate &amp; Information Services Division</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147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26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3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17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193 </w:t>
            </w:r>
          </w:p>
        </w:tc>
      </w:tr>
      <w:tr w:rsidR="00D34C53" w:rsidRPr="00D34C53" w:rsidTr="00F170CD">
        <w:trPr>
          <w:trHeight w:val="34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20"/>
                <w:szCs w:val="20"/>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color w:val="000000"/>
                <w:sz w:val="18"/>
                <w:szCs w:val="16"/>
              </w:rPr>
            </w:pPr>
            <w:r w:rsidRPr="000672D7">
              <w:rPr>
                <w:rFonts w:ascii="Arial" w:hAnsi="Arial" w:cs="Arial"/>
                <w:color w:val="000000"/>
                <w:sz w:val="18"/>
                <w:szCs w:val="16"/>
              </w:rPr>
              <w:t>Assistant Director,</w:t>
            </w:r>
            <w:r w:rsidRPr="000672D7">
              <w:rPr>
                <w:rFonts w:ascii="Arial" w:hAnsi="Arial" w:cs="Arial"/>
                <w:color w:val="000000"/>
                <w:sz w:val="18"/>
                <w:szCs w:val="16"/>
              </w:rPr>
              <w:br/>
              <w:t>Policy Coordination Branch</w:t>
            </w:r>
          </w:p>
        </w:tc>
        <w:tc>
          <w:tcPr>
            <w:tcW w:w="95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131 </w:t>
            </w:r>
          </w:p>
        </w:tc>
        <w:tc>
          <w:tcPr>
            <w:tcW w:w="1173"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3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15 </w:t>
            </w:r>
          </w:p>
        </w:tc>
        <w:tc>
          <w:tcPr>
            <w:tcW w:w="1081"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 </w:t>
            </w:r>
            <w:r w:rsidR="00FA5556" w:rsidRPr="000672D7">
              <w:rPr>
                <w:rFonts w:ascii="Arial" w:hAnsi="Arial" w:cs="Arial"/>
                <w:color w:val="000000"/>
                <w:sz w:val="18"/>
                <w:szCs w:val="16"/>
              </w:rPr>
              <w:t>–</w:t>
            </w:r>
            <w:r w:rsidRPr="000672D7">
              <w:rPr>
                <w:rFonts w:ascii="Arial" w:hAnsi="Arial" w:cs="Arial"/>
                <w:color w:val="000000"/>
                <w:sz w:val="18"/>
                <w:szCs w:val="16"/>
              </w:rPr>
              <w:t xml:space="preserve"> </w:t>
            </w:r>
          </w:p>
        </w:tc>
        <w:tc>
          <w:tcPr>
            <w:tcW w:w="1082" w:type="dxa"/>
            <w:tcBorders>
              <w:top w:val="nil"/>
              <w:left w:val="nil"/>
              <w:bottom w:val="nil"/>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color w:val="000000"/>
                <w:sz w:val="18"/>
                <w:szCs w:val="16"/>
              </w:rPr>
            </w:pPr>
            <w:r w:rsidRPr="000672D7">
              <w:rPr>
                <w:rFonts w:ascii="Arial" w:hAnsi="Arial" w:cs="Arial"/>
                <w:color w:val="000000"/>
                <w:sz w:val="18"/>
                <w:szCs w:val="16"/>
              </w:rPr>
              <w:t xml:space="preserve">149 </w:t>
            </w:r>
          </w:p>
        </w:tc>
      </w:tr>
      <w:tr w:rsidR="00D34C53" w:rsidRPr="00D34C53" w:rsidTr="00F170CD">
        <w:trPr>
          <w:trHeight w:val="450"/>
        </w:trPr>
        <w:tc>
          <w:tcPr>
            <w:tcW w:w="333" w:type="dxa"/>
            <w:tcBorders>
              <w:top w:val="nil"/>
              <w:left w:val="nil"/>
              <w:bottom w:val="nil"/>
              <w:right w:val="nil"/>
            </w:tcBorders>
            <w:shd w:val="clear" w:color="auto" w:fill="auto"/>
            <w:noWrap/>
            <w:vAlign w:val="bottom"/>
            <w:hideMark/>
          </w:tcPr>
          <w:p w:rsidR="00D34C53" w:rsidRPr="00F170CD" w:rsidRDefault="00D34C53" w:rsidP="00D542D1">
            <w:pPr>
              <w:spacing w:before="0" w:line="240" w:lineRule="auto"/>
              <w:rPr>
                <w:rFonts w:ascii="Arial" w:hAnsi="Arial" w:cs="Arial"/>
                <w:bCs/>
                <w:color w:val="000000"/>
                <w:sz w:val="16"/>
                <w:szCs w:val="16"/>
              </w:rPr>
            </w:pPr>
          </w:p>
        </w:tc>
        <w:tc>
          <w:tcPr>
            <w:tcW w:w="2551" w:type="dxa"/>
            <w:tcBorders>
              <w:top w:val="nil"/>
              <w:left w:val="nil"/>
              <w:bottom w:val="nil"/>
              <w:right w:val="nil"/>
            </w:tcBorders>
            <w:shd w:val="clear" w:color="auto" w:fill="auto"/>
            <w:vAlign w:val="bottom"/>
            <w:hideMark/>
          </w:tcPr>
          <w:p w:rsidR="00D34C53" w:rsidRPr="000672D7" w:rsidRDefault="00D34C53" w:rsidP="0007006E">
            <w:pPr>
              <w:spacing w:before="0" w:line="240" w:lineRule="auto"/>
              <w:rPr>
                <w:rFonts w:ascii="Arial" w:hAnsi="Arial" w:cs="Arial"/>
                <w:b/>
                <w:bCs/>
                <w:color w:val="000000"/>
                <w:sz w:val="18"/>
                <w:szCs w:val="16"/>
              </w:rPr>
            </w:pPr>
            <w:r w:rsidRPr="000672D7">
              <w:rPr>
                <w:rFonts w:ascii="Arial" w:hAnsi="Arial" w:cs="Arial"/>
                <w:b/>
                <w:bCs/>
                <w:color w:val="000000"/>
                <w:sz w:val="18"/>
                <w:szCs w:val="16"/>
              </w:rPr>
              <w:t>Total Remuneration</w:t>
            </w:r>
          </w:p>
        </w:tc>
        <w:tc>
          <w:tcPr>
            <w:tcW w:w="953" w:type="dxa"/>
            <w:tcBorders>
              <w:top w:val="single" w:sz="4" w:space="0" w:color="auto"/>
              <w:left w:val="nil"/>
              <w:bottom w:val="double" w:sz="6" w:space="0" w:color="auto"/>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811 </w:t>
            </w:r>
          </w:p>
        </w:tc>
        <w:tc>
          <w:tcPr>
            <w:tcW w:w="1173" w:type="dxa"/>
            <w:tcBorders>
              <w:top w:val="single" w:sz="4" w:space="0" w:color="auto"/>
              <w:left w:val="nil"/>
              <w:bottom w:val="double" w:sz="6" w:space="0" w:color="auto"/>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79 </w:t>
            </w:r>
          </w:p>
        </w:tc>
        <w:tc>
          <w:tcPr>
            <w:tcW w:w="1081" w:type="dxa"/>
            <w:tcBorders>
              <w:top w:val="single" w:sz="4" w:space="0" w:color="auto"/>
              <w:left w:val="nil"/>
              <w:bottom w:val="double" w:sz="6" w:space="0" w:color="auto"/>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16 </w:t>
            </w:r>
          </w:p>
        </w:tc>
        <w:tc>
          <w:tcPr>
            <w:tcW w:w="1081" w:type="dxa"/>
            <w:tcBorders>
              <w:top w:val="single" w:sz="4" w:space="0" w:color="auto"/>
              <w:left w:val="nil"/>
              <w:bottom w:val="double" w:sz="6" w:space="0" w:color="auto"/>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91 </w:t>
            </w:r>
          </w:p>
        </w:tc>
        <w:tc>
          <w:tcPr>
            <w:tcW w:w="1081" w:type="dxa"/>
            <w:tcBorders>
              <w:top w:val="single" w:sz="4" w:space="0" w:color="auto"/>
              <w:left w:val="nil"/>
              <w:bottom w:val="double" w:sz="6" w:space="0" w:color="auto"/>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237 </w:t>
            </w:r>
          </w:p>
        </w:tc>
        <w:tc>
          <w:tcPr>
            <w:tcW w:w="1082" w:type="dxa"/>
            <w:tcBorders>
              <w:top w:val="single" w:sz="4" w:space="0" w:color="auto"/>
              <w:left w:val="nil"/>
              <w:bottom w:val="double" w:sz="6" w:space="0" w:color="auto"/>
              <w:right w:val="nil"/>
            </w:tcBorders>
            <w:shd w:val="clear" w:color="auto" w:fill="auto"/>
            <w:noWrap/>
            <w:vAlign w:val="bottom"/>
            <w:hideMark/>
          </w:tcPr>
          <w:p w:rsidR="00D34C53" w:rsidRPr="000672D7" w:rsidRDefault="00D34C53" w:rsidP="00D34C53">
            <w:pPr>
              <w:spacing w:before="0" w:line="240" w:lineRule="auto"/>
              <w:jc w:val="center"/>
              <w:rPr>
                <w:rFonts w:ascii="Arial" w:hAnsi="Arial" w:cs="Arial"/>
                <w:b/>
                <w:bCs/>
                <w:color w:val="000000"/>
                <w:sz w:val="18"/>
                <w:szCs w:val="16"/>
              </w:rPr>
            </w:pPr>
            <w:r w:rsidRPr="000672D7">
              <w:rPr>
                <w:rFonts w:ascii="Arial" w:hAnsi="Arial" w:cs="Arial"/>
                <w:b/>
                <w:bCs/>
                <w:color w:val="000000"/>
                <w:sz w:val="18"/>
                <w:szCs w:val="16"/>
              </w:rPr>
              <w:t xml:space="preserve">1,234 </w:t>
            </w:r>
          </w:p>
        </w:tc>
      </w:tr>
    </w:tbl>
    <w:p w:rsidR="002D140E" w:rsidRPr="00F170CD" w:rsidRDefault="002D140E" w:rsidP="00F170CD">
      <w:r w:rsidRPr="00F170CD">
        <w:br w:type="page"/>
      </w:r>
    </w:p>
    <w:tbl>
      <w:tblPr>
        <w:tblW w:w="4951" w:type="pct"/>
        <w:tblInd w:w="93" w:type="dxa"/>
        <w:tblLook w:val="04A0" w:firstRow="1" w:lastRow="0" w:firstColumn="1" w:lastColumn="0" w:noHBand="0" w:noVBand="1"/>
      </w:tblPr>
      <w:tblGrid>
        <w:gridCol w:w="448"/>
        <w:gridCol w:w="453"/>
        <w:gridCol w:w="6071"/>
        <w:gridCol w:w="1337"/>
        <w:gridCol w:w="1337"/>
      </w:tblGrid>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center"/>
              <w:rPr>
                <w:rFonts w:ascii="Arial" w:hAnsi="Arial" w:cs="Arial"/>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2014</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2013</w:t>
            </w:r>
          </w:p>
        </w:tc>
      </w:tr>
      <w:tr w:rsidR="00342F5E" w:rsidRPr="00D91735" w:rsidTr="00342F5E">
        <w:trPr>
          <w:trHeight w:val="300"/>
        </w:trPr>
        <w:tc>
          <w:tcPr>
            <w:tcW w:w="6972" w:type="dxa"/>
            <w:gridSpan w:val="3"/>
            <w:tcBorders>
              <w:top w:val="nil"/>
              <w:left w:val="nil"/>
              <w:bottom w:val="nil"/>
              <w:right w:val="nil"/>
            </w:tcBorders>
            <w:shd w:val="clear" w:color="auto" w:fill="auto"/>
            <w:noWrap/>
            <w:vAlign w:val="bottom"/>
            <w:hideMark/>
          </w:tcPr>
          <w:p w:rsidR="00342F5E" w:rsidRPr="00D91735" w:rsidRDefault="00342F5E" w:rsidP="00342F5E">
            <w:pPr>
              <w:pStyle w:val="FinH3"/>
            </w:pPr>
            <w:bookmarkStart w:id="104" w:name="Note7"/>
            <w:bookmarkEnd w:id="104"/>
            <w:r w:rsidRPr="00D91735">
              <w:t>Supplies and Services</w:t>
            </w:r>
          </w:p>
        </w:tc>
        <w:tc>
          <w:tcPr>
            <w:tcW w:w="1337" w:type="dxa"/>
            <w:tcBorders>
              <w:top w:val="nil"/>
              <w:left w:val="nil"/>
              <w:bottom w:val="nil"/>
              <w:right w:val="nil"/>
            </w:tcBorders>
            <w:shd w:val="clear" w:color="000000" w:fill="D9D9D9"/>
            <w:noWrap/>
            <w:vAlign w:val="bottom"/>
            <w:hideMark/>
          </w:tcPr>
          <w:p w:rsidR="00342F5E" w:rsidRPr="00D91735" w:rsidRDefault="00342F5E"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$'000 </w:t>
            </w:r>
          </w:p>
        </w:tc>
        <w:tc>
          <w:tcPr>
            <w:tcW w:w="1337" w:type="dxa"/>
            <w:tcBorders>
              <w:top w:val="nil"/>
              <w:left w:val="nil"/>
              <w:bottom w:val="nil"/>
              <w:right w:val="nil"/>
            </w:tcBorders>
            <w:shd w:val="clear" w:color="auto" w:fill="auto"/>
            <w:noWrap/>
            <w:vAlign w:val="bottom"/>
            <w:hideMark/>
          </w:tcPr>
          <w:p w:rsidR="00342F5E" w:rsidRPr="00D91735" w:rsidRDefault="00342F5E"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$'000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p>
        </w:tc>
        <w:tc>
          <w:tcPr>
            <w:tcW w:w="1337" w:type="dxa"/>
            <w:tcBorders>
              <w:top w:val="nil"/>
              <w:left w:val="nil"/>
              <w:bottom w:val="nil"/>
              <w:right w:val="nil"/>
            </w:tcBorders>
            <w:shd w:val="clear" w:color="000000" w:fill="D9D9D9"/>
            <w:noWrap/>
            <w:vAlign w:val="bottom"/>
            <w:hideMark/>
          </w:tcPr>
          <w:p w:rsidR="00D91735" w:rsidRPr="00370BED" w:rsidRDefault="00D91735" w:rsidP="00D91735">
            <w:pPr>
              <w:spacing w:before="0" w:line="240" w:lineRule="auto"/>
              <w:jc w:val="right"/>
              <w:rPr>
                <w:rFonts w:ascii="Arial" w:hAnsi="Arial" w:cs="Arial"/>
                <w:bCs/>
                <w:color w:val="000000"/>
                <w:sz w:val="20"/>
                <w:szCs w:val="20"/>
              </w:rPr>
            </w:pPr>
            <w:r w:rsidRPr="00370BED">
              <w:rPr>
                <w:rFonts w:ascii="Arial" w:hAnsi="Arial" w:cs="Arial"/>
                <w:bCs/>
                <w:color w:val="000000"/>
                <w:sz w:val="20"/>
                <w:szCs w:val="20"/>
              </w:rPr>
              <w:t>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Travel</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913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939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Consultants and service providers</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3,075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3,031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Telecommunication and access fees</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89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94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Postage, freight and storage</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1,382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1,332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Catering</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625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648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Printing, stationery, books and publications</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1,761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1,610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Property, equipment and maintenance</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4,200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4,009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Other</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41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30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524" w:type="dxa"/>
            <w:gridSpan w:val="2"/>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r w:rsidRPr="00D91735">
              <w:rPr>
                <w:rFonts w:ascii="Arial" w:hAnsi="Arial" w:cs="Arial"/>
                <w:b/>
                <w:bCs/>
                <w:color w:val="000000"/>
                <w:sz w:val="20"/>
                <w:szCs w:val="20"/>
              </w:rPr>
              <w:t>Total</w:t>
            </w:r>
          </w:p>
        </w:tc>
        <w:tc>
          <w:tcPr>
            <w:tcW w:w="1337" w:type="dxa"/>
            <w:tcBorders>
              <w:top w:val="single" w:sz="4" w:space="0" w:color="auto"/>
              <w:left w:val="nil"/>
              <w:bottom w:val="double" w:sz="6" w:space="0" w:color="auto"/>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12,086 </w:t>
            </w:r>
          </w:p>
        </w:tc>
        <w:tc>
          <w:tcPr>
            <w:tcW w:w="1337" w:type="dxa"/>
            <w:tcBorders>
              <w:top w:val="single" w:sz="4" w:space="0" w:color="auto"/>
              <w:left w:val="nil"/>
              <w:bottom w:val="double" w:sz="6" w:space="0" w:color="auto"/>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11,693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r>
      <w:tr w:rsidR="00342F5E" w:rsidRPr="00D91735" w:rsidTr="00342F5E">
        <w:trPr>
          <w:trHeight w:val="300"/>
        </w:trPr>
        <w:tc>
          <w:tcPr>
            <w:tcW w:w="6972" w:type="dxa"/>
            <w:gridSpan w:val="3"/>
            <w:tcBorders>
              <w:top w:val="nil"/>
              <w:left w:val="nil"/>
              <w:bottom w:val="nil"/>
              <w:right w:val="nil"/>
            </w:tcBorders>
            <w:shd w:val="clear" w:color="auto" w:fill="auto"/>
            <w:noWrap/>
            <w:vAlign w:val="bottom"/>
            <w:hideMark/>
          </w:tcPr>
          <w:p w:rsidR="00342F5E" w:rsidRPr="00D91735" w:rsidRDefault="00342F5E" w:rsidP="00342F5E">
            <w:pPr>
              <w:pStyle w:val="FinH3"/>
            </w:pPr>
            <w:bookmarkStart w:id="105" w:name="Note8"/>
            <w:bookmarkEnd w:id="105"/>
            <w:r w:rsidRPr="00D91735">
              <w:t>Depreciation and Amortisation</w:t>
            </w:r>
          </w:p>
        </w:tc>
        <w:tc>
          <w:tcPr>
            <w:tcW w:w="1337" w:type="dxa"/>
            <w:tcBorders>
              <w:top w:val="nil"/>
              <w:left w:val="nil"/>
              <w:bottom w:val="nil"/>
              <w:right w:val="nil"/>
            </w:tcBorders>
            <w:shd w:val="clear" w:color="auto" w:fill="auto"/>
            <w:noWrap/>
            <w:vAlign w:val="bottom"/>
            <w:hideMark/>
          </w:tcPr>
          <w:p w:rsidR="00342F5E" w:rsidRPr="00D91735" w:rsidRDefault="00342F5E" w:rsidP="00D91735">
            <w:pPr>
              <w:spacing w:before="0" w:line="240" w:lineRule="auto"/>
              <w:rPr>
                <w:rFonts w:ascii="Calibri" w:hAnsi="Calibri" w:cs="Calibri"/>
                <w:color w:val="000000"/>
                <w:sz w:val="22"/>
                <w:szCs w:val="22"/>
              </w:rPr>
            </w:pPr>
          </w:p>
        </w:tc>
        <w:tc>
          <w:tcPr>
            <w:tcW w:w="1337" w:type="dxa"/>
            <w:tcBorders>
              <w:top w:val="nil"/>
              <w:left w:val="nil"/>
              <w:bottom w:val="nil"/>
              <w:right w:val="nil"/>
            </w:tcBorders>
            <w:shd w:val="clear" w:color="auto" w:fill="auto"/>
            <w:noWrap/>
            <w:vAlign w:val="bottom"/>
            <w:hideMark/>
          </w:tcPr>
          <w:p w:rsidR="00342F5E" w:rsidRPr="00D91735" w:rsidRDefault="00342F5E" w:rsidP="00D91735">
            <w:pPr>
              <w:spacing w:before="0" w:line="240" w:lineRule="auto"/>
              <w:rPr>
                <w:rFonts w:ascii="Calibri" w:hAnsi="Calibri" w:cs="Calibri"/>
                <w:color w:val="000000"/>
                <w:sz w:val="22"/>
                <w:szCs w:val="22"/>
              </w:rPr>
            </w:pP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Depreciation and amortisation were incurred in respect of:</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Plant and equipment</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225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352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Software internally generated</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sz w:val="20"/>
                <w:szCs w:val="20"/>
              </w:rPr>
            </w:pPr>
            <w:r w:rsidRPr="00D91735">
              <w:rPr>
                <w:rFonts w:ascii="Arial" w:hAnsi="Arial" w:cs="Arial"/>
                <w:sz w:val="20"/>
                <w:szCs w:val="20"/>
              </w:rPr>
              <w:t xml:space="preserve">1,064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1,126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524" w:type="dxa"/>
            <w:gridSpan w:val="2"/>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r w:rsidRPr="00D91735">
              <w:rPr>
                <w:rFonts w:ascii="Arial" w:hAnsi="Arial" w:cs="Arial"/>
                <w:b/>
                <w:bCs/>
                <w:color w:val="000000"/>
                <w:sz w:val="20"/>
                <w:szCs w:val="20"/>
              </w:rPr>
              <w:t>Total</w:t>
            </w:r>
          </w:p>
        </w:tc>
        <w:tc>
          <w:tcPr>
            <w:tcW w:w="1337" w:type="dxa"/>
            <w:tcBorders>
              <w:top w:val="single" w:sz="4" w:space="0" w:color="auto"/>
              <w:left w:val="nil"/>
              <w:bottom w:val="double" w:sz="6" w:space="0" w:color="auto"/>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1,289 </w:t>
            </w:r>
          </w:p>
        </w:tc>
        <w:tc>
          <w:tcPr>
            <w:tcW w:w="1337" w:type="dxa"/>
            <w:tcBorders>
              <w:top w:val="single" w:sz="4" w:space="0" w:color="auto"/>
              <w:left w:val="nil"/>
              <w:bottom w:val="double" w:sz="6" w:space="0" w:color="auto"/>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1,478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r>
      <w:tr w:rsidR="009156B5" w:rsidRPr="00D91735" w:rsidTr="00340F31">
        <w:trPr>
          <w:trHeight w:val="300"/>
        </w:trPr>
        <w:tc>
          <w:tcPr>
            <w:tcW w:w="6972" w:type="dxa"/>
            <w:gridSpan w:val="3"/>
            <w:tcBorders>
              <w:top w:val="nil"/>
              <w:left w:val="nil"/>
              <w:bottom w:val="nil"/>
              <w:right w:val="nil"/>
            </w:tcBorders>
            <w:shd w:val="clear" w:color="auto" w:fill="auto"/>
            <w:noWrap/>
            <w:vAlign w:val="bottom"/>
            <w:hideMark/>
          </w:tcPr>
          <w:p w:rsidR="009156B5" w:rsidRPr="00D91735" w:rsidRDefault="009156B5" w:rsidP="009156B5">
            <w:pPr>
              <w:pStyle w:val="FinH3"/>
            </w:pPr>
            <w:bookmarkStart w:id="106" w:name="Note9"/>
            <w:bookmarkEnd w:id="106"/>
            <w:r w:rsidRPr="00D91735">
              <w:t>Impairment Losses</w:t>
            </w:r>
          </w:p>
        </w:tc>
        <w:tc>
          <w:tcPr>
            <w:tcW w:w="1337" w:type="dxa"/>
            <w:tcBorders>
              <w:top w:val="nil"/>
              <w:left w:val="nil"/>
              <w:bottom w:val="nil"/>
              <w:right w:val="nil"/>
            </w:tcBorders>
            <w:shd w:val="clear" w:color="auto" w:fill="auto"/>
            <w:noWrap/>
            <w:vAlign w:val="bottom"/>
            <w:hideMark/>
          </w:tcPr>
          <w:p w:rsidR="009156B5" w:rsidRPr="00D91735" w:rsidRDefault="009156B5" w:rsidP="00D91735">
            <w:pPr>
              <w:spacing w:before="0" w:line="240" w:lineRule="auto"/>
              <w:rPr>
                <w:rFonts w:ascii="Calibri" w:hAnsi="Calibri" w:cs="Calibri"/>
                <w:color w:val="000000"/>
                <w:sz w:val="22"/>
                <w:szCs w:val="22"/>
              </w:rPr>
            </w:pPr>
          </w:p>
        </w:tc>
        <w:tc>
          <w:tcPr>
            <w:tcW w:w="1337" w:type="dxa"/>
            <w:tcBorders>
              <w:top w:val="nil"/>
              <w:left w:val="nil"/>
              <w:bottom w:val="nil"/>
              <w:right w:val="nil"/>
            </w:tcBorders>
            <w:shd w:val="clear" w:color="auto" w:fill="auto"/>
            <w:noWrap/>
            <w:vAlign w:val="bottom"/>
            <w:hideMark/>
          </w:tcPr>
          <w:p w:rsidR="009156B5" w:rsidRPr="00D91735" w:rsidRDefault="009156B5" w:rsidP="00D91735">
            <w:pPr>
              <w:spacing w:before="0" w:line="240" w:lineRule="auto"/>
              <w:rPr>
                <w:rFonts w:ascii="Calibri" w:hAnsi="Calibri" w:cs="Calibri"/>
                <w:color w:val="000000"/>
                <w:sz w:val="22"/>
                <w:szCs w:val="22"/>
              </w:rPr>
            </w:pP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r w:rsidRPr="00D91735">
              <w:rPr>
                <w:rFonts w:ascii="Arial" w:hAnsi="Arial" w:cs="Arial"/>
                <w:sz w:val="20"/>
                <w:szCs w:val="20"/>
              </w:rPr>
              <w:t>Intangible assets</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sz w:val="20"/>
                <w:szCs w:val="20"/>
              </w:rPr>
            </w:pPr>
            <w:r w:rsidRPr="00D91735">
              <w:rPr>
                <w:rFonts w:ascii="Arial" w:hAnsi="Arial" w:cs="Arial"/>
                <w:sz w:val="20"/>
                <w:szCs w:val="20"/>
              </w:rPr>
              <w:t xml:space="preserve"> </w:t>
            </w:r>
            <w:r w:rsidR="00FA5556">
              <w:rPr>
                <w:rFonts w:ascii="Arial" w:hAnsi="Arial" w:cs="Arial"/>
                <w:sz w:val="20"/>
                <w:szCs w:val="20"/>
              </w:rPr>
              <w:t>–</w:t>
            </w:r>
            <w:r w:rsidRPr="00D91735">
              <w:rPr>
                <w:rFonts w:ascii="Arial" w:hAnsi="Arial" w:cs="Arial"/>
                <w:sz w:val="20"/>
                <w:szCs w:val="20"/>
              </w:rPr>
              <w:t xml:space="preserve">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800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524" w:type="dxa"/>
            <w:gridSpan w:val="2"/>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r w:rsidRPr="00D91735">
              <w:rPr>
                <w:rFonts w:ascii="Arial" w:hAnsi="Arial" w:cs="Arial"/>
                <w:b/>
                <w:bCs/>
                <w:color w:val="000000"/>
                <w:sz w:val="20"/>
                <w:szCs w:val="20"/>
              </w:rPr>
              <w:t>Total</w:t>
            </w:r>
          </w:p>
        </w:tc>
        <w:tc>
          <w:tcPr>
            <w:tcW w:w="1337" w:type="dxa"/>
            <w:tcBorders>
              <w:top w:val="single" w:sz="4" w:space="0" w:color="auto"/>
              <w:left w:val="nil"/>
              <w:bottom w:val="double" w:sz="6" w:space="0" w:color="auto"/>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 </w:t>
            </w:r>
            <w:r w:rsidR="00FA5556">
              <w:rPr>
                <w:rFonts w:ascii="Arial" w:hAnsi="Arial" w:cs="Arial"/>
                <w:b/>
                <w:bCs/>
                <w:color w:val="000000"/>
                <w:sz w:val="20"/>
                <w:szCs w:val="20"/>
              </w:rPr>
              <w:t>–</w:t>
            </w:r>
            <w:r w:rsidRPr="00D91735">
              <w:rPr>
                <w:rFonts w:ascii="Arial" w:hAnsi="Arial" w:cs="Arial"/>
                <w:b/>
                <w:bCs/>
                <w:color w:val="000000"/>
                <w:sz w:val="20"/>
                <w:szCs w:val="20"/>
              </w:rPr>
              <w:t xml:space="preserve"> </w:t>
            </w:r>
          </w:p>
        </w:tc>
        <w:tc>
          <w:tcPr>
            <w:tcW w:w="1337" w:type="dxa"/>
            <w:tcBorders>
              <w:top w:val="single" w:sz="4" w:space="0" w:color="auto"/>
              <w:left w:val="nil"/>
              <w:bottom w:val="double" w:sz="6" w:space="0" w:color="auto"/>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800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524" w:type="dxa"/>
            <w:gridSpan w:val="2"/>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r w:rsidRPr="00D91735">
              <w:rPr>
                <w:rFonts w:ascii="Arial" w:hAnsi="Arial" w:cs="Arial"/>
                <w:color w:val="000000"/>
                <w:sz w:val="20"/>
                <w:szCs w:val="20"/>
              </w:rPr>
              <w:t>For details of the recognised impairment loss refer to Note 14.</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Calibri" w:hAnsi="Calibri" w:cs="Calibri"/>
                <w:color w:val="000000"/>
                <w:sz w:val="22"/>
                <w:szCs w:val="22"/>
              </w:rPr>
            </w:pPr>
          </w:p>
        </w:tc>
      </w:tr>
      <w:tr w:rsidR="009156B5" w:rsidRPr="00D91735" w:rsidTr="00340F31">
        <w:trPr>
          <w:trHeight w:val="300"/>
        </w:trPr>
        <w:tc>
          <w:tcPr>
            <w:tcW w:w="6972" w:type="dxa"/>
            <w:gridSpan w:val="3"/>
            <w:tcBorders>
              <w:top w:val="nil"/>
              <w:left w:val="nil"/>
              <w:bottom w:val="nil"/>
              <w:right w:val="nil"/>
            </w:tcBorders>
            <w:shd w:val="clear" w:color="auto" w:fill="auto"/>
            <w:noWrap/>
            <w:vAlign w:val="bottom"/>
            <w:hideMark/>
          </w:tcPr>
          <w:p w:rsidR="009156B5" w:rsidRPr="00D91735" w:rsidRDefault="009156B5" w:rsidP="009156B5">
            <w:pPr>
              <w:pStyle w:val="FinH3"/>
              <w:tabs>
                <w:tab w:val="clear" w:pos="255"/>
                <w:tab w:val="num" w:pos="369"/>
              </w:tabs>
            </w:pPr>
            <w:bookmarkStart w:id="107" w:name="Note10"/>
            <w:bookmarkEnd w:id="107"/>
            <w:r>
              <w:t xml:space="preserve"> </w:t>
            </w:r>
            <w:r w:rsidRPr="00D91735">
              <w:t>Other Expenses</w:t>
            </w:r>
          </w:p>
        </w:tc>
        <w:tc>
          <w:tcPr>
            <w:tcW w:w="1337" w:type="dxa"/>
            <w:tcBorders>
              <w:top w:val="nil"/>
              <w:left w:val="nil"/>
              <w:bottom w:val="nil"/>
              <w:right w:val="nil"/>
            </w:tcBorders>
            <w:shd w:val="clear" w:color="auto" w:fill="auto"/>
            <w:noWrap/>
            <w:vAlign w:val="bottom"/>
            <w:hideMark/>
          </w:tcPr>
          <w:p w:rsidR="009156B5" w:rsidRPr="00D91735" w:rsidRDefault="009156B5" w:rsidP="00D91735">
            <w:pPr>
              <w:spacing w:before="0" w:line="240" w:lineRule="auto"/>
              <w:rPr>
                <w:rFonts w:ascii="Calibri" w:hAnsi="Calibri" w:cs="Calibri"/>
                <w:color w:val="000000"/>
                <w:sz w:val="22"/>
                <w:szCs w:val="22"/>
              </w:rPr>
            </w:pPr>
          </w:p>
        </w:tc>
        <w:tc>
          <w:tcPr>
            <w:tcW w:w="1337" w:type="dxa"/>
            <w:tcBorders>
              <w:top w:val="nil"/>
              <w:left w:val="nil"/>
              <w:bottom w:val="nil"/>
              <w:right w:val="nil"/>
            </w:tcBorders>
            <w:shd w:val="clear" w:color="auto" w:fill="auto"/>
            <w:noWrap/>
            <w:vAlign w:val="bottom"/>
            <w:hideMark/>
          </w:tcPr>
          <w:p w:rsidR="009156B5" w:rsidRPr="00D91735" w:rsidRDefault="009156B5" w:rsidP="00D91735">
            <w:pPr>
              <w:spacing w:before="0" w:line="240" w:lineRule="auto"/>
              <w:rPr>
                <w:rFonts w:ascii="Calibri" w:hAnsi="Calibri" w:cs="Calibri"/>
                <w:color w:val="000000"/>
                <w:sz w:val="22"/>
                <w:szCs w:val="22"/>
              </w:rPr>
            </w:pP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r w:rsidRPr="00D91735">
              <w:rPr>
                <w:rFonts w:ascii="Arial" w:hAnsi="Arial" w:cs="Arial"/>
                <w:sz w:val="20"/>
                <w:szCs w:val="20"/>
              </w:rPr>
              <w:t xml:space="preserve">Insurance premiums </w:t>
            </w:r>
            <w:r w:rsidR="00FA5556">
              <w:rPr>
                <w:rFonts w:ascii="Arial" w:hAnsi="Arial" w:cs="Arial"/>
                <w:sz w:val="20"/>
                <w:szCs w:val="20"/>
              </w:rPr>
              <w:t>–</w:t>
            </w:r>
            <w:r w:rsidRPr="00D91735">
              <w:rPr>
                <w:rFonts w:ascii="Arial" w:hAnsi="Arial" w:cs="Arial"/>
                <w:sz w:val="20"/>
                <w:szCs w:val="20"/>
              </w:rPr>
              <w:t xml:space="preserve"> QGIF</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48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48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r w:rsidRPr="00D91735">
              <w:rPr>
                <w:rFonts w:ascii="Arial" w:hAnsi="Arial" w:cs="Arial"/>
                <w:sz w:val="20"/>
                <w:szCs w:val="20"/>
              </w:rPr>
              <w:t>External audit fees*</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29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29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r w:rsidRPr="00D91735">
              <w:rPr>
                <w:rFonts w:ascii="Arial" w:hAnsi="Arial" w:cs="Arial"/>
                <w:sz w:val="20"/>
                <w:szCs w:val="20"/>
              </w:rPr>
              <w:t>Internal audit fees**</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34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30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r w:rsidRPr="00D91735">
              <w:rPr>
                <w:rFonts w:ascii="Arial" w:hAnsi="Arial" w:cs="Arial"/>
                <w:sz w:val="20"/>
                <w:szCs w:val="20"/>
              </w:rPr>
              <w:t>Bank fees and charges</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3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4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r w:rsidRPr="00D91735">
              <w:rPr>
                <w:rFonts w:ascii="Arial" w:hAnsi="Arial" w:cs="Arial"/>
                <w:sz w:val="20"/>
                <w:szCs w:val="20"/>
              </w:rPr>
              <w:t>Bad debt expense</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 </w:t>
            </w:r>
            <w:r w:rsidR="00FA5556">
              <w:rPr>
                <w:rFonts w:ascii="Arial" w:hAnsi="Arial" w:cs="Arial"/>
                <w:color w:val="000000"/>
                <w:sz w:val="20"/>
                <w:szCs w:val="20"/>
              </w:rPr>
              <w:t>–</w:t>
            </w:r>
            <w:r w:rsidRPr="00D91735">
              <w:rPr>
                <w:rFonts w:ascii="Arial" w:hAnsi="Arial" w:cs="Arial"/>
                <w:color w:val="000000"/>
                <w:sz w:val="20"/>
                <w:szCs w:val="20"/>
              </w:rPr>
              <w:t xml:space="preserve">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 </w:t>
            </w:r>
            <w:r w:rsidR="00FA5556">
              <w:rPr>
                <w:rFonts w:ascii="Arial" w:hAnsi="Arial" w:cs="Arial"/>
                <w:color w:val="000000"/>
                <w:sz w:val="20"/>
                <w:szCs w:val="20"/>
              </w:rPr>
              <w:t>–</w:t>
            </w:r>
            <w:r w:rsidRPr="00D91735">
              <w:rPr>
                <w:rFonts w:ascii="Arial" w:hAnsi="Arial" w:cs="Arial"/>
                <w:color w:val="000000"/>
                <w:sz w:val="20"/>
                <w:szCs w:val="20"/>
              </w:rPr>
              <w:t xml:space="preserve">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453"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071"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sz w:val="20"/>
                <w:szCs w:val="20"/>
              </w:rPr>
            </w:pPr>
            <w:r w:rsidRPr="00D91735">
              <w:rPr>
                <w:rFonts w:ascii="Arial" w:hAnsi="Arial" w:cs="Arial"/>
                <w:sz w:val="20"/>
                <w:szCs w:val="20"/>
              </w:rPr>
              <w:t>Losses from disposal of plant &amp; equipment</w:t>
            </w:r>
          </w:p>
        </w:tc>
        <w:tc>
          <w:tcPr>
            <w:tcW w:w="1337" w:type="dxa"/>
            <w:tcBorders>
              <w:top w:val="nil"/>
              <w:left w:val="nil"/>
              <w:bottom w:val="nil"/>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4 </w:t>
            </w:r>
          </w:p>
        </w:tc>
        <w:tc>
          <w:tcPr>
            <w:tcW w:w="1337"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color w:val="000000"/>
                <w:sz w:val="20"/>
                <w:szCs w:val="20"/>
              </w:rPr>
            </w:pPr>
            <w:r w:rsidRPr="00D91735">
              <w:rPr>
                <w:rFonts w:ascii="Arial" w:hAnsi="Arial" w:cs="Arial"/>
                <w:color w:val="000000"/>
                <w:sz w:val="20"/>
                <w:szCs w:val="20"/>
              </w:rPr>
              <w:t xml:space="preserve"> </w:t>
            </w:r>
            <w:r w:rsidR="00FA5556">
              <w:rPr>
                <w:rFonts w:ascii="Arial" w:hAnsi="Arial" w:cs="Arial"/>
                <w:color w:val="000000"/>
                <w:sz w:val="20"/>
                <w:szCs w:val="20"/>
              </w:rPr>
              <w:t>–</w:t>
            </w:r>
            <w:r w:rsidRPr="00D91735">
              <w:rPr>
                <w:rFonts w:ascii="Arial" w:hAnsi="Arial" w:cs="Arial"/>
                <w:color w:val="000000"/>
                <w:sz w:val="20"/>
                <w:szCs w:val="20"/>
              </w:rPr>
              <w:t xml:space="preserve"> </w:t>
            </w:r>
          </w:p>
        </w:tc>
      </w:tr>
      <w:tr w:rsidR="00D91735" w:rsidRPr="00D91735" w:rsidTr="001027FD">
        <w:trPr>
          <w:trHeight w:val="300"/>
        </w:trPr>
        <w:tc>
          <w:tcPr>
            <w:tcW w:w="448" w:type="dxa"/>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p>
        </w:tc>
        <w:tc>
          <w:tcPr>
            <w:tcW w:w="6524" w:type="dxa"/>
            <w:gridSpan w:val="2"/>
            <w:tcBorders>
              <w:top w:val="nil"/>
              <w:left w:val="nil"/>
              <w:bottom w:val="nil"/>
              <w:right w:val="nil"/>
            </w:tcBorders>
            <w:shd w:val="clear" w:color="auto" w:fill="auto"/>
            <w:noWrap/>
            <w:vAlign w:val="bottom"/>
            <w:hideMark/>
          </w:tcPr>
          <w:p w:rsidR="00D91735" w:rsidRPr="00D91735" w:rsidRDefault="00D91735" w:rsidP="00D91735">
            <w:pPr>
              <w:spacing w:before="0" w:line="240" w:lineRule="auto"/>
              <w:rPr>
                <w:rFonts w:ascii="Arial" w:hAnsi="Arial" w:cs="Arial"/>
                <w:b/>
                <w:bCs/>
                <w:color w:val="000000"/>
                <w:sz w:val="20"/>
                <w:szCs w:val="20"/>
              </w:rPr>
            </w:pPr>
            <w:r w:rsidRPr="00D91735">
              <w:rPr>
                <w:rFonts w:ascii="Arial" w:hAnsi="Arial" w:cs="Arial"/>
                <w:b/>
                <w:bCs/>
                <w:color w:val="000000"/>
                <w:sz w:val="20"/>
                <w:szCs w:val="20"/>
              </w:rPr>
              <w:t>Total</w:t>
            </w:r>
          </w:p>
        </w:tc>
        <w:tc>
          <w:tcPr>
            <w:tcW w:w="1337" w:type="dxa"/>
            <w:tcBorders>
              <w:top w:val="single" w:sz="4" w:space="0" w:color="auto"/>
              <w:left w:val="nil"/>
              <w:bottom w:val="double" w:sz="6" w:space="0" w:color="auto"/>
              <w:right w:val="nil"/>
            </w:tcBorders>
            <w:shd w:val="clear" w:color="000000" w:fill="D9D9D9"/>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118 </w:t>
            </w:r>
          </w:p>
        </w:tc>
        <w:tc>
          <w:tcPr>
            <w:tcW w:w="1337" w:type="dxa"/>
            <w:tcBorders>
              <w:top w:val="single" w:sz="4" w:space="0" w:color="auto"/>
              <w:left w:val="nil"/>
              <w:bottom w:val="double" w:sz="6" w:space="0" w:color="auto"/>
              <w:right w:val="nil"/>
            </w:tcBorders>
            <w:shd w:val="clear" w:color="auto" w:fill="auto"/>
            <w:noWrap/>
            <w:vAlign w:val="bottom"/>
            <w:hideMark/>
          </w:tcPr>
          <w:p w:rsidR="00D91735" w:rsidRPr="00D91735" w:rsidRDefault="00D91735" w:rsidP="00D91735">
            <w:pPr>
              <w:spacing w:before="0" w:line="240" w:lineRule="auto"/>
              <w:jc w:val="right"/>
              <w:rPr>
                <w:rFonts w:ascii="Arial" w:hAnsi="Arial" w:cs="Arial"/>
                <w:b/>
                <w:bCs/>
                <w:color w:val="000000"/>
                <w:sz w:val="20"/>
                <w:szCs w:val="20"/>
              </w:rPr>
            </w:pPr>
            <w:r w:rsidRPr="00D91735">
              <w:rPr>
                <w:rFonts w:ascii="Arial" w:hAnsi="Arial" w:cs="Arial"/>
                <w:b/>
                <w:bCs/>
                <w:color w:val="000000"/>
                <w:sz w:val="20"/>
                <w:szCs w:val="20"/>
              </w:rPr>
              <w:t xml:space="preserve">111 </w:t>
            </w:r>
          </w:p>
        </w:tc>
      </w:tr>
      <w:tr w:rsidR="00D91735" w:rsidRPr="00D91735" w:rsidTr="00F170CD">
        <w:trPr>
          <w:trHeight w:val="300"/>
        </w:trPr>
        <w:tc>
          <w:tcPr>
            <w:tcW w:w="448" w:type="dxa"/>
            <w:tcBorders>
              <w:top w:val="nil"/>
              <w:left w:val="nil"/>
              <w:bottom w:val="nil"/>
              <w:right w:val="nil"/>
            </w:tcBorders>
            <w:shd w:val="clear" w:color="auto" w:fill="auto"/>
            <w:noWrap/>
            <w:hideMark/>
          </w:tcPr>
          <w:p w:rsidR="00D91735" w:rsidRPr="001027FD" w:rsidRDefault="001027FD" w:rsidP="00F170CD">
            <w:pPr>
              <w:spacing w:before="120" w:after="120"/>
              <w:jc w:val="right"/>
              <w:rPr>
                <w:rFonts w:ascii="Arial" w:hAnsi="Arial" w:cs="Arial"/>
                <w:color w:val="000000"/>
                <w:sz w:val="20"/>
                <w:szCs w:val="20"/>
              </w:rPr>
            </w:pPr>
            <w:r w:rsidRPr="001027FD">
              <w:rPr>
                <w:rFonts w:ascii="Arial" w:hAnsi="Arial" w:cs="Arial"/>
                <w:color w:val="000000"/>
                <w:sz w:val="20"/>
                <w:szCs w:val="20"/>
              </w:rPr>
              <w:t>*</w:t>
            </w:r>
          </w:p>
        </w:tc>
        <w:tc>
          <w:tcPr>
            <w:tcW w:w="9198" w:type="dxa"/>
            <w:gridSpan w:val="4"/>
            <w:tcBorders>
              <w:top w:val="nil"/>
              <w:left w:val="nil"/>
              <w:bottom w:val="nil"/>
              <w:right w:val="nil"/>
            </w:tcBorders>
            <w:shd w:val="clear" w:color="auto" w:fill="auto"/>
            <w:noWrap/>
            <w:vAlign w:val="bottom"/>
            <w:hideMark/>
          </w:tcPr>
          <w:p w:rsidR="00D91735" w:rsidRPr="00D91735" w:rsidRDefault="00D91735" w:rsidP="001027FD">
            <w:pPr>
              <w:spacing w:before="120" w:after="120"/>
              <w:rPr>
                <w:rFonts w:ascii="Arial" w:hAnsi="Arial" w:cs="Arial"/>
                <w:color w:val="000000"/>
                <w:sz w:val="20"/>
                <w:szCs w:val="20"/>
              </w:rPr>
            </w:pPr>
            <w:r w:rsidRPr="00D91735">
              <w:rPr>
                <w:rFonts w:ascii="Arial" w:hAnsi="Arial" w:cs="Arial"/>
                <w:color w:val="000000"/>
                <w:sz w:val="20"/>
                <w:szCs w:val="20"/>
              </w:rPr>
              <w:t>Total audit fees paid to the Queensland Audit Office relating to the 2013</w:t>
            </w:r>
            <w:r w:rsidR="00FA5556">
              <w:rPr>
                <w:rFonts w:ascii="Arial" w:hAnsi="Arial" w:cs="Arial"/>
                <w:color w:val="000000"/>
                <w:sz w:val="20"/>
                <w:szCs w:val="20"/>
              </w:rPr>
              <w:t>–</w:t>
            </w:r>
            <w:r w:rsidRPr="00D91735">
              <w:rPr>
                <w:rFonts w:ascii="Arial" w:hAnsi="Arial" w:cs="Arial"/>
                <w:color w:val="000000"/>
                <w:sz w:val="20"/>
                <w:szCs w:val="20"/>
              </w:rPr>
              <w:t xml:space="preserve">14 financial statements are estimated </w:t>
            </w:r>
            <w:r>
              <w:rPr>
                <w:rFonts w:ascii="Arial" w:hAnsi="Arial" w:cs="Arial"/>
                <w:color w:val="000000"/>
                <w:sz w:val="20"/>
                <w:szCs w:val="20"/>
              </w:rPr>
              <w:t xml:space="preserve">to be $29,200 (2013: $29,000). </w:t>
            </w:r>
            <w:r w:rsidRPr="00D91735">
              <w:rPr>
                <w:rFonts w:ascii="Arial" w:hAnsi="Arial" w:cs="Arial"/>
                <w:color w:val="000000"/>
                <w:sz w:val="20"/>
                <w:szCs w:val="20"/>
              </w:rPr>
              <w:t xml:space="preserve">There are </w:t>
            </w:r>
            <w:proofErr w:type="gramStart"/>
            <w:r w:rsidRPr="00D91735">
              <w:rPr>
                <w:rFonts w:ascii="Arial" w:hAnsi="Arial" w:cs="Arial"/>
                <w:color w:val="000000"/>
                <w:sz w:val="20"/>
                <w:szCs w:val="20"/>
              </w:rPr>
              <w:t>no non-audit</w:t>
            </w:r>
            <w:proofErr w:type="gramEnd"/>
            <w:r w:rsidRPr="00D91735">
              <w:rPr>
                <w:rFonts w:ascii="Arial" w:hAnsi="Arial" w:cs="Arial"/>
                <w:color w:val="000000"/>
                <w:sz w:val="20"/>
                <w:szCs w:val="20"/>
              </w:rPr>
              <w:t xml:space="preserve"> services included in this amount.</w:t>
            </w:r>
          </w:p>
        </w:tc>
      </w:tr>
      <w:tr w:rsidR="00D91735" w:rsidRPr="00D91735" w:rsidTr="00F170CD">
        <w:trPr>
          <w:trHeight w:val="300"/>
        </w:trPr>
        <w:tc>
          <w:tcPr>
            <w:tcW w:w="448" w:type="dxa"/>
            <w:tcBorders>
              <w:top w:val="nil"/>
              <w:left w:val="nil"/>
              <w:bottom w:val="nil"/>
              <w:right w:val="nil"/>
            </w:tcBorders>
            <w:shd w:val="clear" w:color="auto" w:fill="auto"/>
            <w:noWrap/>
            <w:hideMark/>
          </w:tcPr>
          <w:p w:rsidR="00D91735" w:rsidRPr="00D91735" w:rsidRDefault="001027FD" w:rsidP="00F170CD">
            <w:pPr>
              <w:spacing w:before="120" w:after="120"/>
              <w:jc w:val="right"/>
              <w:rPr>
                <w:rFonts w:ascii="Arial" w:hAnsi="Arial" w:cs="Arial"/>
                <w:color w:val="000000"/>
                <w:sz w:val="20"/>
                <w:szCs w:val="20"/>
              </w:rPr>
            </w:pPr>
            <w:r>
              <w:rPr>
                <w:rFonts w:ascii="Arial" w:hAnsi="Arial" w:cs="Arial"/>
                <w:color w:val="000000"/>
                <w:sz w:val="20"/>
                <w:szCs w:val="20"/>
              </w:rPr>
              <w:t>**</w:t>
            </w:r>
          </w:p>
        </w:tc>
        <w:tc>
          <w:tcPr>
            <w:tcW w:w="9198" w:type="dxa"/>
            <w:gridSpan w:val="4"/>
            <w:tcBorders>
              <w:top w:val="nil"/>
              <w:left w:val="nil"/>
              <w:bottom w:val="nil"/>
              <w:right w:val="nil"/>
            </w:tcBorders>
            <w:shd w:val="clear" w:color="auto" w:fill="auto"/>
            <w:noWrap/>
            <w:vAlign w:val="bottom"/>
            <w:hideMark/>
          </w:tcPr>
          <w:p w:rsidR="00D91735" w:rsidRPr="00D91735" w:rsidRDefault="00D91735" w:rsidP="001027FD">
            <w:pPr>
              <w:spacing w:before="120" w:after="120"/>
              <w:rPr>
                <w:rFonts w:ascii="Arial" w:hAnsi="Arial" w:cs="Arial"/>
                <w:color w:val="000000"/>
                <w:sz w:val="20"/>
                <w:szCs w:val="20"/>
              </w:rPr>
            </w:pPr>
            <w:r w:rsidRPr="00D91735">
              <w:rPr>
                <w:rFonts w:ascii="Arial" w:hAnsi="Arial" w:cs="Arial"/>
                <w:color w:val="000000"/>
                <w:sz w:val="20"/>
                <w:szCs w:val="20"/>
              </w:rPr>
              <w:t>The Authority engaged the services of Internal Audit from the Department of Education, Training &amp; Employment to perform financial compliance audits.</w:t>
            </w:r>
          </w:p>
        </w:tc>
      </w:tr>
    </w:tbl>
    <w:p w:rsidR="002D140E" w:rsidRDefault="002D140E">
      <w:r>
        <w:br w:type="page"/>
      </w:r>
    </w:p>
    <w:tbl>
      <w:tblPr>
        <w:tblW w:w="4900" w:type="pct"/>
        <w:tblInd w:w="93" w:type="dxa"/>
        <w:tblLook w:val="04A0" w:firstRow="1" w:lastRow="0" w:firstColumn="1" w:lastColumn="0" w:noHBand="0" w:noVBand="1"/>
      </w:tblPr>
      <w:tblGrid>
        <w:gridCol w:w="441"/>
        <w:gridCol w:w="397"/>
        <w:gridCol w:w="6114"/>
        <w:gridCol w:w="1297"/>
        <w:gridCol w:w="1297"/>
      </w:tblGrid>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center"/>
              <w:rPr>
                <w:rFonts w:ascii="Arial" w:hAnsi="Arial" w:cs="Arial"/>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2014</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2013</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bookmarkStart w:id="108" w:name="Note11"/>
            <w:bookmarkEnd w:id="108"/>
            <w:r w:rsidRPr="00BD6E9E">
              <w:rPr>
                <w:rFonts w:ascii="Arial" w:hAnsi="Arial" w:cs="Arial"/>
                <w:b/>
                <w:bCs/>
                <w:color w:val="000000"/>
                <w:sz w:val="20"/>
                <w:szCs w:val="20"/>
              </w:rPr>
              <w:t>11</w:t>
            </w:r>
          </w:p>
        </w:tc>
        <w:tc>
          <w:tcPr>
            <w:tcW w:w="6511" w:type="dxa"/>
            <w:gridSpan w:val="2"/>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r w:rsidRPr="00BD6E9E">
              <w:rPr>
                <w:rFonts w:ascii="Arial" w:hAnsi="Arial" w:cs="Arial"/>
                <w:b/>
                <w:bCs/>
                <w:color w:val="000000"/>
                <w:sz w:val="20"/>
                <w:szCs w:val="20"/>
              </w:rPr>
              <w:t>Cash and Cash Equivalents</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$'000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$'000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r w:rsidRPr="00BD6E9E">
              <w:rPr>
                <w:rFonts w:ascii="Arial" w:hAnsi="Arial" w:cs="Arial"/>
                <w:color w:val="000000"/>
                <w:sz w:val="20"/>
                <w:szCs w:val="20"/>
              </w:rPr>
              <w:t>Cash at bank</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107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33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r w:rsidRPr="00BD6E9E">
              <w:rPr>
                <w:rFonts w:ascii="Arial" w:hAnsi="Arial" w:cs="Arial"/>
                <w:color w:val="000000"/>
                <w:sz w:val="20"/>
                <w:szCs w:val="20"/>
              </w:rPr>
              <w:t>Deposits at call</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7,860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7,972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r w:rsidRPr="00BD6E9E">
              <w:rPr>
                <w:rFonts w:ascii="Arial" w:hAnsi="Arial" w:cs="Arial"/>
                <w:color w:val="000000"/>
                <w:sz w:val="20"/>
                <w:szCs w:val="20"/>
              </w:rPr>
              <w:t>Term Deposits</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4,500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4,500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511" w:type="dxa"/>
            <w:gridSpan w:val="2"/>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r w:rsidRPr="00BD6E9E">
              <w:rPr>
                <w:rFonts w:ascii="Arial" w:hAnsi="Arial" w:cs="Arial"/>
                <w:b/>
                <w:bCs/>
                <w:color w:val="000000"/>
                <w:sz w:val="20"/>
                <w:szCs w:val="20"/>
              </w:rPr>
              <w:t>Total</w:t>
            </w:r>
          </w:p>
        </w:tc>
        <w:tc>
          <w:tcPr>
            <w:tcW w:w="1297" w:type="dxa"/>
            <w:tcBorders>
              <w:top w:val="single" w:sz="4" w:space="0" w:color="auto"/>
              <w:left w:val="nil"/>
              <w:bottom w:val="double" w:sz="6" w:space="0" w:color="auto"/>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12,467 </w:t>
            </w:r>
          </w:p>
        </w:tc>
        <w:tc>
          <w:tcPr>
            <w:tcW w:w="1297" w:type="dxa"/>
            <w:tcBorders>
              <w:top w:val="single" w:sz="4" w:space="0" w:color="auto"/>
              <w:left w:val="nil"/>
              <w:bottom w:val="double" w:sz="6" w:space="0" w:color="auto"/>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12,505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Calibri" w:hAnsi="Calibri" w:cs="Calibri"/>
                <w:color w:val="000000"/>
                <w:sz w:val="22"/>
                <w:szCs w:val="22"/>
              </w:rPr>
            </w:pP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Calibri" w:hAnsi="Calibri" w:cs="Calibri"/>
                <w:color w:val="000000"/>
                <w:sz w:val="22"/>
                <w:szCs w:val="22"/>
              </w:rPr>
            </w:pP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9105" w:type="dxa"/>
            <w:gridSpan w:val="4"/>
            <w:tcBorders>
              <w:top w:val="nil"/>
              <w:left w:val="nil"/>
              <w:bottom w:val="nil"/>
              <w:right w:val="nil"/>
            </w:tcBorders>
            <w:shd w:val="clear" w:color="auto" w:fill="auto"/>
            <w:noWrap/>
            <w:vAlign w:val="bottom"/>
            <w:hideMark/>
          </w:tcPr>
          <w:p w:rsidR="00BD6E9E" w:rsidRDefault="00BD6E9E" w:rsidP="00BD6E9E">
            <w:pPr>
              <w:spacing w:before="0" w:line="240" w:lineRule="auto"/>
              <w:rPr>
                <w:rFonts w:ascii="Arial" w:hAnsi="Arial" w:cs="Arial"/>
                <w:color w:val="000000"/>
                <w:sz w:val="20"/>
                <w:szCs w:val="20"/>
              </w:rPr>
            </w:pPr>
            <w:r w:rsidRPr="00BD6E9E">
              <w:rPr>
                <w:rFonts w:ascii="Arial" w:hAnsi="Arial" w:cs="Arial"/>
                <w:color w:val="000000"/>
                <w:sz w:val="20"/>
                <w:szCs w:val="20"/>
              </w:rPr>
              <w:t>Interest earned on cash held with Financial Institutions earned between 2.45% to 4.27% in 2014</w:t>
            </w:r>
          </w:p>
          <w:p w:rsidR="001027FD" w:rsidRPr="00BD6E9E" w:rsidRDefault="001027FD" w:rsidP="00BD6E9E">
            <w:pPr>
              <w:spacing w:before="0" w:line="240" w:lineRule="auto"/>
              <w:rPr>
                <w:rFonts w:ascii="Arial" w:hAnsi="Arial" w:cs="Arial"/>
                <w:color w:val="000000"/>
                <w:sz w:val="20"/>
                <w:szCs w:val="20"/>
              </w:rPr>
            </w:pPr>
            <w:r w:rsidRPr="00BD6E9E">
              <w:rPr>
                <w:rFonts w:ascii="Arial" w:hAnsi="Arial" w:cs="Arial"/>
                <w:color w:val="000000"/>
                <w:sz w:val="20"/>
                <w:szCs w:val="20"/>
              </w:rPr>
              <w:t>(2013: 2.70% to 6.00%).</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1027FD">
            <w:pPr>
              <w:spacing w:before="240" w:line="240" w:lineRule="auto"/>
              <w:rPr>
                <w:rFonts w:ascii="Arial" w:hAnsi="Arial" w:cs="Arial"/>
                <w:b/>
                <w:bCs/>
                <w:color w:val="000000"/>
                <w:sz w:val="20"/>
                <w:szCs w:val="20"/>
              </w:rPr>
            </w:pPr>
            <w:bookmarkStart w:id="109" w:name="Note12"/>
            <w:bookmarkEnd w:id="109"/>
            <w:r w:rsidRPr="00BD6E9E">
              <w:rPr>
                <w:rFonts w:ascii="Arial" w:hAnsi="Arial" w:cs="Arial"/>
                <w:b/>
                <w:bCs/>
                <w:color w:val="000000"/>
                <w:sz w:val="20"/>
                <w:szCs w:val="20"/>
              </w:rPr>
              <w:t>12</w:t>
            </w:r>
          </w:p>
        </w:tc>
        <w:tc>
          <w:tcPr>
            <w:tcW w:w="6511" w:type="dxa"/>
            <w:gridSpan w:val="2"/>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r w:rsidRPr="00BD6E9E">
              <w:rPr>
                <w:rFonts w:ascii="Arial" w:hAnsi="Arial" w:cs="Arial"/>
                <w:b/>
                <w:bCs/>
                <w:color w:val="000000"/>
                <w:sz w:val="20"/>
                <w:szCs w:val="20"/>
              </w:rPr>
              <w:t>Receivables</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sz w:val="20"/>
                <w:szCs w:val="20"/>
              </w:rPr>
            </w:pP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sz w:val="20"/>
                <w:szCs w:val="20"/>
              </w:rPr>
            </w:pPr>
            <w:r w:rsidRPr="00BD6E9E">
              <w:rPr>
                <w:rFonts w:ascii="Arial" w:hAnsi="Arial" w:cs="Arial"/>
                <w:sz w:val="20"/>
                <w:szCs w:val="20"/>
              </w:rPr>
              <w:t>Trade debtors</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32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269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sz w:val="20"/>
                <w:szCs w:val="20"/>
              </w:rPr>
            </w:pPr>
            <w:r w:rsidRPr="00BD6E9E">
              <w:rPr>
                <w:rFonts w:ascii="Arial" w:hAnsi="Arial" w:cs="Arial"/>
                <w:sz w:val="20"/>
                <w:szCs w:val="20"/>
              </w:rPr>
              <w:t>GST receivable</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412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395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sz w:val="20"/>
                <w:szCs w:val="20"/>
              </w:rPr>
            </w:pPr>
            <w:r w:rsidRPr="00BD6E9E">
              <w:rPr>
                <w:rFonts w:ascii="Arial" w:hAnsi="Arial" w:cs="Arial"/>
                <w:sz w:val="20"/>
                <w:szCs w:val="20"/>
              </w:rPr>
              <w:t>GST payable</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(7)</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sz w:val="20"/>
                <w:szCs w:val="20"/>
              </w:rPr>
            </w:pPr>
            <w:r w:rsidRPr="00BD6E9E">
              <w:rPr>
                <w:rFonts w:ascii="Arial" w:hAnsi="Arial" w:cs="Arial"/>
                <w:sz w:val="20"/>
                <w:szCs w:val="20"/>
              </w:rPr>
              <w:t>Interest receivable</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42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37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sz w:val="20"/>
                <w:szCs w:val="20"/>
              </w:rPr>
            </w:pPr>
            <w:r w:rsidRPr="00BD6E9E">
              <w:rPr>
                <w:rFonts w:ascii="Arial" w:hAnsi="Arial" w:cs="Arial"/>
                <w:sz w:val="20"/>
                <w:szCs w:val="20"/>
              </w:rPr>
              <w:t>Long service leave reimbursements</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80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222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511" w:type="dxa"/>
            <w:gridSpan w:val="2"/>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r w:rsidRPr="00BD6E9E">
              <w:rPr>
                <w:rFonts w:ascii="Arial" w:hAnsi="Arial" w:cs="Arial"/>
                <w:b/>
                <w:bCs/>
                <w:color w:val="000000"/>
                <w:sz w:val="20"/>
                <w:szCs w:val="20"/>
              </w:rPr>
              <w:t>Total</w:t>
            </w:r>
          </w:p>
        </w:tc>
        <w:tc>
          <w:tcPr>
            <w:tcW w:w="1297" w:type="dxa"/>
            <w:tcBorders>
              <w:top w:val="single" w:sz="4" w:space="0" w:color="auto"/>
              <w:left w:val="nil"/>
              <w:bottom w:val="double" w:sz="6" w:space="0" w:color="auto"/>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566 </w:t>
            </w:r>
          </w:p>
        </w:tc>
        <w:tc>
          <w:tcPr>
            <w:tcW w:w="1297" w:type="dxa"/>
            <w:tcBorders>
              <w:top w:val="single" w:sz="4" w:space="0" w:color="auto"/>
              <w:left w:val="nil"/>
              <w:bottom w:val="double" w:sz="6" w:space="0" w:color="auto"/>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916 </w:t>
            </w:r>
          </w:p>
        </w:tc>
      </w:tr>
      <w:tr w:rsidR="00BD6E9E" w:rsidRPr="001027FD"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1027FD">
            <w:pPr>
              <w:spacing w:before="240" w:line="240" w:lineRule="auto"/>
              <w:rPr>
                <w:rFonts w:ascii="Arial" w:hAnsi="Arial" w:cs="Arial"/>
                <w:b/>
                <w:bCs/>
                <w:color w:val="000000"/>
                <w:sz w:val="20"/>
                <w:szCs w:val="20"/>
              </w:rPr>
            </w:pPr>
            <w:bookmarkStart w:id="110" w:name="Note13"/>
            <w:bookmarkEnd w:id="110"/>
            <w:r w:rsidRPr="00BD6E9E">
              <w:rPr>
                <w:rFonts w:ascii="Arial" w:hAnsi="Arial" w:cs="Arial"/>
                <w:b/>
                <w:bCs/>
                <w:color w:val="000000"/>
                <w:sz w:val="20"/>
                <w:szCs w:val="20"/>
              </w:rPr>
              <w:t>13</w:t>
            </w:r>
          </w:p>
        </w:tc>
        <w:tc>
          <w:tcPr>
            <w:tcW w:w="6511" w:type="dxa"/>
            <w:gridSpan w:val="2"/>
            <w:tcBorders>
              <w:top w:val="nil"/>
              <w:left w:val="nil"/>
              <w:bottom w:val="nil"/>
              <w:right w:val="nil"/>
            </w:tcBorders>
            <w:shd w:val="clear" w:color="auto" w:fill="auto"/>
            <w:noWrap/>
            <w:vAlign w:val="bottom"/>
            <w:hideMark/>
          </w:tcPr>
          <w:p w:rsidR="00BD6E9E" w:rsidRPr="00BD6E9E" w:rsidRDefault="00BD6E9E" w:rsidP="001027FD">
            <w:pPr>
              <w:spacing w:before="240" w:line="240" w:lineRule="auto"/>
              <w:rPr>
                <w:rFonts w:ascii="Arial" w:hAnsi="Arial" w:cs="Arial"/>
                <w:b/>
                <w:bCs/>
                <w:color w:val="000000"/>
                <w:sz w:val="20"/>
                <w:szCs w:val="20"/>
              </w:rPr>
            </w:pPr>
            <w:r w:rsidRPr="00BD6E9E">
              <w:rPr>
                <w:rFonts w:ascii="Arial" w:hAnsi="Arial" w:cs="Arial"/>
                <w:b/>
                <w:bCs/>
                <w:color w:val="000000"/>
                <w:sz w:val="20"/>
                <w:szCs w:val="20"/>
              </w:rPr>
              <w:t>Inventories</w:t>
            </w:r>
          </w:p>
        </w:tc>
        <w:tc>
          <w:tcPr>
            <w:tcW w:w="1297" w:type="dxa"/>
            <w:tcBorders>
              <w:top w:val="nil"/>
              <w:left w:val="nil"/>
              <w:bottom w:val="nil"/>
              <w:right w:val="nil"/>
            </w:tcBorders>
            <w:shd w:val="clear" w:color="auto" w:fill="auto"/>
            <w:noWrap/>
            <w:vAlign w:val="bottom"/>
            <w:hideMark/>
          </w:tcPr>
          <w:p w:rsidR="00BD6E9E" w:rsidRPr="001027FD" w:rsidRDefault="00BD6E9E" w:rsidP="001027FD">
            <w:pPr>
              <w:spacing w:before="240" w:line="240" w:lineRule="auto"/>
              <w:rPr>
                <w:rFonts w:ascii="Arial" w:hAnsi="Arial" w:cs="Arial"/>
                <w:b/>
                <w:bCs/>
                <w:color w:val="000000"/>
                <w:sz w:val="20"/>
                <w:szCs w:val="20"/>
              </w:rPr>
            </w:pPr>
          </w:p>
        </w:tc>
        <w:tc>
          <w:tcPr>
            <w:tcW w:w="1297" w:type="dxa"/>
            <w:tcBorders>
              <w:top w:val="nil"/>
              <w:left w:val="nil"/>
              <w:bottom w:val="nil"/>
              <w:right w:val="nil"/>
            </w:tcBorders>
            <w:shd w:val="clear" w:color="auto" w:fill="auto"/>
            <w:noWrap/>
            <w:vAlign w:val="bottom"/>
            <w:hideMark/>
          </w:tcPr>
          <w:p w:rsidR="00BD6E9E" w:rsidRPr="001027FD" w:rsidRDefault="00BD6E9E" w:rsidP="001027FD">
            <w:pPr>
              <w:spacing w:before="240" w:line="240" w:lineRule="auto"/>
              <w:rPr>
                <w:rFonts w:ascii="Arial" w:hAnsi="Arial" w:cs="Arial"/>
                <w:b/>
                <w:bCs/>
                <w:color w:val="000000"/>
                <w:sz w:val="20"/>
                <w:szCs w:val="20"/>
              </w:rPr>
            </w:pP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sz w:val="20"/>
                <w:szCs w:val="20"/>
              </w:rPr>
            </w:pPr>
            <w:r w:rsidRPr="00BD6E9E">
              <w:rPr>
                <w:rFonts w:ascii="Arial" w:hAnsi="Arial" w:cs="Arial"/>
                <w:sz w:val="20"/>
                <w:szCs w:val="20"/>
              </w:rPr>
              <w:t>Publications</w:t>
            </w:r>
          </w:p>
        </w:tc>
        <w:tc>
          <w:tcPr>
            <w:tcW w:w="1297"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132 </w:t>
            </w: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32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511" w:type="dxa"/>
            <w:gridSpan w:val="2"/>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r w:rsidRPr="00BD6E9E">
              <w:rPr>
                <w:rFonts w:ascii="Arial" w:hAnsi="Arial" w:cs="Arial"/>
                <w:b/>
                <w:bCs/>
                <w:color w:val="000000"/>
                <w:sz w:val="20"/>
                <w:szCs w:val="20"/>
              </w:rPr>
              <w:t>Total</w:t>
            </w:r>
          </w:p>
        </w:tc>
        <w:tc>
          <w:tcPr>
            <w:tcW w:w="1297" w:type="dxa"/>
            <w:tcBorders>
              <w:top w:val="single" w:sz="4" w:space="0" w:color="auto"/>
              <w:left w:val="nil"/>
              <w:bottom w:val="double" w:sz="6" w:space="0" w:color="auto"/>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132 </w:t>
            </w:r>
          </w:p>
        </w:tc>
        <w:tc>
          <w:tcPr>
            <w:tcW w:w="1297" w:type="dxa"/>
            <w:tcBorders>
              <w:top w:val="single" w:sz="4" w:space="0" w:color="auto"/>
              <w:left w:val="nil"/>
              <w:bottom w:val="double" w:sz="6" w:space="0" w:color="auto"/>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32 </w:t>
            </w: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6114"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sz w:val="20"/>
                <w:szCs w:val="20"/>
              </w:rPr>
            </w:pP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Calibri" w:hAnsi="Calibri" w:cs="Calibri"/>
                <w:color w:val="000000"/>
                <w:sz w:val="22"/>
                <w:szCs w:val="22"/>
              </w:rPr>
            </w:pPr>
          </w:p>
        </w:tc>
        <w:tc>
          <w:tcPr>
            <w:tcW w:w="129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Calibri" w:hAnsi="Calibri" w:cs="Calibri"/>
                <w:color w:val="000000"/>
                <w:sz w:val="22"/>
                <w:szCs w:val="22"/>
              </w:rPr>
            </w:pPr>
          </w:p>
        </w:tc>
      </w:tr>
      <w:tr w:rsidR="00BD6E9E" w:rsidRPr="00BD6E9E" w:rsidTr="001027FD">
        <w:trPr>
          <w:trHeight w:val="300"/>
        </w:trPr>
        <w:tc>
          <w:tcPr>
            <w:tcW w:w="441"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9105" w:type="dxa"/>
            <w:gridSpan w:val="4"/>
            <w:tcBorders>
              <w:top w:val="nil"/>
              <w:left w:val="nil"/>
              <w:bottom w:val="nil"/>
              <w:right w:val="nil"/>
            </w:tcBorders>
            <w:shd w:val="clear" w:color="auto" w:fill="auto"/>
            <w:noWrap/>
            <w:vAlign w:val="bottom"/>
            <w:hideMark/>
          </w:tcPr>
          <w:p w:rsidR="005C2A68" w:rsidRDefault="00BD6E9E" w:rsidP="001027FD">
            <w:pPr>
              <w:spacing w:before="120" w:after="120"/>
              <w:rPr>
                <w:rFonts w:ascii="Arial" w:hAnsi="Arial" w:cs="Arial"/>
                <w:sz w:val="20"/>
                <w:szCs w:val="20"/>
              </w:rPr>
            </w:pPr>
            <w:r w:rsidRPr="00BD6E9E">
              <w:rPr>
                <w:rFonts w:ascii="Arial" w:hAnsi="Arial" w:cs="Arial"/>
                <w:sz w:val="20"/>
                <w:szCs w:val="20"/>
              </w:rPr>
              <w:t xml:space="preserve">Inventories have been valued at net realisable value in accordance with AASB 102 Inventories. </w:t>
            </w:r>
          </w:p>
          <w:p w:rsidR="00BD6E9E" w:rsidRPr="00BD6E9E" w:rsidRDefault="00BD6E9E" w:rsidP="001027FD">
            <w:pPr>
              <w:spacing w:before="120" w:after="120"/>
              <w:rPr>
                <w:rFonts w:ascii="Arial" w:hAnsi="Arial" w:cs="Arial"/>
                <w:sz w:val="20"/>
                <w:szCs w:val="20"/>
              </w:rPr>
            </w:pPr>
            <w:r w:rsidRPr="00BD6E9E">
              <w:rPr>
                <w:rFonts w:ascii="Arial" w:hAnsi="Arial" w:cs="Arial"/>
                <w:sz w:val="20"/>
                <w:szCs w:val="20"/>
              </w:rPr>
              <w:t xml:space="preserve">The balance of </w:t>
            </w:r>
            <w:r w:rsidRPr="00BD6E9E">
              <w:rPr>
                <w:rFonts w:ascii="Arial" w:hAnsi="Arial" w:cs="Arial"/>
                <w:color w:val="000000"/>
                <w:sz w:val="20"/>
                <w:szCs w:val="20"/>
              </w:rPr>
              <w:t>inventory held has increased by $100,044 due to an increase in the purchase of past QCS Test papers to be held for sale. This stock is expected to be sold in the 2014/15 financial year. No inventory held has been pledged as security for liabilities.</w:t>
            </w:r>
          </w:p>
        </w:tc>
      </w:tr>
    </w:tbl>
    <w:p w:rsidR="002D140E" w:rsidRDefault="002D140E">
      <w:r>
        <w:br w:type="page"/>
      </w:r>
    </w:p>
    <w:tbl>
      <w:tblPr>
        <w:tblW w:w="4952" w:type="pct"/>
        <w:tblInd w:w="93" w:type="dxa"/>
        <w:tblCellMar>
          <w:left w:w="85" w:type="dxa"/>
          <w:right w:w="85" w:type="dxa"/>
        </w:tblCellMar>
        <w:tblLook w:val="04A0" w:firstRow="1" w:lastRow="0" w:firstColumn="1" w:lastColumn="0" w:noHBand="0" w:noVBand="1"/>
      </w:tblPr>
      <w:tblGrid>
        <w:gridCol w:w="407"/>
        <w:gridCol w:w="3122"/>
        <w:gridCol w:w="1013"/>
        <w:gridCol w:w="1012"/>
        <w:gridCol w:w="1012"/>
        <w:gridCol w:w="1012"/>
        <w:gridCol w:w="1012"/>
        <w:gridCol w:w="1012"/>
      </w:tblGrid>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center"/>
              <w:rPr>
                <w:rFonts w:ascii="Arial" w:hAnsi="Arial" w:cs="Arial"/>
                <w:color w:val="000000"/>
                <w:sz w:val="20"/>
                <w:szCs w:val="20"/>
              </w:rPr>
            </w:pPr>
          </w:p>
        </w:tc>
        <w:tc>
          <w:tcPr>
            <w:tcW w:w="1013"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2014</w:t>
            </w: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2013</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bookmarkStart w:id="111" w:name="Note14"/>
            <w:bookmarkEnd w:id="111"/>
            <w:r w:rsidRPr="00BD6E9E">
              <w:rPr>
                <w:rFonts w:ascii="Arial" w:hAnsi="Arial" w:cs="Arial"/>
                <w:b/>
                <w:bCs/>
                <w:color w:val="000000"/>
                <w:sz w:val="20"/>
                <w:szCs w:val="20"/>
              </w:rPr>
              <w:t>14</w:t>
            </w: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r w:rsidRPr="00BD6E9E">
              <w:rPr>
                <w:rFonts w:ascii="Arial" w:hAnsi="Arial" w:cs="Arial"/>
                <w:b/>
                <w:bCs/>
                <w:color w:val="000000"/>
                <w:sz w:val="20"/>
                <w:szCs w:val="20"/>
              </w:rPr>
              <w:t>Intangible Assets</w:t>
            </w:r>
          </w:p>
        </w:tc>
        <w:tc>
          <w:tcPr>
            <w:tcW w:w="1013"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$'000 </w:t>
            </w: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$'000 </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ind w:firstLineChars="100" w:firstLine="200"/>
              <w:rPr>
                <w:rFonts w:ascii="Arial" w:hAnsi="Arial" w:cs="Arial"/>
                <w:color w:val="000000"/>
                <w:sz w:val="20"/>
                <w:szCs w:val="20"/>
              </w:rPr>
            </w:pPr>
            <w:r w:rsidRPr="00BD6E9E">
              <w:rPr>
                <w:rFonts w:ascii="Arial" w:hAnsi="Arial" w:cs="Arial"/>
                <w:color w:val="000000"/>
                <w:sz w:val="20"/>
                <w:szCs w:val="20"/>
              </w:rPr>
              <w:t>Software internally generated</w:t>
            </w:r>
          </w:p>
        </w:tc>
        <w:tc>
          <w:tcPr>
            <w:tcW w:w="1013"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000000" w:fill="D9D9D9"/>
            <w:noWrap/>
            <w:vAlign w:val="bottom"/>
            <w:hideMark/>
          </w:tcPr>
          <w:p w:rsidR="00BD6E9E" w:rsidRPr="00370BED" w:rsidRDefault="00BD6E9E" w:rsidP="00BD6E9E">
            <w:pPr>
              <w:spacing w:before="0" w:line="240" w:lineRule="auto"/>
              <w:jc w:val="right"/>
              <w:rPr>
                <w:rFonts w:ascii="Arial" w:hAnsi="Arial" w:cs="Arial"/>
                <w:bCs/>
                <w:color w:val="000000"/>
                <w:sz w:val="20"/>
                <w:szCs w:val="20"/>
              </w:rPr>
            </w:pPr>
            <w:r w:rsidRPr="00370BED">
              <w:rPr>
                <w:rFonts w:ascii="Arial" w:hAnsi="Arial" w:cs="Arial"/>
                <w:bCs/>
                <w:color w:val="000000"/>
                <w:sz w:val="20"/>
                <w:szCs w:val="20"/>
              </w:rPr>
              <w:t> </w:t>
            </w:r>
          </w:p>
        </w:tc>
        <w:tc>
          <w:tcPr>
            <w:tcW w:w="1012" w:type="dxa"/>
            <w:tcBorders>
              <w:top w:val="nil"/>
              <w:left w:val="nil"/>
              <w:bottom w:val="nil"/>
              <w:right w:val="nil"/>
            </w:tcBorders>
            <w:shd w:val="clear" w:color="auto" w:fill="auto"/>
            <w:noWrap/>
            <w:vAlign w:val="bottom"/>
            <w:hideMark/>
          </w:tcPr>
          <w:p w:rsidR="00BD6E9E" w:rsidRPr="00370BED" w:rsidRDefault="00BD6E9E" w:rsidP="00BD6E9E">
            <w:pPr>
              <w:spacing w:before="0" w:line="240" w:lineRule="auto"/>
              <w:jc w:val="right"/>
              <w:rPr>
                <w:rFonts w:ascii="Arial" w:hAnsi="Arial" w:cs="Arial"/>
                <w:bCs/>
                <w:color w:val="000000"/>
                <w:sz w:val="20"/>
                <w:szCs w:val="20"/>
              </w:rPr>
            </w:pP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ind w:firstLineChars="200" w:firstLine="400"/>
              <w:rPr>
                <w:rFonts w:ascii="Arial" w:hAnsi="Arial" w:cs="Arial"/>
                <w:color w:val="000000"/>
                <w:sz w:val="20"/>
                <w:szCs w:val="20"/>
              </w:rPr>
            </w:pPr>
            <w:r w:rsidRPr="00BD6E9E">
              <w:rPr>
                <w:rFonts w:ascii="Arial" w:hAnsi="Arial" w:cs="Arial"/>
                <w:color w:val="000000"/>
                <w:sz w:val="20"/>
                <w:szCs w:val="20"/>
              </w:rPr>
              <w:t xml:space="preserve"> At cost: </w:t>
            </w:r>
          </w:p>
        </w:tc>
        <w:tc>
          <w:tcPr>
            <w:tcW w:w="1013"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11,067 </w:t>
            </w: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12,800 </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4135" w:type="dxa"/>
            <w:gridSpan w:val="2"/>
            <w:tcBorders>
              <w:top w:val="nil"/>
              <w:left w:val="nil"/>
              <w:bottom w:val="nil"/>
              <w:right w:val="nil"/>
            </w:tcBorders>
            <w:shd w:val="clear" w:color="auto" w:fill="auto"/>
            <w:noWrap/>
            <w:vAlign w:val="bottom"/>
            <w:hideMark/>
          </w:tcPr>
          <w:p w:rsidR="00BD6E9E" w:rsidRPr="00BD6E9E" w:rsidRDefault="00BD6E9E" w:rsidP="00BD6E9E">
            <w:pPr>
              <w:spacing w:before="0" w:line="240" w:lineRule="auto"/>
              <w:ind w:firstLineChars="200" w:firstLine="400"/>
              <w:rPr>
                <w:rFonts w:ascii="Arial" w:hAnsi="Arial" w:cs="Arial"/>
                <w:color w:val="000000"/>
                <w:sz w:val="20"/>
                <w:szCs w:val="20"/>
              </w:rPr>
            </w:pPr>
            <w:r w:rsidRPr="00BD6E9E">
              <w:rPr>
                <w:rFonts w:ascii="Arial" w:hAnsi="Arial" w:cs="Arial"/>
                <w:color w:val="000000"/>
                <w:sz w:val="20"/>
                <w:szCs w:val="20"/>
              </w:rPr>
              <w:t xml:space="preserve"> Less: Accumulated amortisation </w:t>
            </w: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(8,422)</w:t>
            </w: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(8,506)</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4135" w:type="dxa"/>
            <w:gridSpan w:val="2"/>
            <w:tcBorders>
              <w:top w:val="nil"/>
              <w:left w:val="nil"/>
              <w:bottom w:val="nil"/>
              <w:right w:val="nil"/>
            </w:tcBorders>
            <w:shd w:val="clear" w:color="auto" w:fill="auto"/>
            <w:noWrap/>
            <w:vAlign w:val="bottom"/>
            <w:hideMark/>
          </w:tcPr>
          <w:p w:rsidR="00BD6E9E" w:rsidRPr="00BD6E9E" w:rsidRDefault="00BD6E9E" w:rsidP="00BD6E9E">
            <w:pPr>
              <w:spacing w:before="0" w:line="240" w:lineRule="auto"/>
              <w:ind w:firstLineChars="200" w:firstLine="400"/>
              <w:rPr>
                <w:rFonts w:ascii="Arial" w:hAnsi="Arial" w:cs="Arial"/>
                <w:color w:val="000000"/>
                <w:sz w:val="20"/>
                <w:szCs w:val="20"/>
              </w:rPr>
            </w:pPr>
            <w:r w:rsidRPr="00BD6E9E">
              <w:rPr>
                <w:rFonts w:ascii="Arial" w:hAnsi="Arial" w:cs="Arial"/>
                <w:color w:val="000000"/>
                <w:sz w:val="20"/>
                <w:szCs w:val="20"/>
              </w:rPr>
              <w:t xml:space="preserve"> Less: Accumulated impairment losses </w:t>
            </w: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(800)</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hideMark/>
          </w:tcPr>
          <w:p w:rsidR="00BD6E9E" w:rsidRPr="00BD6E9E" w:rsidRDefault="00BD6E9E" w:rsidP="00BD6E9E">
            <w:pPr>
              <w:spacing w:before="0" w:line="240" w:lineRule="auto"/>
              <w:ind w:firstLineChars="200" w:firstLine="400"/>
              <w:rPr>
                <w:rFonts w:ascii="Arial" w:hAnsi="Arial" w:cs="Arial"/>
                <w:color w:val="000000"/>
                <w:sz w:val="20"/>
                <w:szCs w:val="20"/>
              </w:rPr>
            </w:pPr>
          </w:p>
        </w:tc>
        <w:tc>
          <w:tcPr>
            <w:tcW w:w="1013"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single" w:sz="4" w:space="0" w:color="auto"/>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2,645 </w:t>
            </w:r>
          </w:p>
        </w:tc>
        <w:tc>
          <w:tcPr>
            <w:tcW w:w="1012" w:type="dxa"/>
            <w:tcBorders>
              <w:top w:val="single" w:sz="4" w:space="0" w:color="auto"/>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3,494 </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hideMark/>
          </w:tcPr>
          <w:p w:rsidR="00BD6E9E" w:rsidRPr="00BD6E9E" w:rsidRDefault="00BD6E9E" w:rsidP="00BD6E9E">
            <w:pPr>
              <w:spacing w:before="0" w:line="240" w:lineRule="auto"/>
              <w:ind w:firstLineChars="200" w:firstLine="400"/>
              <w:rPr>
                <w:rFonts w:ascii="Arial" w:hAnsi="Arial" w:cs="Arial"/>
                <w:color w:val="000000"/>
                <w:sz w:val="20"/>
                <w:szCs w:val="20"/>
              </w:rPr>
            </w:pPr>
          </w:p>
        </w:tc>
        <w:tc>
          <w:tcPr>
            <w:tcW w:w="1013"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w:t>
            </w: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5147" w:type="dxa"/>
            <w:gridSpan w:val="3"/>
            <w:tcBorders>
              <w:top w:val="nil"/>
              <w:left w:val="nil"/>
              <w:bottom w:val="nil"/>
              <w:right w:val="nil"/>
            </w:tcBorders>
            <w:shd w:val="clear" w:color="auto" w:fill="auto"/>
            <w:noWrap/>
            <w:hideMark/>
          </w:tcPr>
          <w:p w:rsidR="00BD6E9E" w:rsidRPr="00BD6E9E" w:rsidRDefault="00BD6E9E" w:rsidP="00BD6E9E">
            <w:pPr>
              <w:spacing w:before="0" w:line="240" w:lineRule="auto"/>
              <w:ind w:firstLineChars="100" w:firstLine="200"/>
              <w:rPr>
                <w:rFonts w:ascii="Arial" w:hAnsi="Arial" w:cs="Arial"/>
                <w:color w:val="000000"/>
                <w:sz w:val="20"/>
                <w:szCs w:val="20"/>
              </w:rPr>
            </w:pPr>
            <w:r w:rsidRPr="00BD6E9E">
              <w:rPr>
                <w:rFonts w:ascii="Arial" w:hAnsi="Arial" w:cs="Arial"/>
                <w:color w:val="000000"/>
                <w:sz w:val="20"/>
                <w:szCs w:val="20"/>
              </w:rPr>
              <w:t>Software under development (Work in progress)</w:t>
            </w:r>
          </w:p>
        </w:tc>
        <w:tc>
          <w:tcPr>
            <w:tcW w:w="1012" w:type="dxa"/>
            <w:tcBorders>
              <w:top w:val="nil"/>
              <w:left w:val="nil"/>
              <w:bottom w:val="nil"/>
              <w:right w:val="nil"/>
            </w:tcBorders>
            <w:shd w:val="clear" w:color="auto" w:fill="auto"/>
            <w:hideMark/>
          </w:tcPr>
          <w:p w:rsidR="00BD6E9E" w:rsidRPr="00BD6E9E" w:rsidRDefault="00BD6E9E" w:rsidP="00BD6E9E">
            <w:pPr>
              <w:spacing w:before="0" w:line="240" w:lineRule="auto"/>
              <w:ind w:firstLineChars="200" w:firstLine="400"/>
              <w:rPr>
                <w:rFonts w:ascii="Arial" w:hAnsi="Arial" w:cs="Arial"/>
                <w:color w:val="000000"/>
                <w:sz w:val="20"/>
                <w:szCs w:val="20"/>
              </w:rPr>
            </w:pPr>
          </w:p>
        </w:tc>
        <w:tc>
          <w:tcPr>
            <w:tcW w:w="1012" w:type="dxa"/>
            <w:tcBorders>
              <w:top w:val="nil"/>
              <w:left w:val="nil"/>
              <w:bottom w:val="nil"/>
              <w:right w:val="nil"/>
            </w:tcBorders>
            <w:shd w:val="clear" w:color="auto" w:fill="auto"/>
            <w:hideMark/>
          </w:tcPr>
          <w:p w:rsidR="00BD6E9E" w:rsidRPr="00BD6E9E" w:rsidRDefault="00BD6E9E" w:rsidP="00BD6E9E">
            <w:pPr>
              <w:spacing w:before="0" w:line="240" w:lineRule="auto"/>
              <w:ind w:firstLineChars="200" w:firstLine="400"/>
              <w:rPr>
                <w:rFonts w:ascii="Arial" w:hAnsi="Arial" w:cs="Arial"/>
                <w:color w:val="000000"/>
                <w:sz w:val="20"/>
                <w:szCs w:val="20"/>
              </w:rPr>
            </w:pPr>
          </w:p>
        </w:tc>
        <w:tc>
          <w:tcPr>
            <w:tcW w:w="1012" w:type="dxa"/>
            <w:tcBorders>
              <w:top w:val="nil"/>
              <w:left w:val="nil"/>
              <w:bottom w:val="nil"/>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897 </w:t>
            </w: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271 </w:t>
            </w:r>
          </w:p>
        </w:tc>
      </w:tr>
      <w:tr w:rsidR="00BD6E9E" w:rsidRPr="00BD6E9E" w:rsidTr="00850383">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850383">
            <w:pPr>
              <w:spacing w:before="0" w:line="240" w:lineRule="auto"/>
              <w:rPr>
                <w:rFonts w:ascii="Arial" w:hAnsi="Arial" w:cs="Arial"/>
                <w:b/>
                <w:bCs/>
                <w:color w:val="000000"/>
                <w:sz w:val="20"/>
                <w:szCs w:val="20"/>
              </w:rPr>
            </w:pPr>
            <w:r w:rsidRPr="00BD6E9E">
              <w:rPr>
                <w:rFonts w:ascii="Arial" w:hAnsi="Arial" w:cs="Arial"/>
                <w:b/>
                <w:bCs/>
                <w:color w:val="000000"/>
                <w:sz w:val="20"/>
                <w:szCs w:val="20"/>
              </w:rPr>
              <w:t>Total</w:t>
            </w:r>
          </w:p>
        </w:tc>
        <w:tc>
          <w:tcPr>
            <w:tcW w:w="1013" w:type="dxa"/>
            <w:tcBorders>
              <w:top w:val="nil"/>
              <w:left w:val="nil"/>
              <w:bottom w:val="nil"/>
              <w:right w:val="nil"/>
            </w:tcBorders>
            <w:shd w:val="clear" w:color="auto" w:fill="auto"/>
            <w:hideMark/>
          </w:tcPr>
          <w:p w:rsidR="00BD6E9E" w:rsidRPr="00BD6E9E" w:rsidRDefault="00BD6E9E" w:rsidP="00BD6E9E">
            <w:pPr>
              <w:spacing w:before="0" w:line="240" w:lineRule="auto"/>
              <w:ind w:firstLineChars="200" w:firstLine="400"/>
              <w:rPr>
                <w:rFonts w:ascii="Arial" w:hAnsi="Arial" w:cs="Arial"/>
                <w:color w:val="000000"/>
                <w:sz w:val="20"/>
                <w:szCs w:val="20"/>
              </w:rPr>
            </w:pPr>
          </w:p>
        </w:tc>
        <w:tc>
          <w:tcPr>
            <w:tcW w:w="1012" w:type="dxa"/>
            <w:tcBorders>
              <w:top w:val="nil"/>
              <w:left w:val="nil"/>
              <w:bottom w:val="nil"/>
              <w:right w:val="nil"/>
            </w:tcBorders>
            <w:shd w:val="clear" w:color="auto" w:fill="auto"/>
            <w:hideMark/>
          </w:tcPr>
          <w:p w:rsidR="00BD6E9E" w:rsidRPr="00BD6E9E" w:rsidRDefault="00BD6E9E" w:rsidP="00BD6E9E">
            <w:pPr>
              <w:spacing w:before="0" w:line="240" w:lineRule="auto"/>
              <w:ind w:firstLineChars="200" w:firstLine="400"/>
              <w:rPr>
                <w:rFonts w:ascii="Arial" w:hAnsi="Arial" w:cs="Arial"/>
                <w:color w:val="000000"/>
                <w:sz w:val="20"/>
                <w:szCs w:val="20"/>
              </w:rPr>
            </w:pPr>
          </w:p>
        </w:tc>
        <w:tc>
          <w:tcPr>
            <w:tcW w:w="1012" w:type="dxa"/>
            <w:tcBorders>
              <w:top w:val="nil"/>
              <w:left w:val="nil"/>
              <w:bottom w:val="nil"/>
              <w:right w:val="nil"/>
            </w:tcBorders>
            <w:shd w:val="clear" w:color="auto" w:fill="auto"/>
            <w:hideMark/>
          </w:tcPr>
          <w:p w:rsidR="00BD6E9E" w:rsidRPr="00BD6E9E" w:rsidRDefault="00BD6E9E" w:rsidP="00BD6E9E">
            <w:pPr>
              <w:spacing w:before="0" w:line="240" w:lineRule="auto"/>
              <w:ind w:firstLineChars="200" w:firstLine="400"/>
              <w:rPr>
                <w:rFonts w:ascii="Arial" w:hAnsi="Arial" w:cs="Arial"/>
                <w:color w:val="000000"/>
                <w:sz w:val="20"/>
                <w:szCs w:val="20"/>
              </w:rPr>
            </w:pPr>
          </w:p>
        </w:tc>
        <w:tc>
          <w:tcPr>
            <w:tcW w:w="1012" w:type="dxa"/>
            <w:tcBorders>
              <w:top w:val="nil"/>
              <w:left w:val="nil"/>
              <w:bottom w:val="nil"/>
              <w:right w:val="nil"/>
            </w:tcBorders>
            <w:shd w:val="clear" w:color="auto" w:fill="auto"/>
            <w:hideMark/>
          </w:tcPr>
          <w:p w:rsidR="00BD6E9E" w:rsidRPr="00BD6E9E" w:rsidRDefault="00BD6E9E" w:rsidP="00BD6E9E">
            <w:pPr>
              <w:spacing w:before="0" w:line="240" w:lineRule="auto"/>
              <w:ind w:firstLineChars="200" w:firstLine="400"/>
              <w:rPr>
                <w:rFonts w:ascii="Arial" w:hAnsi="Arial" w:cs="Arial"/>
                <w:color w:val="000000"/>
                <w:sz w:val="20"/>
                <w:szCs w:val="20"/>
              </w:rPr>
            </w:pPr>
          </w:p>
        </w:tc>
        <w:tc>
          <w:tcPr>
            <w:tcW w:w="1012" w:type="dxa"/>
            <w:tcBorders>
              <w:top w:val="single" w:sz="4" w:space="0" w:color="auto"/>
              <w:left w:val="nil"/>
              <w:bottom w:val="double" w:sz="6" w:space="0" w:color="auto"/>
              <w:right w:val="nil"/>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3,542 </w:t>
            </w:r>
          </w:p>
        </w:tc>
        <w:tc>
          <w:tcPr>
            <w:tcW w:w="1012" w:type="dxa"/>
            <w:tcBorders>
              <w:top w:val="single" w:sz="4" w:space="0" w:color="auto"/>
              <w:left w:val="nil"/>
              <w:bottom w:val="double" w:sz="6" w:space="0" w:color="auto"/>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3,765 </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p>
        </w:tc>
        <w:tc>
          <w:tcPr>
            <w:tcW w:w="1013"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c>
          <w:tcPr>
            <w:tcW w:w="1012" w:type="dxa"/>
            <w:tcBorders>
              <w:top w:val="nil"/>
              <w:left w:val="nil"/>
              <w:bottom w:val="nil"/>
              <w:right w:val="nil"/>
            </w:tcBorders>
            <w:shd w:val="clear" w:color="auto" w:fill="auto"/>
            <w:noWrap/>
            <w:hideMark/>
          </w:tcPr>
          <w:p w:rsidR="00BD6E9E" w:rsidRPr="00BD6E9E" w:rsidRDefault="00BD6E9E" w:rsidP="00BD6E9E">
            <w:pPr>
              <w:spacing w:before="0" w:line="240" w:lineRule="auto"/>
              <w:rPr>
                <w:rFonts w:ascii="Arial" w:hAnsi="Arial" w:cs="Arial"/>
                <w:color w:val="000000"/>
                <w:sz w:val="20"/>
                <w:szCs w:val="20"/>
              </w:rPr>
            </w:pP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r w:rsidRPr="00BD6E9E">
              <w:rPr>
                <w:rFonts w:ascii="Arial" w:hAnsi="Arial" w:cs="Arial"/>
                <w:b/>
                <w:bCs/>
                <w:color w:val="000000"/>
                <w:sz w:val="20"/>
                <w:szCs w:val="20"/>
              </w:rPr>
              <w:t>Intangibles Reconciliation</w:t>
            </w:r>
          </w:p>
        </w:tc>
        <w:tc>
          <w:tcPr>
            <w:tcW w:w="1013"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c>
          <w:tcPr>
            <w:tcW w:w="101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p>
        </w:tc>
      </w:tr>
      <w:tr w:rsidR="00BD6E9E" w:rsidRPr="00BD6E9E" w:rsidTr="007F0F0F">
        <w:trPr>
          <w:trHeight w:val="6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p>
        </w:tc>
        <w:tc>
          <w:tcPr>
            <w:tcW w:w="20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6E9E" w:rsidRPr="00BD6E9E" w:rsidRDefault="00BD6E9E" w:rsidP="00BD6E9E">
            <w:pPr>
              <w:spacing w:before="0" w:line="240" w:lineRule="auto"/>
              <w:jc w:val="center"/>
              <w:rPr>
                <w:rFonts w:ascii="Arial" w:hAnsi="Arial" w:cs="Arial"/>
                <w:b/>
                <w:bCs/>
                <w:color w:val="000000"/>
                <w:sz w:val="20"/>
                <w:szCs w:val="20"/>
              </w:rPr>
            </w:pPr>
            <w:r w:rsidRPr="00BD6E9E">
              <w:rPr>
                <w:rFonts w:ascii="Arial" w:hAnsi="Arial" w:cs="Arial"/>
                <w:b/>
                <w:bCs/>
                <w:color w:val="000000"/>
                <w:sz w:val="20"/>
                <w:szCs w:val="20"/>
              </w:rPr>
              <w:t xml:space="preserve">Software Development WIP </w:t>
            </w:r>
          </w:p>
        </w:tc>
        <w:tc>
          <w:tcPr>
            <w:tcW w:w="2024" w:type="dxa"/>
            <w:gridSpan w:val="2"/>
            <w:tcBorders>
              <w:top w:val="single" w:sz="4" w:space="0" w:color="auto"/>
              <w:left w:val="nil"/>
              <w:bottom w:val="single" w:sz="4" w:space="0" w:color="auto"/>
              <w:right w:val="single" w:sz="4" w:space="0" w:color="auto"/>
            </w:tcBorders>
            <w:shd w:val="clear" w:color="auto" w:fill="auto"/>
            <w:vAlign w:val="center"/>
            <w:hideMark/>
          </w:tcPr>
          <w:p w:rsidR="00BD6E9E" w:rsidRPr="00BD6E9E" w:rsidRDefault="00BD6E9E" w:rsidP="00BD6E9E">
            <w:pPr>
              <w:spacing w:before="0" w:line="240" w:lineRule="auto"/>
              <w:jc w:val="center"/>
              <w:rPr>
                <w:rFonts w:ascii="Arial" w:hAnsi="Arial" w:cs="Arial"/>
                <w:b/>
                <w:bCs/>
                <w:color w:val="000000"/>
                <w:sz w:val="20"/>
                <w:szCs w:val="20"/>
              </w:rPr>
            </w:pPr>
            <w:r>
              <w:rPr>
                <w:rFonts w:ascii="Arial" w:hAnsi="Arial" w:cs="Arial"/>
                <w:b/>
                <w:bCs/>
                <w:color w:val="000000"/>
                <w:sz w:val="20"/>
                <w:szCs w:val="20"/>
              </w:rPr>
              <w:t>Software Internally Generated</w:t>
            </w:r>
          </w:p>
        </w:tc>
        <w:tc>
          <w:tcPr>
            <w:tcW w:w="2024" w:type="dxa"/>
            <w:gridSpan w:val="2"/>
            <w:tcBorders>
              <w:top w:val="single" w:sz="4" w:space="0" w:color="auto"/>
              <w:left w:val="nil"/>
              <w:bottom w:val="single" w:sz="4" w:space="0" w:color="auto"/>
              <w:right w:val="single" w:sz="4" w:space="0" w:color="auto"/>
            </w:tcBorders>
            <w:shd w:val="clear" w:color="auto" w:fill="auto"/>
            <w:vAlign w:val="center"/>
            <w:hideMark/>
          </w:tcPr>
          <w:p w:rsidR="00BD6E9E" w:rsidRPr="00BD6E9E" w:rsidRDefault="00BD6E9E" w:rsidP="00BD6E9E">
            <w:pPr>
              <w:spacing w:before="0" w:line="240" w:lineRule="auto"/>
              <w:jc w:val="center"/>
              <w:rPr>
                <w:rFonts w:ascii="Arial" w:hAnsi="Arial" w:cs="Arial"/>
                <w:b/>
                <w:bCs/>
                <w:color w:val="000000"/>
                <w:sz w:val="20"/>
                <w:szCs w:val="20"/>
              </w:rPr>
            </w:pPr>
            <w:r>
              <w:rPr>
                <w:rFonts w:ascii="Arial" w:hAnsi="Arial" w:cs="Arial"/>
                <w:b/>
                <w:bCs/>
                <w:color w:val="000000"/>
                <w:sz w:val="20"/>
                <w:szCs w:val="20"/>
              </w:rPr>
              <w:t>Total</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p>
        </w:tc>
        <w:tc>
          <w:tcPr>
            <w:tcW w:w="1013" w:type="dxa"/>
            <w:tcBorders>
              <w:top w:val="nil"/>
              <w:left w:val="single" w:sz="4" w:space="0" w:color="auto"/>
              <w:bottom w:val="single" w:sz="4" w:space="0" w:color="auto"/>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2014</w:t>
            </w:r>
          </w:p>
        </w:tc>
        <w:tc>
          <w:tcPr>
            <w:tcW w:w="1012" w:type="dxa"/>
            <w:tcBorders>
              <w:top w:val="nil"/>
              <w:left w:val="nil"/>
              <w:bottom w:val="single" w:sz="4" w:space="0" w:color="auto"/>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2013</w:t>
            </w:r>
          </w:p>
        </w:tc>
        <w:tc>
          <w:tcPr>
            <w:tcW w:w="1012" w:type="dxa"/>
            <w:tcBorders>
              <w:top w:val="nil"/>
              <w:left w:val="nil"/>
              <w:bottom w:val="single" w:sz="4" w:space="0" w:color="auto"/>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2014</w:t>
            </w:r>
          </w:p>
        </w:tc>
        <w:tc>
          <w:tcPr>
            <w:tcW w:w="1012" w:type="dxa"/>
            <w:tcBorders>
              <w:top w:val="nil"/>
              <w:left w:val="nil"/>
              <w:bottom w:val="single" w:sz="4" w:space="0" w:color="auto"/>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2013</w:t>
            </w:r>
          </w:p>
        </w:tc>
        <w:tc>
          <w:tcPr>
            <w:tcW w:w="1012" w:type="dxa"/>
            <w:tcBorders>
              <w:top w:val="nil"/>
              <w:left w:val="nil"/>
              <w:bottom w:val="single" w:sz="4" w:space="0" w:color="auto"/>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2014</w:t>
            </w:r>
          </w:p>
        </w:tc>
        <w:tc>
          <w:tcPr>
            <w:tcW w:w="1012" w:type="dxa"/>
            <w:tcBorders>
              <w:top w:val="nil"/>
              <w:left w:val="nil"/>
              <w:bottom w:val="single" w:sz="4" w:space="0" w:color="auto"/>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2013</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color w:val="000000"/>
                <w:sz w:val="20"/>
                <w:szCs w:val="20"/>
              </w:rPr>
            </w:pPr>
          </w:p>
        </w:tc>
        <w:tc>
          <w:tcPr>
            <w:tcW w:w="1013" w:type="dxa"/>
            <w:tcBorders>
              <w:top w:val="nil"/>
              <w:left w:val="single" w:sz="4" w:space="0" w:color="auto"/>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$'000</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$'000</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$'000</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$'000</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$'000</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$'000</w:t>
            </w:r>
          </w:p>
        </w:tc>
      </w:tr>
      <w:tr w:rsidR="00BD6E9E" w:rsidRPr="00BD6E9E" w:rsidTr="007F0F0F">
        <w:trPr>
          <w:trHeight w:val="6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vAlign w:val="bottom"/>
            <w:hideMark/>
          </w:tcPr>
          <w:p w:rsidR="00BD6E9E" w:rsidRPr="00BD6E9E" w:rsidRDefault="00BD6E9E" w:rsidP="00BD6E9E">
            <w:pPr>
              <w:spacing w:before="0" w:line="240" w:lineRule="auto"/>
              <w:rPr>
                <w:rFonts w:ascii="Arial" w:hAnsi="Arial" w:cs="Arial"/>
                <w:b/>
                <w:bCs/>
                <w:color w:val="000000"/>
                <w:sz w:val="20"/>
                <w:szCs w:val="20"/>
              </w:rPr>
            </w:pPr>
            <w:r w:rsidRPr="00BD6E9E">
              <w:rPr>
                <w:rFonts w:ascii="Arial" w:hAnsi="Arial" w:cs="Arial"/>
                <w:b/>
                <w:bCs/>
                <w:color w:val="000000"/>
                <w:sz w:val="20"/>
                <w:szCs w:val="20"/>
              </w:rPr>
              <w:t>Opening Balance</w:t>
            </w:r>
          </w:p>
        </w:tc>
        <w:tc>
          <w:tcPr>
            <w:tcW w:w="1013" w:type="dxa"/>
            <w:tcBorders>
              <w:top w:val="nil"/>
              <w:left w:val="single" w:sz="4" w:space="0" w:color="auto"/>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271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182 </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3,494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5,420 </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3,765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5,602 </w:t>
            </w:r>
          </w:p>
        </w:tc>
      </w:tr>
      <w:tr w:rsidR="00BD6E9E" w:rsidRPr="00BD6E9E" w:rsidTr="007F0F0F">
        <w:trPr>
          <w:trHeight w:val="6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vAlign w:val="bottom"/>
            <w:hideMark/>
          </w:tcPr>
          <w:p w:rsidR="00BD6E9E" w:rsidRPr="00BD6E9E" w:rsidRDefault="00BD6E9E" w:rsidP="00BD6E9E">
            <w:pPr>
              <w:spacing w:before="0" w:line="240" w:lineRule="auto"/>
              <w:rPr>
                <w:rFonts w:ascii="Arial" w:hAnsi="Arial" w:cs="Arial"/>
                <w:color w:val="000000"/>
                <w:sz w:val="20"/>
                <w:szCs w:val="20"/>
              </w:rPr>
            </w:pPr>
            <w:r w:rsidRPr="00BD6E9E">
              <w:rPr>
                <w:rFonts w:ascii="Arial" w:hAnsi="Arial" w:cs="Arial"/>
                <w:color w:val="000000"/>
                <w:sz w:val="20"/>
                <w:szCs w:val="20"/>
              </w:rPr>
              <w:t>Acquisitions through internal development</w:t>
            </w:r>
          </w:p>
        </w:tc>
        <w:tc>
          <w:tcPr>
            <w:tcW w:w="1013" w:type="dxa"/>
            <w:tcBorders>
              <w:top w:val="nil"/>
              <w:left w:val="single" w:sz="4" w:space="0" w:color="auto"/>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841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89 </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841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89 </w:t>
            </w:r>
          </w:p>
        </w:tc>
      </w:tr>
      <w:tr w:rsidR="00BD6E9E" w:rsidRPr="00BD6E9E" w:rsidTr="007F0F0F">
        <w:trPr>
          <w:trHeight w:val="6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vAlign w:val="bottom"/>
            <w:hideMark/>
          </w:tcPr>
          <w:p w:rsidR="00BD6E9E" w:rsidRPr="00BD6E9E" w:rsidRDefault="00BD6E9E" w:rsidP="00BD6E9E">
            <w:pPr>
              <w:spacing w:before="0" w:line="240" w:lineRule="auto"/>
              <w:rPr>
                <w:rFonts w:ascii="Arial" w:hAnsi="Arial" w:cs="Arial"/>
                <w:color w:val="000000"/>
                <w:sz w:val="20"/>
                <w:szCs w:val="20"/>
              </w:rPr>
            </w:pPr>
            <w:r w:rsidRPr="00BD6E9E">
              <w:rPr>
                <w:rFonts w:ascii="Arial" w:hAnsi="Arial" w:cs="Arial"/>
                <w:color w:val="000000"/>
                <w:sz w:val="20"/>
                <w:szCs w:val="20"/>
              </w:rPr>
              <w:t>Transfer between classes</w:t>
            </w:r>
          </w:p>
        </w:tc>
        <w:tc>
          <w:tcPr>
            <w:tcW w:w="1013" w:type="dxa"/>
            <w:tcBorders>
              <w:top w:val="nil"/>
              <w:left w:val="single" w:sz="4" w:space="0" w:color="auto"/>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(215)</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215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r>
      <w:tr w:rsidR="00BD6E9E" w:rsidRPr="00BD6E9E" w:rsidTr="007F0F0F">
        <w:trPr>
          <w:trHeight w:val="6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vAlign w:val="bottom"/>
            <w:hideMark/>
          </w:tcPr>
          <w:p w:rsidR="00BD6E9E" w:rsidRPr="00BD6E9E" w:rsidRDefault="00BD6E9E" w:rsidP="00BD6E9E">
            <w:pPr>
              <w:spacing w:before="0" w:line="240" w:lineRule="auto"/>
              <w:rPr>
                <w:rFonts w:ascii="Arial" w:hAnsi="Arial" w:cs="Arial"/>
                <w:color w:val="000000"/>
                <w:sz w:val="20"/>
                <w:szCs w:val="20"/>
              </w:rPr>
            </w:pPr>
            <w:r w:rsidRPr="00BD6E9E">
              <w:rPr>
                <w:rFonts w:ascii="Arial" w:hAnsi="Arial" w:cs="Arial"/>
                <w:color w:val="000000"/>
                <w:sz w:val="20"/>
                <w:szCs w:val="20"/>
              </w:rPr>
              <w:t>Impairment losses recognised in operating surplus *</w:t>
            </w:r>
          </w:p>
        </w:tc>
        <w:tc>
          <w:tcPr>
            <w:tcW w:w="1013" w:type="dxa"/>
            <w:tcBorders>
              <w:top w:val="nil"/>
              <w:left w:val="single" w:sz="4" w:space="0" w:color="auto"/>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(800)</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(800)</w:t>
            </w:r>
          </w:p>
        </w:tc>
      </w:tr>
      <w:tr w:rsidR="00BD6E9E" w:rsidRPr="00BD6E9E" w:rsidTr="007F0F0F">
        <w:trPr>
          <w:trHeight w:val="6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vAlign w:val="bottom"/>
            <w:hideMark/>
          </w:tcPr>
          <w:p w:rsidR="00BD6E9E" w:rsidRPr="00BD6E9E" w:rsidRDefault="00BD6E9E" w:rsidP="00BD6E9E">
            <w:pPr>
              <w:spacing w:before="0" w:line="240" w:lineRule="auto"/>
              <w:rPr>
                <w:rFonts w:ascii="Arial" w:hAnsi="Arial" w:cs="Arial"/>
                <w:color w:val="000000"/>
                <w:sz w:val="20"/>
                <w:szCs w:val="20"/>
              </w:rPr>
            </w:pPr>
            <w:r w:rsidRPr="00BD6E9E">
              <w:rPr>
                <w:rFonts w:ascii="Arial" w:hAnsi="Arial" w:cs="Arial"/>
                <w:color w:val="000000"/>
                <w:sz w:val="20"/>
                <w:szCs w:val="20"/>
              </w:rPr>
              <w:t>Amortisation</w:t>
            </w:r>
          </w:p>
        </w:tc>
        <w:tc>
          <w:tcPr>
            <w:tcW w:w="1013" w:type="dxa"/>
            <w:tcBorders>
              <w:top w:val="nil"/>
              <w:left w:val="single" w:sz="4" w:space="0" w:color="auto"/>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 xml:space="preserve"> </w:t>
            </w:r>
            <w:r w:rsidR="00FA5556">
              <w:rPr>
                <w:rFonts w:ascii="Arial" w:hAnsi="Arial" w:cs="Arial"/>
                <w:color w:val="000000"/>
                <w:sz w:val="20"/>
                <w:szCs w:val="20"/>
              </w:rPr>
              <w:t>–</w:t>
            </w:r>
            <w:r w:rsidRPr="00BD6E9E">
              <w:rPr>
                <w:rFonts w:ascii="Arial" w:hAnsi="Arial" w:cs="Arial"/>
                <w:color w:val="000000"/>
                <w:sz w:val="20"/>
                <w:szCs w:val="20"/>
              </w:rPr>
              <w:t xml:space="preserve"> </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(1,064)</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(1,126)</w:t>
            </w:r>
          </w:p>
        </w:tc>
        <w:tc>
          <w:tcPr>
            <w:tcW w:w="1012" w:type="dxa"/>
            <w:tcBorders>
              <w:top w:val="nil"/>
              <w:left w:val="nil"/>
              <w:bottom w:val="nil"/>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(1,064)</w:t>
            </w:r>
          </w:p>
        </w:tc>
        <w:tc>
          <w:tcPr>
            <w:tcW w:w="1012" w:type="dxa"/>
            <w:tcBorders>
              <w:top w:val="nil"/>
              <w:left w:val="nil"/>
              <w:bottom w:val="nil"/>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color w:val="000000"/>
                <w:sz w:val="20"/>
                <w:szCs w:val="20"/>
              </w:rPr>
            </w:pPr>
            <w:r w:rsidRPr="00BD6E9E">
              <w:rPr>
                <w:rFonts w:ascii="Arial" w:hAnsi="Arial" w:cs="Arial"/>
                <w:color w:val="000000"/>
                <w:sz w:val="20"/>
                <w:szCs w:val="20"/>
              </w:rPr>
              <w:t>(1,126)</w:t>
            </w:r>
          </w:p>
        </w:tc>
      </w:tr>
      <w:tr w:rsidR="00BD6E9E" w:rsidRPr="00BD6E9E" w:rsidTr="007F0F0F">
        <w:trPr>
          <w:trHeight w:val="6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vAlign w:val="bottom"/>
            <w:hideMark/>
          </w:tcPr>
          <w:p w:rsidR="00BD6E9E" w:rsidRPr="00BD6E9E" w:rsidRDefault="00BD6E9E" w:rsidP="00BD6E9E">
            <w:pPr>
              <w:spacing w:before="0" w:line="240" w:lineRule="auto"/>
              <w:rPr>
                <w:rFonts w:ascii="Arial" w:hAnsi="Arial" w:cs="Arial"/>
                <w:b/>
                <w:bCs/>
                <w:color w:val="000000"/>
                <w:sz w:val="20"/>
                <w:szCs w:val="20"/>
              </w:rPr>
            </w:pPr>
            <w:r w:rsidRPr="00BD6E9E">
              <w:rPr>
                <w:rFonts w:ascii="Arial" w:hAnsi="Arial" w:cs="Arial"/>
                <w:b/>
                <w:bCs/>
                <w:color w:val="000000"/>
                <w:sz w:val="20"/>
                <w:szCs w:val="20"/>
              </w:rPr>
              <w:t>Carrying amount at 30 June</w:t>
            </w:r>
          </w:p>
        </w:tc>
        <w:tc>
          <w:tcPr>
            <w:tcW w:w="1013"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897 </w:t>
            </w:r>
          </w:p>
        </w:tc>
        <w:tc>
          <w:tcPr>
            <w:tcW w:w="1012" w:type="dxa"/>
            <w:tcBorders>
              <w:top w:val="single" w:sz="4" w:space="0" w:color="auto"/>
              <w:left w:val="nil"/>
              <w:bottom w:val="double" w:sz="6" w:space="0" w:color="auto"/>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271 </w:t>
            </w:r>
          </w:p>
        </w:tc>
        <w:tc>
          <w:tcPr>
            <w:tcW w:w="1012" w:type="dxa"/>
            <w:tcBorders>
              <w:top w:val="single" w:sz="4" w:space="0" w:color="auto"/>
              <w:left w:val="nil"/>
              <w:bottom w:val="double" w:sz="6" w:space="0" w:color="auto"/>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2,645 </w:t>
            </w:r>
          </w:p>
        </w:tc>
        <w:tc>
          <w:tcPr>
            <w:tcW w:w="1012" w:type="dxa"/>
            <w:tcBorders>
              <w:top w:val="single" w:sz="4" w:space="0" w:color="auto"/>
              <w:left w:val="nil"/>
              <w:bottom w:val="double" w:sz="6" w:space="0" w:color="auto"/>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3,494 </w:t>
            </w:r>
          </w:p>
        </w:tc>
        <w:tc>
          <w:tcPr>
            <w:tcW w:w="1012" w:type="dxa"/>
            <w:tcBorders>
              <w:top w:val="single" w:sz="4" w:space="0" w:color="auto"/>
              <w:left w:val="nil"/>
              <w:bottom w:val="double" w:sz="6" w:space="0" w:color="auto"/>
              <w:right w:val="single" w:sz="4" w:space="0" w:color="auto"/>
            </w:tcBorders>
            <w:shd w:val="clear" w:color="000000" w:fill="D9D9D9"/>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3,542 </w:t>
            </w:r>
          </w:p>
        </w:tc>
        <w:tc>
          <w:tcPr>
            <w:tcW w:w="1012" w:type="dxa"/>
            <w:tcBorders>
              <w:top w:val="single" w:sz="4" w:space="0" w:color="auto"/>
              <w:left w:val="nil"/>
              <w:bottom w:val="double" w:sz="6" w:space="0" w:color="auto"/>
              <w:right w:val="single" w:sz="4" w:space="0" w:color="auto"/>
            </w:tcBorders>
            <w:shd w:val="clear" w:color="auto" w:fill="auto"/>
            <w:noWrap/>
            <w:vAlign w:val="bottom"/>
            <w:hideMark/>
          </w:tcPr>
          <w:p w:rsidR="00BD6E9E" w:rsidRPr="00BD6E9E" w:rsidRDefault="00BD6E9E" w:rsidP="00BD6E9E">
            <w:pPr>
              <w:spacing w:before="0" w:line="240" w:lineRule="auto"/>
              <w:jc w:val="right"/>
              <w:rPr>
                <w:rFonts w:ascii="Arial" w:hAnsi="Arial" w:cs="Arial"/>
                <w:b/>
                <w:bCs/>
                <w:color w:val="000000"/>
                <w:sz w:val="20"/>
                <w:szCs w:val="20"/>
              </w:rPr>
            </w:pPr>
            <w:r w:rsidRPr="00BD6E9E">
              <w:rPr>
                <w:rFonts w:ascii="Arial" w:hAnsi="Arial" w:cs="Arial"/>
                <w:b/>
                <w:bCs/>
                <w:color w:val="000000"/>
                <w:sz w:val="20"/>
                <w:szCs w:val="20"/>
              </w:rPr>
              <w:t xml:space="preserve">3,765 </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3122" w:type="dxa"/>
            <w:tcBorders>
              <w:top w:val="nil"/>
              <w:left w:val="nil"/>
              <w:bottom w:val="nil"/>
              <w:right w:val="nil"/>
            </w:tcBorders>
            <w:shd w:val="clear" w:color="auto" w:fill="auto"/>
            <w:noWrap/>
            <w:vAlign w:val="bottom"/>
            <w:hideMark/>
          </w:tcPr>
          <w:p w:rsidR="00BD6E9E" w:rsidRPr="00BD6E9E" w:rsidRDefault="00BD6E9E" w:rsidP="00BD6E9E">
            <w:pPr>
              <w:spacing w:before="0" w:line="240" w:lineRule="auto"/>
              <w:rPr>
                <w:rFonts w:ascii="Arial" w:hAnsi="Arial" w:cs="Arial"/>
                <w:b/>
                <w:bCs/>
                <w:color w:val="000000"/>
                <w:sz w:val="20"/>
                <w:szCs w:val="20"/>
              </w:rPr>
            </w:pPr>
          </w:p>
        </w:tc>
        <w:tc>
          <w:tcPr>
            <w:tcW w:w="1013" w:type="dxa"/>
            <w:tcBorders>
              <w:top w:val="nil"/>
              <w:left w:val="nil"/>
              <w:bottom w:val="nil"/>
              <w:right w:val="nil"/>
            </w:tcBorders>
            <w:shd w:val="clear" w:color="auto" w:fill="auto"/>
            <w:vAlign w:val="center"/>
            <w:hideMark/>
          </w:tcPr>
          <w:p w:rsidR="00BD6E9E" w:rsidRPr="00BD6E9E" w:rsidRDefault="00BD6E9E" w:rsidP="00BD6E9E">
            <w:pPr>
              <w:spacing w:before="0" w:line="240" w:lineRule="auto"/>
              <w:jc w:val="center"/>
              <w:rPr>
                <w:rFonts w:ascii="Arial" w:hAnsi="Arial" w:cs="Arial"/>
                <w:b/>
                <w:bCs/>
                <w:color w:val="000000"/>
                <w:sz w:val="20"/>
                <w:szCs w:val="20"/>
              </w:rPr>
            </w:pPr>
          </w:p>
        </w:tc>
        <w:tc>
          <w:tcPr>
            <w:tcW w:w="1012" w:type="dxa"/>
            <w:tcBorders>
              <w:top w:val="nil"/>
              <w:left w:val="nil"/>
              <w:bottom w:val="nil"/>
              <w:right w:val="nil"/>
            </w:tcBorders>
            <w:shd w:val="clear" w:color="auto" w:fill="auto"/>
            <w:vAlign w:val="center"/>
            <w:hideMark/>
          </w:tcPr>
          <w:p w:rsidR="00BD6E9E" w:rsidRPr="00BD6E9E" w:rsidRDefault="00BD6E9E" w:rsidP="00BD6E9E">
            <w:pPr>
              <w:spacing w:before="0" w:line="240" w:lineRule="auto"/>
              <w:jc w:val="center"/>
              <w:rPr>
                <w:rFonts w:ascii="Arial" w:hAnsi="Arial" w:cs="Arial"/>
                <w:b/>
                <w:bCs/>
                <w:color w:val="000000"/>
                <w:sz w:val="20"/>
                <w:szCs w:val="20"/>
              </w:rPr>
            </w:pPr>
          </w:p>
        </w:tc>
        <w:tc>
          <w:tcPr>
            <w:tcW w:w="1012" w:type="dxa"/>
            <w:tcBorders>
              <w:top w:val="nil"/>
              <w:left w:val="nil"/>
              <w:bottom w:val="nil"/>
              <w:right w:val="nil"/>
            </w:tcBorders>
            <w:shd w:val="clear" w:color="auto" w:fill="auto"/>
            <w:noWrap/>
            <w:vAlign w:val="center"/>
            <w:hideMark/>
          </w:tcPr>
          <w:p w:rsidR="00BD6E9E" w:rsidRPr="00BD6E9E" w:rsidRDefault="00BD6E9E" w:rsidP="00BD6E9E">
            <w:pPr>
              <w:spacing w:before="0" w:line="240" w:lineRule="auto"/>
              <w:jc w:val="center"/>
              <w:rPr>
                <w:rFonts w:ascii="Arial" w:hAnsi="Arial" w:cs="Arial"/>
                <w:b/>
                <w:bCs/>
                <w:color w:val="000000"/>
                <w:sz w:val="20"/>
                <w:szCs w:val="20"/>
              </w:rPr>
            </w:pPr>
          </w:p>
        </w:tc>
        <w:tc>
          <w:tcPr>
            <w:tcW w:w="1012" w:type="dxa"/>
            <w:tcBorders>
              <w:top w:val="nil"/>
              <w:left w:val="nil"/>
              <w:bottom w:val="nil"/>
              <w:right w:val="nil"/>
            </w:tcBorders>
            <w:shd w:val="clear" w:color="auto" w:fill="auto"/>
            <w:noWrap/>
            <w:vAlign w:val="center"/>
            <w:hideMark/>
          </w:tcPr>
          <w:p w:rsidR="00BD6E9E" w:rsidRPr="00BD6E9E" w:rsidRDefault="00BD6E9E" w:rsidP="00BD6E9E">
            <w:pPr>
              <w:spacing w:before="0" w:line="240" w:lineRule="auto"/>
              <w:jc w:val="center"/>
              <w:rPr>
                <w:rFonts w:ascii="Arial" w:hAnsi="Arial" w:cs="Arial"/>
                <w:b/>
                <w:bCs/>
                <w:color w:val="000000"/>
                <w:sz w:val="20"/>
                <w:szCs w:val="20"/>
              </w:rPr>
            </w:pPr>
          </w:p>
        </w:tc>
        <w:tc>
          <w:tcPr>
            <w:tcW w:w="1012" w:type="dxa"/>
            <w:tcBorders>
              <w:top w:val="nil"/>
              <w:left w:val="nil"/>
              <w:bottom w:val="nil"/>
              <w:right w:val="nil"/>
            </w:tcBorders>
            <w:shd w:val="clear" w:color="auto" w:fill="auto"/>
            <w:noWrap/>
            <w:vAlign w:val="center"/>
            <w:hideMark/>
          </w:tcPr>
          <w:p w:rsidR="00BD6E9E" w:rsidRPr="00BD6E9E" w:rsidRDefault="00BD6E9E" w:rsidP="00BD6E9E">
            <w:pPr>
              <w:spacing w:before="0" w:line="240" w:lineRule="auto"/>
              <w:jc w:val="center"/>
              <w:rPr>
                <w:rFonts w:ascii="Arial" w:hAnsi="Arial" w:cs="Arial"/>
                <w:b/>
                <w:bCs/>
                <w:color w:val="000000"/>
                <w:sz w:val="20"/>
                <w:szCs w:val="20"/>
              </w:rPr>
            </w:pPr>
          </w:p>
        </w:tc>
        <w:tc>
          <w:tcPr>
            <w:tcW w:w="1012" w:type="dxa"/>
            <w:tcBorders>
              <w:top w:val="nil"/>
              <w:left w:val="nil"/>
              <w:bottom w:val="nil"/>
              <w:right w:val="nil"/>
            </w:tcBorders>
            <w:shd w:val="clear" w:color="auto" w:fill="auto"/>
            <w:noWrap/>
            <w:vAlign w:val="center"/>
            <w:hideMark/>
          </w:tcPr>
          <w:p w:rsidR="00BD6E9E" w:rsidRPr="00BD6E9E" w:rsidRDefault="00BD6E9E" w:rsidP="00BD6E9E">
            <w:pPr>
              <w:spacing w:before="0" w:line="240" w:lineRule="auto"/>
              <w:jc w:val="center"/>
              <w:rPr>
                <w:rFonts w:ascii="Arial" w:hAnsi="Arial" w:cs="Arial"/>
                <w:b/>
                <w:bCs/>
                <w:color w:val="000000"/>
                <w:sz w:val="20"/>
                <w:szCs w:val="20"/>
              </w:rPr>
            </w:pP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1027FD" w:rsidRDefault="001027FD" w:rsidP="001027FD">
            <w:pPr>
              <w:spacing w:before="120" w:after="120"/>
              <w:jc w:val="right"/>
              <w:rPr>
                <w:rFonts w:ascii="Arial" w:hAnsi="Arial" w:cs="Arial"/>
                <w:color w:val="000000"/>
                <w:sz w:val="20"/>
                <w:szCs w:val="20"/>
              </w:rPr>
            </w:pPr>
            <w:r w:rsidRPr="00BD6E9E">
              <w:rPr>
                <w:rFonts w:ascii="Arial" w:hAnsi="Arial" w:cs="Arial"/>
                <w:color w:val="000000"/>
                <w:sz w:val="20"/>
                <w:szCs w:val="20"/>
              </w:rPr>
              <w:t>*</w:t>
            </w:r>
          </w:p>
        </w:tc>
        <w:tc>
          <w:tcPr>
            <w:tcW w:w="9195" w:type="dxa"/>
            <w:gridSpan w:val="7"/>
            <w:tcBorders>
              <w:top w:val="nil"/>
              <w:left w:val="nil"/>
              <w:bottom w:val="nil"/>
              <w:right w:val="nil"/>
            </w:tcBorders>
            <w:shd w:val="clear" w:color="auto" w:fill="auto"/>
            <w:noWrap/>
            <w:vAlign w:val="bottom"/>
            <w:hideMark/>
          </w:tcPr>
          <w:p w:rsidR="00BD6E9E" w:rsidRPr="00BD6E9E" w:rsidRDefault="00BD6E9E" w:rsidP="001027FD">
            <w:pPr>
              <w:spacing w:before="120" w:after="120"/>
              <w:rPr>
                <w:rFonts w:ascii="Arial" w:hAnsi="Arial" w:cs="Arial"/>
                <w:color w:val="000000"/>
                <w:sz w:val="20"/>
                <w:szCs w:val="20"/>
              </w:rPr>
            </w:pPr>
            <w:r w:rsidRPr="00BD6E9E">
              <w:rPr>
                <w:rFonts w:ascii="Arial" w:hAnsi="Arial" w:cs="Arial"/>
                <w:color w:val="000000"/>
                <w:sz w:val="20"/>
                <w:szCs w:val="20"/>
              </w:rPr>
              <w:t>Impairment losses are shown as separate line items in the Statement of Comprehensive Income.</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1027FD" w:rsidRDefault="00BD6E9E" w:rsidP="001027FD">
            <w:pPr>
              <w:spacing w:before="120" w:after="120"/>
              <w:rPr>
                <w:rFonts w:ascii="Arial" w:hAnsi="Arial" w:cs="Arial"/>
                <w:color w:val="000000"/>
                <w:sz w:val="20"/>
                <w:szCs w:val="20"/>
              </w:rPr>
            </w:pPr>
          </w:p>
        </w:tc>
        <w:tc>
          <w:tcPr>
            <w:tcW w:w="9195" w:type="dxa"/>
            <w:gridSpan w:val="7"/>
            <w:tcBorders>
              <w:top w:val="nil"/>
              <w:left w:val="nil"/>
              <w:bottom w:val="nil"/>
              <w:right w:val="nil"/>
            </w:tcBorders>
            <w:shd w:val="clear" w:color="auto" w:fill="auto"/>
            <w:noWrap/>
            <w:vAlign w:val="bottom"/>
            <w:hideMark/>
          </w:tcPr>
          <w:p w:rsidR="00BD6E9E" w:rsidRPr="00BD6E9E" w:rsidRDefault="00BD6E9E" w:rsidP="001027FD">
            <w:pPr>
              <w:spacing w:before="120" w:after="120"/>
              <w:rPr>
                <w:rFonts w:ascii="Arial" w:hAnsi="Arial" w:cs="Arial"/>
                <w:color w:val="000000"/>
                <w:sz w:val="20"/>
                <w:szCs w:val="20"/>
              </w:rPr>
            </w:pPr>
            <w:r w:rsidRPr="00BD6E9E">
              <w:rPr>
                <w:rFonts w:ascii="Arial" w:hAnsi="Arial" w:cs="Arial"/>
                <w:color w:val="000000"/>
                <w:sz w:val="20"/>
                <w:szCs w:val="20"/>
              </w:rPr>
              <w:t>Amortisation of intangibles is included in the line item 'Depreciation and Amortisation' in the Statement of Comprehensive Income.</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1027FD" w:rsidRDefault="00BD6E9E" w:rsidP="001027FD">
            <w:pPr>
              <w:spacing w:before="120" w:after="120"/>
              <w:rPr>
                <w:rFonts w:ascii="Arial" w:hAnsi="Arial" w:cs="Arial"/>
                <w:color w:val="000000"/>
                <w:sz w:val="20"/>
                <w:szCs w:val="20"/>
              </w:rPr>
            </w:pPr>
          </w:p>
        </w:tc>
        <w:tc>
          <w:tcPr>
            <w:tcW w:w="9195" w:type="dxa"/>
            <w:gridSpan w:val="7"/>
            <w:tcBorders>
              <w:top w:val="nil"/>
              <w:left w:val="nil"/>
              <w:bottom w:val="nil"/>
              <w:right w:val="nil"/>
            </w:tcBorders>
            <w:shd w:val="clear" w:color="auto" w:fill="auto"/>
            <w:noWrap/>
            <w:vAlign w:val="bottom"/>
            <w:hideMark/>
          </w:tcPr>
          <w:p w:rsidR="00BD6E9E" w:rsidRPr="00BD6E9E" w:rsidRDefault="00BD6E9E" w:rsidP="001027FD">
            <w:pPr>
              <w:spacing w:before="120" w:after="120"/>
              <w:rPr>
                <w:rFonts w:ascii="Arial" w:hAnsi="Arial" w:cs="Arial"/>
                <w:color w:val="000000"/>
                <w:sz w:val="20"/>
                <w:szCs w:val="20"/>
              </w:rPr>
            </w:pPr>
            <w:r w:rsidRPr="00BD6E9E">
              <w:rPr>
                <w:rFonts w:ascii="Arial" w:hAnsi="Arial" w:cs="Arial"/>
                <w:color w:val="000000"/>
                <w:sz w:val="20"/>
                <w:szCs w:val="20"/>
              </w:rPr>
              <w:t>All intangible assets of the Authority have finite useful lives and are amortised on a straight line basis. Refer to Note 1(n).</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1027FD" w:rsidRDefault="00BD6E9E" w:rsidP="001027FD">
            <w:pPr>
              <w:spacing w:before="120" w:after="120"/>
              <w:rPr>
                <w:rFonts w:ascii="Arial" w:hAnsi="Arial" w:cs="Arial"/>
                <w:color w:val="000000"/>
                <w:sz w:val="20"/>
                <w:szCs w:val="20"/>
              </w:rPr>
            </w:pPr>
          </w:p>
        </w:tc>
        <w:tc>
          <w:tcPr>
            <w:tcW w:w="9195" w:type="dxa"/>
            <w:gridSpan w:val="7"/>
            <w:tcBorders>
              <w:top w:val="nil"/>
              <w:left w:val="nil"/>
              <w:bottom w:val="nil"/>
              <w:right w:val="nil"/>
            </w:tcBorders>
            <w:shd w:val="clear" w:color="auto" w:fill="auto"/>
            <w:noWrap/>
            <w:vAlign w:val="bottom"/>
            <w:hideMark/>
          </w:tcPr>
          <w:p w:rsidR="00BD6E9E" w:rsidRPr="00BD6E9E" w:rsidRDefault="00BD6E9E" w:rsidP="001027FD">
            <w:pPr>
              <w:spacing w:before="120" w:after="120"/>
              <w:rPr>
                <w:rFonts w:ascii="Arial" w:hAnsi="Arial" w:cs="Arial"/>
                <w:color w:val="000000"/>
                <w:sz w:val="20"/>
                <w:szCs w:val="20"/>
              </w:rPr>
            </w:pPr>
            <w:proofErr w:type="gramStart"/>
            <w:r w:rsidRPr="00BD6E9E">
              <w:rPr>
                <w:rFonts w:ascii="Arial" w:hAnsi="Arial" w:cs="Arial"/>
                <w:color w:val="000000"/>
                <w:sz w:val="20"/>
                <w:szCs w:val="20"/>
              </w:rPr>
              <w:t>No intangible</w:t>
            </w:r>
            <w:proofErr w:type="gramEnd"/>
            <w:r w:rsidRPr="00BD6E9E">
              <w:rPr>
                <w:rFonts w:ascii="Arial" w:hAnsi="Arial" w:cs="Arial"/>
                <w:color w:val="000000"/>
                <w:sz w:val="20"/>
                <w:szCs w:val="20"/>
              </w:rPr>
              <w:t xml:space="preserve"> assets have been classified as held for sale or form part of a disposal group held for sale.</w:t>
            </w:r>
          </w:p>
        </w:tc>
      </w:tr>
      <w:tr w:rsidR="00BD6E9E" w:rsidRPr="00BD6E9E" w:rsidTr="007F0F0F">
        <w:trPr>
          <w:trHeight w:val="300"/>
        </w:trPr>
        <w:tc>
          <w:tcPr>
            <w:tcW w:w="407" w:type="dxa"/>
            <w:tcBorders>
              <w:top w:val="nil"/>
              <w:left w:val="nil"/>
              <w:bottom w:val="nil"/>
              <w:right w:val="nil"/>
            </w:tcBorders>
            <w:shd w:val="clear" w:color="auto" w:fill="auto"/>
            <w:noWrap/>
            <w:vAlign w:val="bottom"/>
            <w:hideMark/>
          </w:tcPr>
          <w:p w:rsidR="00BD6E9E" w:rsidRPr="001027FD" w:rsidRDefault="00BD6E9E" w:rsidP="001027FD">
            <w:pPr>
              <w:spacing w:before="120" w:after="120"/>
              <w:rPr>
                <w:rFonts w:ascii="Arial" w:hAnsi="Arial" w:cs="Arial"/>
                <w:color w:val="000000"/>
                <w:sz w:val="20"/>
                <w:szCs w:val="20"/>
              </w:rPr>
            </w:pPr>
          </w:p>
        </w:tc>
        <w:tc>
          <w:tcPr>
            <w:tcW w:w="9195" w:type="dxa"/>
            <w:gridSpan w:val="7"/>
            <w:tcBorders>
              <w:top w:val="nil"/>
              <w:left w:val="nil"/>
              <w:bottom w:val="nil"/>
              <w:right w:val="nil"/>
            </w:tcBorders>
            <w:shd w:val="clear" w:color="auto" w:fill="auto"/>
            <w:noWrap/>
            <w:vAlign w:val="bottom"/>
            <w:hideMark/>
          </w:tcPr>
          <w:p w:rsidR="00BD6E9E" w:rsidRPr="00BD6E9E" w:rsidRDefault="00BD6E9E" w:rsidP="001027FD">
            <w:pPr>
              <w:spacing w:before="120" w:after="120"/>
              <w:rPr>
                <w:rFonts w:ascii="Arial" w:hAnsi="Arial" w:cs="Arial"/>
                <w:color w:val="000000"/>
                <w:sz w:val="20"/>
                <w:szCs w:val="20"/>
              </w:rPr>
            </w:pPr>
            <w:r w:rsidRPr="00BD6E9E">
              <w:rPr>
                <w:rFonts w:ascii="Arial" w:hAnsi="Arial" w:cs="Arial"/>
                <w:color w:val="000000"/>
                <w:sz w:val="20"/>
                <w:szCs w:val="20"/>
              </w:rPr>
              <w:t>The Authority has a software program with an original cost of $2,139,647 and a written down value of zero still being used in the provision of services. There is no known date for replacing this software program.</w:t>
            </w:r>
          </w:p>
        </w:tc>
      </w:tr>
    </w:tbl>
    <w:p w:rsidR="00EC7833" w:rsidRDefault="002D140E">
      <w:r>
        <w:br w:type="page"/>
      </w:r>
    </w:p>
    <w:tbl>
      <w:tblPr>
        <w:tblW w:w="4952" w:type="pct"/>
        <w:tblInd w:w="93" w:type="dxa"/>
        <w:tblLook w:val="04A0" w:firstRow="1" w:lastRow="0" w:firstColumn="1" w:lastColumn="0" w:noHBand="0" w:noVBand="1"/>
      </w:tblPr>
      <w:tblGrid>
        <w:gridCol w:w="455"/>
        <w:gridCol w:w="3230"/>
        <w:gridCol w:w="993"/>
        <w:gridCol w:w="994"/>
        <w:gridCol w:w="994"/>
        <w:gridCol w:w="994"/>
        <w:gridCol w:w="994"/>
        <w:gridCol w:w="994"/>
      </w:tblGrid>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2014</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2013</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bookmarkStart w:id="112" w:name="Note15"/>
            <w:bookmarkEnd w:id="112"/>
            <w:r w:rsidRPr="00112ED5">
              <w:rPr>
                <w:rFonts w:ascii="Arial" w:hAnsi="Arial" w:cs="Arial"/>
                <w:b/>
                <w:bCs/>
                <w:color w:val="000000"/>
                <w:sz w:val="20"/>
                <w:szCs w:val="20"/>
              </w:rPr>
              <w:t>15</w:t>
            </w: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r w:rsidRPr="00112ED5">
              <w:rPr>
                <w:rFonts w:ascii="Arial" w:hAnsi="Arial" w:cs="Arial"/>
                <w:b/>
                <w:bCs/>
                <w:color w:val="000000"/>
                <w:sz w:val="20"/>
                <w:szCs w:val="20"/>
              </w:rPr>
              <w:t>Plant and Equipment</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$'000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$'000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ind w:firstLineChars="100" w:firstLine="200"/>
              <w:rPr>
                <w:rFonts w:ascii="Arial" w:hAnsi="Arial" w:cs="Arial"/>
                <w:color w:val="000000"/>
                <w:sz w:val="20"/>
                <w:szCs w:val="20"/>
              </w:rPr>
            </w:pPr>
            <w:r w:rsidRPr="00112ED5">
              <w:rPr>
                <w:rFonts w:ascii="Arial" w:hAnsi="Arial" w:cs="Arial"/>
                <w:color w:val="000000"/>
                <w:sz w:val="20"/>
                <w:szCs w:val="20"/>
              </w:rPr>
              <w:t>Plant and equipment:</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ind w:firstLineChars="200" w:firstLine="400"/>
              <w:rPr>
                <w:rFonts w:ascii="Arial" w:hAnsi="Arial" w:cs="Arial"/>
                <w:color w:val="000000"/>
                <w:sz w:val="20"/>
                <w:szCs w:val="20"/>
              </w:rPr>
            </w:pPr>
            <w:r w:rsidRPr="00112ED5">
              <w:rPr>
                <w:rFonts w:ascii="Arial" w:hAnsi="Arial" w:cs="Arial"/>
                <w:color w:val="000000"/>
                <w:sz w:val="20"/>
                <w:szCs w:val="20"/>
              </w:rPr>
              <w:t xml:space="preserve">At cost </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2,733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3,007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4223" w:type="dxa"/>
            <w:gridSpan w:val="2"/>
            <w:tcBorders>
              <w:top w:val="nil"/>
              <w:left w:val="nil"/>
              <w:bottom w:val="nil"/>
              <w:right w:val="nil"/>
            </w:tcBorders>
            <w:shd w:val="clear" w:color="auto" w:fill="auto"/>
            <w:noWrap/>
            <w:vAlign w:val="bottom"/>
            <w:hideMark/>
          </w:tcPr>
          <w:p w:rsidR="00112ED5" w:rsidRPr="00112ED5" w:rsidRDefault="00112ED5" w:rsidP="00112ED5">
            <w:pPr>
              <w:spacing w:before="0" w:line="240" w:lineRule="auto"/>
              <w:ind w:firstLineChars="200" w:firstLine="400"/>
              <w:rPr>
                <w:rFonts w:ascii="Arial" w:hAnsi="Arial" w:cs="Arial"/>
                <w:color w:val="000000"/>
                <w:sz w:val="20"/>
                <w:szCs w:val="20"/>
              </w:rPr>
            </w:pPr>
            <w:r w:rsidRPr="00112ED5">
              <w:rPr>
                <w:rFonts w:ascii="Arial" w:hAnsi="Arial" w:cs="Arial"/>
                <w:color w:val="000000"/>
                <w:sz w:val="20"/>
                <w:szCs w:val="20"/>
              </w:rPr>
              <w:t xml:space="preserve">Less: Accumulated depreciation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(1,725)</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(2,465)</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4223" w:type="dxa"/>
            <w:gridSpan w:val="2"/>
            <w:tcBorders>
              <w:top w:val="nil"/>
              <w:left w:val="nil"/>
              <w:bottom w:val="nil"/>
              <w:right w:val="nil"/>
            </w:tcBorders>
            <w:shd w:val="clear" w:color="auto" w:fill="auto"/>
            <w:noWrap/>
            <w:vAlign w:val="bottom"/>
            <w:hideMark/>
          </w:tcPr>
          <w:p w:rsidR="00112ED5" w:rsidRPr="00112ED5" w:rsidRDefault="00112ED5" w:rsidP="00112ED5">
            <w:pPr>
              <w:spacing w:before="0" w:line="240" w:lineRule="auto"/>
              <w:ind w:firstLineChars="200" w:firstLine="400"/>
              <w:rPr>
                <w:rFonts w:ascii="Arial" w:hAnsi="Arial" w:cs="Arial"/>
                <w:color w:val="000000"/>
                <w:sz w:val="20"/>
                <w:szCs w:val="20"/>
              </w:rPr>
            </w:pPr>
            <w:r w:rsidRPr="00112ED5">
              <w:rPr>
                <w:rFonts w:ascii="Arial" w:hAnsi="Arial" w:cs="Arial"/>
                <w:color w:val="000000"/>
                <w:sz w:val="20"/>
                <w:szCs w:val="20"/>
              </w:rPr>
              <w:t xml:space="preserve">Less: Accumulated impairment losses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3" w:type="dxa"/>
            <w:tcBorders>
              <w:top w:val="nil"/>
              <w:left w:val="nil"/>
              <w:bottom w:val="nil"/>
              <w:right w:val="nil"/>
            </w:tcBorders>
            <w:shd w:val="clear" w:color="auto" w:fill="auto"/>
            <w:noWrap/>
            <w:hideMark/>
          </w:tcPr>
          <w:p w:rsidR="00112ED5" w:rsidRPr="00112ED5" w:rsidRDefault="00112ED5" w:rsidP="00112ED5">
            <w:pPr>
              <w:spacing w:before="0" w:line="240" w:lineRule="auto"/>
              <w:rPr>
                <w:rFonts w:ascii="Arial" w:hAnsi="Arial" w:cs="Arial"/>
                <w:color w:val="000000"/>
                <w:sz w:val="20"/>
                <w:szCs w:val="20"/>
              </w:rPr>
            </w:pPr>
          </w:p>
        </w:tc>
        <w:tc>
          <w:tcPr>
            <w:tcW w:w="994" w:type="dxa"/>
            <w:tcBorders>
              <w:top w:val="nil"/>
              <w:left w:val="nil"/>
              <w:bottom w:val="nil"/>
              <w:right w:val="nil"/>
            </w:tcBorders>
            <w:shd w:val="clear" w:color="auto" w:fill="auto"/>
            <w:noWrap/>
            <w:hideMark/>
          </w:tcPr>
          <w:p w:rsidR="00112ED5" w:rsidRPr="00112ED5" w:rsidRDefault="00112ED5" w:rsidP="00112ED5">
            <w:pPr>
              <w:spacing w:before="0" w:line="240" w:lineRule="auto"/>
              <w:rPr>
                <w:rFonts w:ascii="Arial" w:hAnsi="Arial" w:cs="Arial"/>
                <w:color w:val="000000"/>
                <w:sz w:val="20"/>
                <w:szCs w:val="20"/>
              </w:rPr>
            </w:pPr>
          </w:p>
        </w:tc>
        <w:tc>
          <w:tcPr>
            <w:tcW w:w="994" w:type="dxa"/>
            <w:tcBorders>
              <w:top w:val="nil"/>
              <w:left w:val="nil"/>
              <w:bottom w:val="nil"/>
              <w:right w:val="nil"/>
            </w:tcBorders>
            <w:shd w:val="clear" w:color="auto" w:fill="auto"/>
            <w:noWrap/>
            <w:hideMark/>
          </w:tcPr>
          <w:p w:rsidR="00112ED5" w:rsidRPr="00112ED5" w:rsidRDefault="00112ED5" w:rsidP="00112ED5">
            <w:pPr>
              <w:spacing w:before="0" w:line="240" w:lineRule="auto"/>
              <w:rPr>
                <w:rFonts w:ascii="Arial" w:hAnsi="Arial" w:cs="Arial"/>
                <w:color w:val="000000"/>
                <w:sz w:val="20"/>
                <w:szCs w:val="20"/>
              </w:rPr>
            </w:pPr>
          </w:p>
        </w:tc>
        <w:tc>
          <w:tcPr>
            <w:tcW w:w="994" w:type="dxa"/>
            <w:tcBorders>
              <w:top w:val="nil"/>
              <w:left w:val="nil"/>
              <w:bottom w:val="nil"/>
              <w:right w:val="nil"/>
            </w:tcBorders>
            <w:shd w:val="clear" w:color="auto" w:fill="auto"/>
            <w:noWrap/>
            <w:hideMark/>
          </w:tcPr>
          <w:p w:rsidR="00112ED5" w:rsidRPr="00112ED5" w:rsidRDefault="00112ED5" w:rsidP="00112ED5">
            <w:pPr>
              <w:spacing w:before="0" w:line="240" w:lineRule="auto"/>
              <w:rPr>
                <w:rFonts w:ascii="Arial" w:hAnsi="Arial" w:cs="Arial"/>
                <w:color w:val="000000"/>
                <w:sz w:val="20"/>
                <w:szCs w:val="20"/>
              </w:rPr>
            </w:pPr>
          </w:p>
        </w:tc>
        <w:tc>
          <w:tcPr>
            <w:tcW w:w="994" w:type="dxa"/>
            <w:tcBorders>
              <w:top w:val="single" w:sz="4" w:space="0" w:color="auto"/>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1,008 </w:t>
            </w:r>
          </w:p>
        </w:tc>
        <w:tc>
          <w:tcPr>
            <w:tcW w:w="994" w:type="dxa"/>
            <w:tcBorders>
              <w:top w:val="single" w:sz="4" w:space="0" w:color="auto"/>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542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hideMark/>
          </w:tcPr>
          <w:p w:rsidR="00112ED5" w:rsidRPr="00112ED5" w:rsidRDefault="00112ED5" w:rsidP="00112ED5">
            <w:pPr>
              <w:spacing w:before="0" w:line="240" w:lineRule="auto"/>
              <w:ind w:firstLineChars="100" w:firstLine="200"/>
              <w:rPr>
                <w:rFonts w:ascii="Arial" w:hAnsi="Arial" w:cs="Arial"/>
                <w:color w:val="000000"/>
                <w:sz w:val="20"/>
                <w:szCs w:val="20"/>
              </w:rPr>
            </w:pPr>
            <w:r w:rsidRPr="00112ED5">
              <w:rPr>
                <w:rFonts w:ascii="Arial" w:hAnsi="Arial" w:cs="Arial"/>
                <w:color w:val="000000"/>
                <w:sz w:val="20"/>
                <w:szCs w:val="20"/>
              </w:rPr>
              <w:t>Work in progress</w:t>
            </w:r>
          </w:p>
        </w:tc>
        <w:tc>
          <w:tcPr>
            <w:tcW w:w="993"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ind w:firstLineChars="200" w:firstLine="400"/>
              <w:rPr>
                <w:rFonts w:ascii="Arial" w:hAnsi="Arial" w:cs="Arial"/>
                <w:color w:val="000000"/>
                <w:sz w:val="20"/>
                <w:szCs w:val="20"/>
              </w:rPr>
            </w:pPr>
            <w:r w:rsidRPr="00112ED5">
              <w:rPr>
                <w:rFonts w:ascii="Arial" w:hAnsi="Arial" w:cs="Arial"/>
                <w:color w:val="000000"/>
                <w:sz w:val="20"/>
                <w:szCs w:val="20"/>
              </w:rPr>
              <w:t xml:space="preserve">At cost </w:t>
            </w:r>
          </w:p>
        </w:tc>
        <w:tc>
          <w:tcPr>
            <w:tcW w:w="993"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44 </w:t>
            </w:r>
          </w:p>
        </w:tc>
      </w:tr>
      <w:tr w:rsidR="00112ED5" w:rsidRPr="00112ED5" w:rsidTr="00B56C26">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B56C26">
            <w:pPr>
              <w:spacing w:before="0" w:line="240" w:lineRule="auto"/>
              <w:rPr>
                <w:rFonts w:ascii="Arial" w:hAnsi="Arial" w:cs="Arial"/>
                <w:b/>
                <w:bCs/>
                <w:color w:val="000000"/>
                <w:sz w:val="20"/>
                <w:szCs w:val="20"/>
              </w:rPr>
            </w:pPr>
            <w:r w:rsidRPr="00112ED5">
              <w:rPr>
                <w:rFonts w:ascii="Arial" w:hAnsi="Arial" w:cs="Arial"/>
                <w:b/>
                <w:bCs/>
                <w:color w:val="000000"/>
                <w:sz w:val="20"/>
                <w:szCs w:val="20"/>
              </w:rPr>
              <w:t>Total</w:t>
            </w:r>
          </w:p>
        </w:tc>
        <w:tc>
          <w:tcPr>
            <w:tcW w:w="993"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nil"/>
              <w:left w:val="nil"/>
              <w:bottom w:val="nil"/>
              <w:right w:val="nil"/>
            </w:tcBorders>
            <w:shd w:val="clear" w:color="auto" w:fill="auto"/>
            <w:hideMark/>
          </w:tcPr>
          <w:p w:rsidR="00112ED5" w:rsidRPr="00112ED5" w:rsidRDefault="00112ED5" w:rsidP="00112ED5">
            <w:pPr>
              <w:spacing w:before="0" w:line="240" w:lineRule="auto"/>
              <w:ind w:firstLineChars="200" w:firstLine="400"/>
              <w:rPr>
                <w:rFonts w:ascii="Arial" w:hAnsi="Arial" w:cs="Arial"/>
                <w:color w:val="000000"/>
                <w:sz w:val="20"/>
                <w:szCs w:val="20"/>
              </w:rPr>
            </w:pPr>
          </w:p>
        </w:tc>
        <w:tc>
          <w:tcPr>
            <w:tcW w:w="994" w:type="dxa"/>
            <w:tcBorders>
              <w:top w:val="single" w:sz="4" w:space="0" w:color="auto"/>
              <w:left w:val="nil"/>
              <w:bottom w:val="double" w:sz="6" w:space="0" w:color="auto"/>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1,008 </w:t>
            </w:r>
          </w:p>
        </w:tc>
        <w:tc>
          <w:tcPr>
            <w:tcW w:w="994" w:type="dxa"/>
            <w:tcBorders>
              <w:top w:val="single" w:sz="4" w:space="0" w:color="auto"/>
              <w:left w:val="nil"/>
              <w:bottom w:val="double" w:sz="6" w:space="0" w:color="auto"/>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586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9193" w:type="dxa"/>
            <w:gridSpan w:val="7"/>
            <w:tcBorders>
              <w:top w:val="nil"/>
              <w:left w:val="nil"/>
              <w:bottom w:val="nil"/>
              <w:right w:val="nil"/>
            </w:tcBorders>
            <w:shd w:val="clear" w:color="auto" w:fill="auto"/>
            <w:noWrap/>
            <w:hideMark/>
          </w:tcPr>
          <w:p w:rsidR="00112ED5" w:rsidRPr="00112ED5" w:rsidRDefault="00112ED5" w:rsidP="001027FD">
            <w:pPr>
              <w:spacing w:before="120" w:after="120"/>
              <w:rPr>
                <w:rFonts w:ascii="Arial" w:hAnsi="Arial" w:cs="Arial"/>
                <w:color w:val="000000"/>
                <w:sz w:val="20"/>
                <w:szCs w:val="20"/>
              </w:rPr>
            </w:pPr>
            <w:r w:rsidRPr="00EC7833">
              <w:rPr>
                <w:rFonts w:ascii="Arial" w:hAnsi="Arial" w:cs="Arial"/>
                <w:color w:val="000000"/>
                <w:sz w:val="20"/>
                <w:szCs w:val="20"/>
              </w:rPr>
              <w:t>The Queensland Studies Authority has fully depreciated plant and equipment with a cost of $946,765 still being used</w:t>
            </w:r>
            <w:r w:rsidR="0081369B">
              <w:rPr>
                <w:rFonts w:ascii="Arial" w:hAnsi="Arial" w:cs="Arial"/>
                <w:color w:val="000000"/>
                <w:sz w:val="20"/>
                <w:szCs w:val="20"/>
              </w:rPr>
              <w:t xml:space="preserve"> in the provision of services. </w:t>
            </w:r>
            <w:r w:rsidRPr="00EC7833">
              <w:rPr>
                <w:rFonts w:ascii="Arial" w:hAnsi="Arial" w:cs="Arial"/>
                <w:color w:val="000000"/>
                <w:sz w:val="20"/>
                <w:szCs w:val="20"/>
              </w:rPr>
              <w:t>Plant and equipment is valued at cost in accordance with Queensland Treasury and Trade’s Non-current Asset Policies for the Queensland Public Sector.</w:t>
            </w:r>
          </w:p>
        </w:tc>
      </w:tr>
      <w:tr w:rsidR="00112ED5" w:rsidRPr="00112ED5" w:rsidTr="005C2A68">
        <w:trPr>
          <w:trHeight w:val="6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center"/>
            <w:hideMark/>
          </w:tcPr>
          <w:p w:rsidR="00112ED5" w:rsidRPr="00112ED5" w:rsidRDefault="00112ED5" w:rsidP="005C2A68">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Plant and equipment reconciliation</w:t>
            </w: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2ED5" w:rsidRPr="00112ED5" w:rsidRDefault="00112ED5" w:rsidP="00112ED5">
            <w:pPr>
              <w:spacing w:before="0" w:line="240" w:lineRule="auto"/>
              <w:jc w:val="center"/>
              <w:rPr>
                <w:rFonts w:ascii="Arial" w:hAnsi="Arial" w:cs="Arial"/>
                <w:b/>
                <w:bCs/>
                <w:color w:val="000000"/>
                <w:sz w:val="20"/>
                <w:szCs w:val="20"/>
              </w:rPr>
            </w:pPr>
            <w:r w:rsidRPr="00112ED5">
              <w:rPr>
                <w:rFonts w:ascii="Arial" w:hAnsi="Arial" w:cs="Arial"/>
                <w:b/>
                <w:bCs/>
                <w:color w:val="000000"/>
                <w:sz w:val="20"/>
                <w:szCs w:val="20"/>
              </w:rPr>
              <w:t xml:space="preserve"> Plant &amp; Equipment </w:t>
            </w:r>
          </w:p>
        </w:tc>
        <w:tc>
          <w:tcPr>
            <w:tcW w:w="1988" w:type="dxa"/>
            <w:gridSpan w:val="2"/>
            <w:tcBorders>
              <w:top w:val="single" w:sz="4" w:space="0" w:color="auto"/>
              <w:left w:val="nil"/>
              <w:bottom w:val="single" w:sz="4" w:space="0" w:color="auto"/>
              <w:right w:val="single" w:sz="4" w:space="0" w:color="auto"/>
            </w:tcBorders>
            <w:shd w:val="clear" w:color="auto" w:fill="auto"/>
            <w:vAlign w:val="center"/>
            <w:hideMark/>
          </w:tcPr>
          <w:p w:rsidR="00112ED5" w:rsidRPr="00112ED5" w:rsidRDefault="00112ED5" w:rsidP="00112ED5">
            <w:pPr>
              <w:spacing w:before="0" w:line="240" w:lineRule="auto"/>
              <w:jc w:val="center"/>
              <w:rPr>
                <w:rFonts w:ascii="Arial" w:hAnsi="Arial" w:cs="Arial"/>
                <w:b/>
                <w:bCs/>
                <w:color w:val="000000"/>
                <w:sz w:val="20"/>
                <w:szCs w:val="20"/>
              </w:rPr>
            </w:pPr>
            <w:r w:rsidRPr="00112ED5">
              <w:rPr>
                <w:rFonts w:ascii="Arial" w:hAnsi="Arial" w:cs="Arial"/>
                <w:b/>
                <w:bCs/>
                <w:color w:val="000000"/>
                <w:sz w:val="20"/>
                <w:szCs w:val="20"/>
              </w:rPr>
              <w:t xml:space="preserve"> Work In Progress </w:t>
            </w:r>
          </w:p>
        </w:tc>
        <w:tc>
          <w:tcPr>
            <w:tcW w:w="1988" w:type="dxa"/>
            <w:gridSpan w:val="2"/>
            <w:tcBorders>
              <w:top w:val="single" w:sz="4" w:space="0" w:color="auto"/>
              <w:left w:val="nil"/>
              <w:bottom w:val="single" w:sz="4" w:space="0" w:color="auto"/>
              <w:right w:val="single" w:sz="4" w:space="0" w:color="auto"/>
            </w:tcBorders>
            <w:shd w:val="clear" w:color="auto" w:fill="auto"/>
            <w:vAlign w:val="center"/>
            <w:hideMark/>
          </w:tcPr>
          <w:p w:rsidR="00112ED5" w:rsidRPr="00112ED5" w:rsidRDefault="00112ED5" w:rsidP="00112ED5">
            <w:pPr>
              <w:spacing w:before="0" w:line="240" w:lineRule="auto"/>
              <w:jc w:val="center"/>
              <w:rPr>
                <w:rFonts w:ascii="Arial" w:hAnsi="Arial" w:cs="Arial"/>
                <w:b/>
                <w:bCs/>
                <w:color w:val="000000"/>
                <w:sz w:val="20"/>
                <w:szCs w:val="20"/>
              </w:rPr>
            </w:pPr>
            <w:r w:rsidRPr="00112ED5">
              <w:rPr>
                <w:rFonts w:ascii="Arial" w:hAnsi="Arial" w:cs="Arial"/>
                <w:b/>
                <w:bCs/>
                <w:color w:val="000000"/>
                <w:sz w:val="20"/>
                <w:szCs w:val="20"/>
              </w:rPr>
              <w:t xml:space="preserve"> Total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p>
        </w:tc>
        <w:tc>
          <w:tcPr>
            <w:tcW w:w="993" w:type="dxa"/>
            <w:tcBorders>
              <w:top w:val="nil"/>
              <w:left w:val="single" w:sz="4" w:space="0" w:color="auto"/>
              <w:bottom w:val="single" w:sz="4" w:space="0" w:color="auto"/>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2014</w:t>
            </w:r>
          </w:p>
        </w:tc>
        <w:tc>
          <w:tcPr>
            <w:tcW w:w="994" w:type="dxa"/>
            <w:tcBorders>
              <w:top w:val="nil"/>
              <w:left w:val="nil"/>
              <w:bottom w:val="single" w:sz="4" w:space="0" w:color="auto"/>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2013</w:t>
            </w:r>
          </w:p>
        </w:tc>
        <w:tc>
          <w:tcPr>
            <w:tcW w:w="994" w:type="dxa"/>
            <w:tcBorders>
              <w:top w:val="nil"/>
              <w:left w:val="nil"/>
              <w:bottom w:val="single" w:sz="4" w:space="0" w:color="auto"/>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2014</w:t>
            </w:r>
          </w:p>
        </w:tc>
        <w:tc>
          <w:tcPr>
            <w:tcW w:w="994" w:type="dxa"/>
            <w:tcBorders>
              <w:top w:val="nil"/>
              <w:left w:val="nil"/>
              <w:bottom w:val="single" w:sz="4" w:space="0" w:color="auto"/>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2013</w:t>
            </w:r>
          </w:p>
        </w:tc>
        <w:tc>
          <w:tcPr>
            <w:tcW w:w="994" w:type="dxa"/>
            <w:tcBorders>
              <w:top w:val="nil"/>
              <w:left w:val="nil"/>
              <w:bottom w:val="single" w:sz="4" w:space="0" w:color="auto"/>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2014</w:t>
            </w:r>
          </w:p>
        </w:tc>
        <w:tc>
          <w:tcPr>
            <w:tcW w:w="994" w:type="dxa"/>
            <w:tcBorders>
              <w:top w:val="nil"/>
              <w:left w:val="nil"/>
              <w:bottom w:val="single" w:sz="4" w:space="0" w:color="auto"/>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2013</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p>
        </w:tc>
        <w:tc>
          <w:tcPr>
            <w:tcW w:w="993" w:type="dxa"/>
            <w:tcBorders>
              <w:top w:val="nil"/>
              <w:left w:val="single" w:sz="4" w:space="0" w:color="auto"/>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$'000</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$'000</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$'000</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$'000</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$'000</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$'000</w:t>
            </w:r>
          </w:p>
        </w:tc>
      </w:tr>
      <w:tr w:rsidR="00112ED5" w:rsidRPr="00112ED5" w:rsidTr="00112ED5">
        <w:trPr>
          <w:trHeight w:val="402"/>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vAlign w:val="bottom"/>
            <w:hideMark/>
          </w:tcPr>
          <w:p w:rsidR="00112ED5" w:rsidRPr="00112ED5" w:rsidRDefault="00112ED5" w:rsidP="00112ED5">
            <w:pPr>
              <w:spacing w:before="0" w:line="240" w:lineRule="auto"/>
              <w:rPr>
                <w:rFonts w:ascii="Arial" w:hAnsi="Arial" w:cs="Arial"/>
                <w:b/>
                <w:bCs/>
                <w:color w:val="000000"/>
                <w:sz w:val="20"/>
                <w:szCs w:val="20"/>
              </w:rPr>
            </w:pPr>
            <w:r w:rsidRPr="00112ED5">
              <w:rPr>
                <w:rFonts w:ascii="Arial" w:hAnsi="Arial" w:cs="Arial"/>
                <w:b/>
                <w:bCs/>
                <w:color w:val="000000"/>
                <w:sz w:val="20"/>
                <w:szCs w:val="20"/>
              </w:rPr>
              <w:t>Opening Balance</w:t>
            </w:r>
          </w:p>
        </w:tc>
        <w:tc>
          <w:tcPr>
            <w:tcW w:w="993" w:type="dxa"/>
            <w:tcBorders>
              <w:top w:val="nil"/>
              <w:left w:val="single" w:sz="4" w:space="0" w:color="auto"/>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542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873 </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44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 </w:t>
            </w:r>
            <w:r w:rsidR="00FA5556">
              <w:rPr>
                <w:rFonts w:ascii="Arial" w:hAnsi="Arial" w:cs="Arial"/>
                <w:b/>
                <w:bCs/>
                <w:color w:val="000000"/>
                <w:sz w:val="20"/>
                <w:szCs w:val="20"/>
              </w:rPr>
              <w:t>–</w:t>
            </w:r>
            <w:r w:rsidRPr="00112ED5">
              <w:rPr>
                <w:rFonts w:ascii="Arial" w:hAnsi="Arial" w:cs="Arial"/>
                <w:b/>
                <w:bCs/>
                <w:color w:val="000000"/>
                <w:sz w:val="20"/>
                <w:szCs w:val="20"/>
              </w:rPr>
              <w:t xml:space="preserve"> </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586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873 </w:t>
            </w:r>
          </w:p>
        </w:tc>
      </w:tr>
      <w:tr w:rsidR="00112ED5" w:rsidRPr="00112ED5" w:rsidTr="00112ED5">
        <w:trPr>
          <w:trHeight w:val="402"/>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Acquisitions</w:t>
            </w:r>
          </w:p>
        </w:tc>
        <w:tc>
          <w:tcPr>
            <w:tcW w:w="993" w:type="dxa"/>
            <w:tcBorders>
              <w:top w:val="nil"/>
              <w:left w:val="single" w:sz="4" w:space="0" w:color="auto"/>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65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21 </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585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44 </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650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65 </w:t>
            </w:r>
          </w:p>
        </w:tc>
      </w:tr>
      <w:tr w:rsidR="00112ED5" w:rsidRPr="00112ED5" w:rsidTr="00112ED5">
        <w:trPr>
          <w:trHeight w:val="402"/>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Disposals/Assets written off</w:t>
            </w:r>
          </w:p>
        </w:tc>
        <w:tc>
          <w:tcPr>
            <w:tcW w:w="993" w:type="dxa"/>
            <w:tcBorders>
              <w:top w:val="nil"/>
              <w:left w:val="single" w:sz="4" w:space="0" w:color="auto"/>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(3)</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(3)</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r>
      <w:tr w:rsidR="00112ED5" w:rsidRPr="00112ED5" w:rsidTr="00112ED5">
        <w:trPr>
          <w:trHeight w:val="402"/>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Transfer between classes</w:t>
            </w:r>
          </w:p>
        </w:tc>
        <w:tc>
          <w:tcPr>
            <w:tcW w:w="993" w:type="dxa"/>
            <w:tcBorders>
              <w:top w:val="nil"/>
              <w:left w:val="single" w:sz="4" w:space="0" w:color="auto"/>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629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(629)</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r>
      <w:tr w:rsidR="00112ED5" w:rsidRPr="00112ED5" w:rsidTr="00112ED5">
        <w:trPr>
          <w:trHeight w:val="402"/>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Depreciation</w:t>
            </w:r>
          </w:p>
        </w:tc>
        <w:tc>
          <w:tcPr>
            <w:tcW w:w="993" w:type="dxa"/>
            <w:tcBorders>
              <w:top w:val="nil"/>
              <w:left w:val="single" w:sz="4" w:space="0" w:color="auto"/>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(225)</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(352)</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4" w:type="dxa"/>
            <w:tcBorders>
              <w:top w:val="nil"/>
              <w:left w:val="nil"/>
              <w:bottom w:val="nil"/>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(225)</w:t>
            </w:r>
          </w:p>
        </w:tc>
        <w:tc>
          <w:tcPr>
            <w:tcW w:w="994" w:type="dxa"/>
            <w:tcBorders>
              <w:top w:val="nil"/>
              <w:left w:val="nil"/>
              <w:bottom w:val="nil"/>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(352)</w:t>
            </w:r>
          </w:p>
        </w:tc>
      </w:tr>
      <w:tr w:rsidR="00112ED5" w:rsidRPr="00112ED5" w:rsidTr="00112ED5">
        <w:trPr>
          <w:trHeight w:val="6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vAlign w:val="bottom"/>
            <w:hideMark/>
          </w:tcPr>
          <w:p w:rsidR="00112ED5" w:rsidRPr="00112ED5" w:rsidRDefault="00112ED5" w:rsidP="00112ED5">
            <w:pPr>
              <w:spacing w:before="0" w:line="240" w:lineRule="auto"/>
              <w:rPr>
                <w:rFonts w:ascii="Arial" w:hAnsi="Arial" w:cs="Arial"/>
                <w:b/>
                <w:bCs/>
                <w:color w:val="000000"/>
                <w:sz w:val="20"/>
                <w:szCs w:val="20"/>
              </w:rPr>
            </w:pPr>
            <w:r w:rsidRPr="00112ED5">
              <w:rPr>
                <w:rFonts w:ascii="Arial" w:hAnsi="Arial" w:cs="Arial"/>
                <w:b/>
                <w:bCs/>
                <w:color w:val="000000"/>
                <w:sz w:val="20"/>
                <w:szCs w:val="20"/>
              </w:rPr>
              <w:t>Carrying amount at 30 June</w:t>
            </w:r>
          </w:p>
        </w:tc>
        <w:tc>
          <w:tcPr>
            <w:tcW w:w="993"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1,008 </w:t>
            </w:r>
          </w:p>
        </w:tc>
        <w:tc>
          <w:tcPr>
            <w:tcW w:w="994" w:type="dxa"/>
            <w:tcBorders>
              <w:top w:val="single" w:sz="4" w:space="0" w:color="auto"/>
              <w:left w:val="nil"/>
              <w:bottom w:val="double" w:sz="6" w:space="0" w:color="auto"/>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542 </w:t>
            </w:r>
          </w:p>
        </w:tc>
        <w:tc>
          <w:tcPr>
            <w:tcW w:w="994" w:type="dxa"/>
            <w:tcBorders>
              <w:top w:val="single" w:sz="4" w:space="0" w:color="auto"/>
              <w:left w:val="nil"/>
              <w:bottom w:val="double" w:sz="6" w:space="0" w:color="auto"/>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 </w:t>
            </w:r>
            <w:r w:rsidR="00FA5556">
              <w:rPr>
                <w:rFonts w:ascii="Arial" w:hAnsi="Arial" w:cs="Arial"/>
                <w:b/>
                <w:bCs/>
                <w:color w:val="000000"/>
                <w:sz w:val="20"/>
                <w:szCs w:val="20"/>
              </w:rPr>
              <w:t>–</w:t>
            </w:r>
            <w:r w:rsidRPr="00112ED5">
              <w:rPr>
                <w:rFonts w:ascii="Arial" w:hAnsi="Arial" w:cs="Arial"/>
                <w:b/>
                <w:bCs/>
                <w:color w:val="000000"/>
                <w:sz w:val="20"/>
                <w:szCs w:val="20"/>
              </w:rPr>
              <w:t xml:space="preserve"> </w:t>
            </w:r>
          </w:p>
        </w:tc>
        <w:tc>
          <w:tcPr>
            <w:tcW w:w="994" w:type="dxa"/>
            <w:tcBorders>
              <w:top w:val="single" w:sz="4" w:space="0" w:color="auto"/>
              <w:left w:val="nil"/>
              <w:bottom w:val="double" w:sz="6" w:space="0" w:color="auto"/>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44 </w:t>
            </w:r>
          </w:p>
        </w:tc>
        <w:tc>
          <w:tcPr>
            <w:tcW w:w="994" w:type="dxa"/>
            <w:tcBorders>
              <w:top w:val="single" w:sz="4" w:space="0" w:color="auto"/>
              <w:left w:val="nil"/>
              <w:bottom w:val="double" w:sz="6" w:space="0" w:color="auto"/>
              <w:right w:val="single" w:sz="4" w:space="0" w:color="auto"/>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1,008 </w:t>
            </w:r>
          </w:p>
        </w:tc>
        <w:tc>
          <w:tcPr>
            <w:tcW w:w="994" w:type="dxa"/>
            <w:tcBorders>
              <w:top w:val="single" w:sz="4" w:space="0" w:color="auto"/>
              <w:left w:val="nil"/>
              <w:bottom w:val="double" w:sz="6" w:space="0" w:color="auto"/>
              <w:right w:val="single" w:sz="4" w:space="0" w:color="auto"/>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586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993" w:type="dxa"/>
            <w:tcBorders>
              <w:top w:val="nil"/>
              <w:left w:val="nil"/>
              <w:bottom w:val="nil"/>
              <w:right w:val="nil"/>
            </w:tcBorders>
            <w:shd w:val="clear" w:color="auto" w:fill="auto"/>
            <w:vAlign w:val="center"/>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vAlign w:val="center"/>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center"/>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center"/>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center"/>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center"/>
            <w:hideMark/>
          </w:tcPr>
          <w:p w:rsidR="00112ED5" w:rsidRPr="00112ED5" w:rsidRDefault="00112ED5" w:rsidP="00112ED5">
            <w:pPr>
              <w:spacing w:before="0" w:line="240" w:lineRule="auto"/>
              <w:jc w:val="center"/>
              <w:rPr>
                <w:rFonts w:ascii="Arial" w:hAnsi="Arial" w:cs="Arial"/>
                <w:b/>
                <w:bCs/>
                <w:color w:val="000000"/>
                <w:sz w:val="20"/>
                <w:szCs w:val="20"/>
              </w:rPr>
            </w:pP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bookmarkStart w:id="113" w:name="Note16"/>
            <w:bookmarkEnd w:id="113"/>
            <w:r w:rsidRPr="00112ED5">
              <w:rPr>
                <w:rFonts w:ascii="Arial" w:hAnsi="Arial" w:cs="Arial"/>
                <w:b/>
                <w:bCs/>
                <w:color w:val="000000"/>
                <w:sz w:val="20"/>
                <w:szCs w:val="20"/>
              </w:rPr>
              <w:t>16</w:t>
            </w: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r w:rsidRPr="00112ED5">
              <w:rPr>
                <w:rFonts w:ascii="Arial" w:hAnsi="Arial" w:cs="Arial"/>
                <w:b/>
                <w:bCs/>
                <w:color w:val="000000"/>
                <w:sz w:val="20"/>
                <w:szCs w:val="20"/>
              </w:rPr>
              <w:t>Payables</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2014</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2013</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$'000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$'000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Trade creditors</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3,375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3,557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Other</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189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185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ind w:firstLineChars="100" w:firstLine="200"/>
              <w:rPr>
                <w:rFonts w:ascii="Arial" w:hAnsi="Arial" w:cs="Arial"/>
                <w:color w:val="000000"/>
                <w:sz w:val="20"/>
                <w:szCs w:val="20"/>
              </w:rPr>
            </w:pP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single" w:sz="4" w:space="0" w:color="auto"/>
              <w:left w:val="nil"/>
              <w:bottom w:val="double" w:sz="6" w:space="0" w:color="auto"/>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3,564 </w:t>
            </w:r>
          </w:p>
        </w:tc>
        <w:tc>
          <w:tcPr>
            <w:tcW w:w="994" w:type="dxa"/>
            <w:tcBorders>
              <w:top w:val="single" w:sz="4" w:space="0" w:color="auto"/>
              <w:left w:val="nil"/>
              <w:bottom w:val="double" w:sz="6" w:space="0" w:color="auto"/>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3,742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bookmarkStart w:id="114" w:name="Note17"/>
            <w:bookmarkEnd w:id="114"/>
            <w:r w:rsidRPr="00112ED5">
              <w:rPr>
                <w:rFonts w:ascii="Arial" w:hAnsi="Arial" w:cs="Arial"/>
                <w:b/>
                <w:bCs/>
                <w:color w:val="000000"/>
                <w:sz w:val="20"/>
                <w:szCs w:val="20"/>
              </w:rPr>
              <w:t>17</w:t>
            </w: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r w:rsidRPr="00112ED5">
              <w:rPr>
                <w:rFonts w:ascii="Arial" w:hAnsi="Arial" w:cs="Arial"/>
                <w:b/>
                <w:bCs/>
                <w:color w:val="000000"/>
                <w:sz w:val="20"/>
                <w:szCs w:val="20"/>
              </w:rPr>
              <w:t>Accrued Employee Benefits</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Current</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ind w:firstLineChars="100" w:firstLine="200"/>
              <w:rPr>
                <w:rFonts w:ascii="Arial" w:hAnsi="Arial" w:cs="Arial"/>
                <w:color w:val="000000"/>
                <w:sz w:val="20"/>
                <w:szCs w:val="20"/>
              </w:rPr>
            </w:pPr>
            <w:r w:rsidRPr="00112ED5">
              <w:rPr>
                <w:rFonts w:ascii="Arial" w:hAnsi="Arial" w:cs="Arial"/>
                <w:color w:val="000000"/>
                <w:sz w:val="20"/>
                <w:szCs w:val="20"/>
              </w:rPr>
              <w:t>Salaries payable</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138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38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ind w:firstLineChars="100" w:firstLine="200"/>
              <w:rPr>
                <w:rFonts w:ascii="Arial" w:hAnsi="Arial" w:cs="Arial"/>
                <w:color w:val="000000"/>
                <w:sz w:val="20"/>
                <w:szCs w:val="20"/>
              </w:rPr>
            </w:pPr>
            <w:r w:rsidRPr="00112ED5">
              <w:rPr>
                <w:rFonts w:ascii="Arial" w:hAnsi="Arial" w:cs="Arial"/>
                <w:color w:val="000000"/>
                <w:sz w:val="20"/>
                <w:szCs w:val="20"/>
              </w:rPr>
              <w:t xml:space="preserve">Annual leave </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1,666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1,656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ind w:firstLineChars="100" w:firstLine="200"/>
              <w:rPr>
                <w:rFonts w:ascii="Arial" w:hAnsi="Arial" w:cs="Arial"/>
                <w:color w:val="000000"/>
                <w:sz w:val="20"/>
                <w:szCs w:val="20"/>
              </w:rPr>
            </w:pPr>
            <w:r w:rsidRPr="00112ED5">
              <w:rPr>
                <w:rFonts w:ascii="Arial" w:hAnsi="Arial" w:cs="Arial"/>
                <w:color w:val="000000"/>
                <w:sz w:val="20"/>
                <w:szCs w:val="20"/>
              </w:rPr>
              <w:t xml:space="preserve">Long service leave </w:t>
            </w: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center"/>
              <w:rPr>
                <w:rFonts w:ascii="Arial" w:hAnsi="Arial" w:cs="Arial"/>
                <w:b/>
                <w:bCs/>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91 </w:t>
            </w: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95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3230"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p>
        </w:tc>
        <w:tc>
          <w:tcPr>
            <w:tcW w:w="993"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c>
          <w:tcPr>
            <w:tcW w:w="994" w:type="dxa"/>
            <w:tcBorders>
              <w:top w:val="single" w:sz="4" w:space="0" w:color="auto"/>
              <w:left w:val="nil"/>
              <w:bottom w:val="double" w:sz="6" w:space="0" w:color="auto"/>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1,895 </w:t>
            </w:r>
          </w:p>
        </w:tc>
        <w:tc>
          <w:tcPr>
            <w:tcW w:w="994" w:type="dxa"/>
            <w:tcBorders>
              <w:top w:val="single" w:sz="4" w:space="0" w:color="auto"/>
              <w:left w:val="nil"/>
              <w:bottom w:val="double" w:sz="6" w:space="0" w:color="auto"/>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1,789 </w:t>
            </w:r>
          </w:p>
        </w:tc>
      </w:tr>
      <w:tr w:rsidR="00112ED5" w:rsidRPr="00112ED5" w:rsidTr="00112ED5">
        <w:trPr>
          <w:trHeight w:val="300"/>
        </w:trPr>
        <w:tc>
          <w:tcPr>
            <w:tcW w:w="45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p>
        </w:tc>
        <w:tc>
          <w:tcPr>
            <w:tcW w:w="9193" w:type="dxa"/>
            <w:gridSpan w:val="7"/>
            <w:tcBorders>
              <w:top w:val="nil"/>
              <w:left w:val="nil"/>
              <w:bottom w:val="nil"/>
              <w:right w:val="nil"/>
            </w:tcBorders>
            <w:shd w:val="clear" w:color="auto" w:fill="auto"/>
            <w:noWrap/>
            <w:vAlign w:val="bottom"/>
            <w:hideMark/>
          </w:tcPr>
          <w:p w:rsidR="00112ED5" w:rsidRPr="00112ED5" w:rsidRDefault="00112ED5" w:rsidP="001027FD">
            <w:pPr>
              <w:spacing w:before="120" w:after="120"/>
              <w:rPr>
                <w:rFonts w:ascii="Arial" w:hAnsi="Arial" w:cs="Arial"/>
                <w:color w:val="000000"/>
                <w:sz w:val="20"/>
                <w:szCs w:val="20"/>
              </w:rPr>
            </w:pPr>
            <w:r w:rsidRPr="00EC7833">
              <w:rPr>
                <w:rFonts w:ascii="Arial" w:hAnsi="Arial" w:cs="Arial"/>
                <w:color w:val="000000"/>
                <w:sz w:val="20"/>
                <w:szCs w:val="20"/>
              </w:rPr>
              <w:t>The Authority has implemented a Recreation Leave Management Policy. The policy requires a formal Recreation Leave Management Plan (RLMP) to be in place for each employee with a balance greater than</w:t>
            </w:r>
            <w:r>
              <w:rPr>
                <w:rFonts w:ascii="Arial" w:hAnsi="Arial" w:cs="Arial"/>
                <w:color w:val="000000"/>
                <w:sz w:val="20"/>
                <w:szCs w:val="20"/>
              </w:rPr>
              <w:t xml:space="preserve"> </w:t>
            </w:r>
            <w:r w:rsidRPr="00EC7833">
              <w:rPr>
                <w:rFonts w:ascii="Arial" w:hAnsi="Arial" w:cs="Arial"/>
                <w:color w:val="000000"/>
                <w:sz w:val="20"/>
                <w:szCs w:val="20"/>
              </w:rPr>
              <w:t xml:space="preserve">40 days annual leave. The RLMP ensures the employee's balance will be </w:t>
            </w:r>
            <w:proofErr w:type="gramStart"/>
            <w:r w:rsidRPr="00EC7833">
              <w:rPr>
                <w:rFonts w:ascii="Arial" w:hAnsi="Arial" w:cs="Arial"/>
                <w:color w:val="000000"/>
                <w:sz w:val="20"/>
                <w:szCs w:val="20"/>
              </w:rPr>
              <w:t>under</w:t>
            </w:r>
            <w:proofErr w:type="gramEnd"/>
            <w:r w:rsidRPr="00EC7833">
              <w:rPr>
                <w:rFonts w:ascii="Arial" w:hAnsi="Arial" w:cs="Arial"/>
                <w:color w:val="000000"/>
                <w:sz w:val="20"/>
                <w:szCs w:val="20"/>
              </w:rPr>
              <w:t xml:space="preserve"> 40 days within twelve months.</w:t>
            </w:r>
            <w:r>
              <w:rPr>
                <w:rFonts w:ascii="Arial" w:hAnsi="Arial" w:cs="Arial"/>
                <w:color w:val="000000"/>
                <w:sz w:val="20"/>
                <w:szCs w:val="20"/>
              </w:rPr>
              <w:t xml:space="preserve"> </w:t>
            </w:r>
            <w:r w:rsidRPr="00EC7833">
              <w:rPr>
                <w:rFonts w:ascii="Arial" w:hAnsi="Arial" w:cs="Arial"/>
                <w:color w:val="000000"/>
                <w:sz w:val="20"/>
                <w:szCs w:val="20"/>
              </w:rPr>
              <w:t>Accordingly, the Authority recognises all annual leave as current.</w:t>
            </w:r>
          </w:p>
        </w:tc>
      </w:tr>
    </w:tbl>
    <w:p w:rsidR="00112ED5" w:rsidRDefault="00112ED5">
      <w:r>
        <w:br w:type="page"/>
      </w:r>
    </w:p>
    <w:tbl>
      <w:tblPr>
        <w:tblW w:w="4900" w:type="pct"/>
        <w:tblInd w:w="93" w:type="dxa"/>
        <w:tblLayout w:type="fixed"/>
        <w:tblCellMar>
          <w:left w:w="57" w:type="dxa"/>
          <w:right w:w="85" w:type="dxa"/>
        </w:tblCellMar>
        <w:tblLook w:val="04A0" w:firstRow="1" w:lastRow="0" w:firstColumn="1" w:lastColumn="0" w:noHBand="0" w:noVBand="1"/>
      </w:tblPr>
      <w:tblGrid>
        <w:gridCol w:w="365"/>
        <w:gridCol w:w="586"/>
        <w:gridCol w:w="6534"/>
        <w:gridCol w:w="994"/>
        <w:gridCol w:w="995"/>
      </w:tblGrid>
      <w:tr w:rsidR="00007976" w:rsidRPr="00112ED5" w:rsidTr="00007976">
        <w:trPr>
          <w:trHeight w:val="300"/>
        </w:trPr>
        <w:tc>
          <w:tcPr>
            <w:tcW w:w="7485" w:type="dxa"/>
            <w:gridSpan w:val="3"/>
            <w:tcBorders>
              <w:top w:val="nil"/>
              <w:left w:val="nil"/>
              <w:bottom w:val="nil"/>
              <w:right w:val="nil"/>
            </w:tcBorders>
            <w:shd w:val="clear" w:color="auto" w:fill="auto"/>
            <w:noWrap/>
            <w:vAlign w:val="bottom"/>
            <w:hideMark/>
          </w:tcPr>
          <w:p w:rsidR="00007976" w:rsidRPr="00112ED5" w:rsidRDefault="00007976" w:rsidP="00007976">
            <w:pPr>
              <w:spacing w:before="0" w:line="240" w:lineRule="auto"/>
              <w:rPr>
                <w:rFonts w:ascii="Arial" w:hAnsi="Arial" w:cs="Arial"/>
                <w:b/>
                <w:bCs/>
                <w:color w:val="000000"/>
                <w:sz w:val="20"/>
                <w:szCs w:val="20"/>
              </w:rPr>
            </w:pPr>
            <w:bookmarkStart w:id="115" w:name="Note18"/>
            <w:bookmarkEnd w:id="115"/>
            <w:r w:rsidRPr="00112ED5">
              <w:rPr>
                <w:rFonts w:ascii="Arial" w:hAnsi="Arial" w:cs="Arial"/>
                <w:b/>
                <w:bCs/>
                <w:color w:val="000000"/>
                <w:sz w:val="20"/>
                <w:szCs w:val="20"/>
              </w:rPr>
              <w:lastRenderedPageBreak/>
              <w:t>18</w:t>
            </w:r>
            <w:r>
              <w:rPr>
                <w:rFonts w:ascii="Arial" w:hAnsi="Arial" w:cs="Arial"/>
                <w:b/>
                <w:bCs/>
                <w:color w:val="000000"/>
                <w:sz w:val="20"/>
                <w:szCs w:val="20"/>
              </w:rPr>
              <w:t xml:space="preserve"> </w:t>
            </w:r>
            <w:r w:rsidRPr="00112ED5">
              <w:rPr>
                <w:rFonts w:ascii="Arial" w:hAnsi="Arial" w:cs="Arial"/>
                <w:b/>
                <w:bCs/>
                <w:color w:val="000000"/>
                <w:sz w:val="20"/>
                <w:szCs w:val="20"/>
              </w:rPr>
              <w:t>Reconciliation of Operating Surplus to Net Cash from Operating</w:t>
            </w:r>
            <w:r>
              <w:rPr>
                <w:rFonts w:ascii="Arial" w:hAnsi="Arial" w:cs="Arial"/>
                <w:b/>
                <w:bCs/>
                <w:color w:val="000000"/>
                <w:sz w:val="20"/>
                <w:szCs w:val="20"/>
              </w:rPr>
              <w:t xml:space="preserve"> </w:t>
            </w:r>
            <w:r w:rsidRPr="00112ED5">
              <w:rPr>
                <w:rFonts w:ascii="Arial" w:hAnsi="Arial" w:cs="Arial"/>
                <w:b/>
                <w:bCs/>
                <w:color w:val="000000"/>
                <w:sz w:val="20"/>
                <w:szCs w:val="20"/>
              </w:rPr>
              <w:t>Activities</w:t>
            </w:r>
          </w:p>
        </w:tc>
        <w:tc>
          <w:tcPr>
            <w:tcW w:w="994" w:type="dxa"/>
            <w:tcBorders>
              <w:top w:val="nil"/>
              <w:left w:val="nil"/>
              <w:bottom w:val="nil"/>
              <w:right w:val="nil"/>
            </w:tcBorders>
            <w:shd w:val="clear" w:color="000000" w:fill="D9D9D9"/>
            <w:noWrap/>
            <w:vAlign w:val="bottom"/>
            <w:hideMark/>
          </w:tcPr>
          <w:p w:rsidR="00007976" w:rsidRPr="00112ED5" w:rsidRDefault="00007976"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2014</w:t>
            </w:r>
          </w:p>
        </w:tc>
        <w:tc>
          <w:tcPr>
            <w:tcW w:w="995" w:type="dxa"/>
            <w:tcBorders>
              <w:top w:val="nil"/>
              <w:left w:val="nil"/>
              <w:bottom w:val="nil"/>
              <w:right w:val="nil"/>
            </w:tcBorders>
            <w:shd w:val="clear" w:color="auto" w:fill="auto"/>
            <w:noWrap/>
            <w:vAlign w:val="bottom"/>
            <w:hideMark/>
          </w:tcPr>
          <w:p w:rsidR="00007976" w:rsidRPr="00112ED5" w:rsidRDefault="00007976"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2013</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112ED5" w:rsidRPr="00883A5B" w:rsidRDefault="00112ED5" w:rsidP="00883A5B"/>
        </w:tc>
        <w:tc>
          <w:tcPr>
            <w:tcW w:w="586" w:type="dxa"/>
            <w:tcBorders>
              <w:top w:val="nil"/>
              <w:left w:val="nil"/>
              <w:bottom w:val="nil"/>
              <w:right w:val="nil"/>
            </w:tcBorders>
            <w:shd w:val="clear" w:color="auto" w:fill="auto"/>
            <w:noWrap/>
            <w:hideMark/>
          </w:tcPr>
          <w:p w:rsidR="00112ED5" w:rsidRPr="00883A5B" w:rsidRDefault="00112ED5" w:rsidP="00883A5B"/>
        </w:tc>
        <w:tc>
          <w:tcPr>
            <w:tcW w:w="6534" w:type="dxa"/>
            <w:tcBorders>
              <w:top w:val="nil"/>
              <w:left w:val="nil"/>
              <w:bottom w:val="nil"/>
              <w:right w:val="nil"/>
            </w:tcBorders>
            <w:shd w:val="clear" w:color="auto" w:fill="auto"/>
            <w:noWrap/>
            <w:hideMark/>
          </w:tcPr>
          <w:p w:rsidR="00112ED5" w:rsidRPr="00883A5B" w:rsidRDefault="00112ED5" w:rsidP="00883A5B"/>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$'000 </w:t>
            </w:r>
          </w:p>
        </w:tc>
        <w:tc>
          <w:tcPr>
            <w:tcW w:w="99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$'000 </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112ED5" w:rsidRPr="00883A5B" w:rsidRDefault="00112ED5" w:rsidP="00883A5B"/>
        </w:tc>
        <w:tc>
          <w:tcPr>
            <w:tcW w:w="586" w:type="dxa"/>
            <w:tcBorders>
              <w:top w:val="nil"/>
              <w:left w:val="nil"/>
              <w:bottom w:val="nil"/>
              <w:right w:val="nil"/>
            </w:tcBorders>
            <w:shd w:val="clear" w:color="auto" w:fill="auto"/>
            <w:noWrap/>
            <w:vAlign w:val="bottom"/>
            <w:hideMark/>
          </w:tcPr>
          <w:p w:rsidR="00112ED5" w:rsidRPr="00883A5B" w:rsidRDefault="00112ED5" w:rsidP="00883A5B"/>
        </w:tc>
        <w:tc>
          <w:tcPr>
            <w:tcW w:w="653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p>
        </w:tc>
        <w:tc>
          <w:tcPr>
            <w:tcW w:w="99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b/>
                <w:bCs/>
                <w:color w:val="000000"/>
                <w:sz w:val="20"/>
                <w:szCs w:val="20"/>
              </w:rPr>
            </w:pPr>
          </w:p>
        </w:tc>
      </w:tr>
      <w:tr w:rsidR="00736879" w:rsidRPr="00112ED5" w:rsidTr="00007976">
        <w:trPr>
          <w:trHeight w:val="300"/>
        </w:trPr>
        <w:tc>
          <w:tcPr>
            <w:tcW w:w="365" w:type="dxa"/>
            <w:tcBorders>
              <w:top w:val="nil"/>
              <w:left w:val="nil"/>
              <w:bottom w:val="nil"/>
              <w:right w:val="nil"/>
            </w:tcBorders>
            <w:shd w:val="clear" w:color="auto" w:fill="auto"/>
            <w:noWrap/>
            <w:hideMark/>
          </w:tcPr>
          <w:p w:rsidR="00112ED5" w:rsidRPr="00883A5B" w:rsidRDefault="00112ED5" w:rsidP="00883A5B"/>
        </w:tc>
        <w:tc>
          <w:tcPr>
            <w:tcW w:w="586" w:type="dxa"/>
            <w:tcBorders>
              <w:top w:val="nil"/>
              <w:left w:val="nil"/>
              <w:bottom w:val="nil"/>
              <w:right w:val="nil"/>
            </w:tcBorders>
            <w:shd w:val="clear" w:color="auto" w:fill="auto"/>
            <w:noWrap/>
            <w:vAlign w:val="bottom"/>
            <w:hideMark/>
          </w:tcPr>
          <w:p w:rsidR="00112ED5" w:rsidRPr="00883A5B" w:rsidRDefault="00112ED5" w:rsidP="00883A5B"/>
        </w:tc>
        <w:tc>
          <w:tcPr>
            <w:tcW w:w="653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Operating surplus/(deficit)</w:t>
            </w: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29 </w:t>
            </w:r>
          </w:p>
        </w:tc>
        <w:tc>
          <w:tcPr>
            <w:tcW w:w="99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273 </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112ED5" w:rsidRPr="00883A5B" w:rsidRDefault="00112ED5" w:rsidP="00883A5B"/>
        </w:tc>
        <w:tc>
          <w:tcPr>
            <w:tcW w:w="586" w:type="dxa"/>
            <w:tcBorders>
              <w:top w:val="nil"/>
              <w:left w:val="nil"/>
              <w:bottom w:val="nil"/>
              <w:right w:val="nil"/>
            </w:tcBorders>
            <w:shd w:val="clear" w:color="auto" w:fill="auto"/>
            <w:noWrap/>
            <w:vAlign w:val="bottom"/>
            <w:hideMark/>
          </w:tcPr>
          <w:p w:rsidR="00112ED5" w:rsidRPr="00883A5B" w:rsidRDefault="00112ED5" w:rsidP="00883A5B"/>
        </w:tc>
        <w:tc>
          <w:tcPr>
            <w:tcW w:w="653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w:t>
            </w:r>
          </w:p>
        </w:tc>
        <w:tc>
          <w:tcPr>
            <w:tcW w:w="99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r>
      <w:tr w:rsidR="00736879" w:rsidRPr="00112ED5" w:rsidTr="00007976">
        <w:trPr>
          <w:trHeight w:val="300"/>
        </w:trPr>
        <w:tc>
          <w:tcPr>
            <w:tcW w:w="365" w:type="dxa"/>
            <w:tcBorders>
              <w:top w:val="nil"/>
              <w:left w:val="nil"/>
              <w:bottom w:val="nil"/>
              <w:right w:val="nil"/>
            </w:tcBorders>
            <w:shd w:val="clear" w:color="auto" w:fill="auto"/>
            <w:noWrap/>
            <w:hideMark/>
          </w:tcPr>
          <w:p w:rsidR="00112ED5" w:rsidRPr="00883A5B" w:rsidRDefault="00112ED5" w:rsidP="00883A5B"/>
        </w:tc>
        <w:tc>
          <w:tcPr>
            <w:tcW w:w="586" w:type="dxa"/>
            <w:tcBorders>
              <w:top w:val="nil"/>
              <w:left w:val="nil"/>
              <w:bottom w:val="nil"/>
              <w:right w:val="nil"/>
            </w:tcBorders>
            <w:shd w:val="clear" w:color="auto" w:fill="auto"/>
            <w:noWrap/>
            <w:vAlign w:val="bottom"/>
            <w:hideMark/>
          </w:tcPr>
          <w:p w:rsidR="00112ED5" w:rsidRPr="00883A5B" w:rsidRDefault="00112ED5" w:rsidP="00883A5B"/>
        </w:tc>
        <w:tc>
          <w:tcPr>
            <w:tcW w:w="653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Depreciation &amp; amortisation expense</w:t>
            </w: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1,289 </w:t>
            </w:r>
          </w:p>
        </w:tc>
        <w:tc>
          <w:tcPr>
            <w:tcW w:w="99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1,478 </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112ED5" w:rsidRPr="00883A5B" w:rsidRDefault="00112ED5" w:rsidP="00883A5B"/>
        </w:tc>
        <w:tc>
          <w:tcPr>
            <w:tcW w:w="586" w:type="dxa"/>
            <w:tcBorders>
              <w:top w:val="nil"/>
              <w:left w:val="nil"/>
              <w:bottom w:val="nil"/>
              <w:right w:val="nil"/>
            </w:tcBorders>
            <w:shd w:val="clear" w:color="auto" w:fill="auto"/>
            <w:noWrap/>
            <w:vAlign w:val="bottom"/>
            <w:hideMark/>
          </w:tcPr>
          <w:p w:rsidR="00112ED5" w:rsidRPr="00883A5B" w:rsidRDefault="00112ED5" w:rsidP="00883A5B"/>
        </w:tc>
        <w:tc>
          <w:tcPr>
            <w:tcW w:w="653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r w:rsidRPr="00112ED5">
              <w:rPr>
                <w:rFonts w:ascii="Arial" w:hAnsi="Arial" w:cs="Arial"/>
                <w:color w:val="000000"/>
                <w:sz w:val="20"/>
                <w:szCs w:val="20"/>
              </w:rPr>
              <w:t>Impairment losses</w:t>
            </w: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800 </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112ED5" w:rsidRPr="00883A5B" w:rsidRDefault="00112ED5" w:rsidP="00883A5B"/>
        </w:tc>
        <w:tc>
          <w:tcPr>
            <w:tcW w:w="586"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p>
        </w:tc>
        <w:tc>
          <w:tcPr>
            <w:tcW w:w="6534"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color w:val="000000"/>
                <w:sz w:val="20"/>
                <w:szCs w:val="20"/>
              </w:rPr>
            </w:pP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w:t>
            </w:r>
          </w:p>
        </w:tc>
        <w:tc>
          <w:tcPr>
            <w:tcW w:w="99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r>
      <w:tr w:rsidR="00112ED5" w:rsidRPr="00112ED5" w:rsidTr="00007976">
        <w:trPr>
          <w:trHeight w:val="300"/>
        </w:trPr>
        <w:tc>
          <w:tcPr>
            <w:tcW w:w="365" w:type="dxa"/>
            <w:tcBorders>
              <w:top w:val="nil"/>
              <w:left w:val="nil"/>
              <w:bottom w:val="nil"/>
              <w:right w:val="nil"/>
            </w:tcBorders>
            <w:shd w:val="clear" w:color="auto" w:fill="auto"/>
            <w:noWrap/>
            <w:hideMark/>
          </w:tcPr>
          <w:p w:rsidR="00112ED5" w:rsidRPr="00883A5B" w:rsidRDefault="00112ED5" w:rsidP="00883A5B"/>
        </w:tc>
        <w:tc>
          <w:tcPr>
            <w:tcW w:w="7120" w:type="dxa"/>
            <w:gridSpan w:val="2"/>
            <w:tcBorders>
              <w:top w:val="nil"/>
              <w:left w:val="nil"/>
              <w:bottom w:val="nil"/>
              <w:right w:val="nil"/>
            </w:tcBorders>
            <w:shd w:val="clear" w:color="auto" w:fill="auto"/>
            <w:noWrap/>
            <w:vAlign w:val="bottom"/>
            <w:hideMark/>
          </w:tcPr>
          <w:p w:rsidR="00112ED5" w:rsidRPr="00112ED5" w:rsidRDefault="00112ED5" w:rsidP="00112ED5">
            <w:pPr>
              <w:spacing w:before="0" w:line="240" w:lineRule="auto"/>
              <w:rPr>
                <w:rFonts w:ascii="Arial" w:hAnsi="Arial" w:cs="Arial"/>
                <w:b/>
                <w:bCs/>
                <w:color w:val="000000"/>
                <w:sz w:val="20"/>
                <w:szCs w:val="20"/>
              </w:rPr>
            </w:pPr>
            <w:r w:rsidRPr="00112ED5">
              <w:rPr>
                <w:rFonts w:ascii="Arial" w:hAnsi="Arial" w:cs="Arial"/>
                <w:b/>
                <w:bCs/>
                <w:color w:val="000000"/>
                <w:sz w:val="20"/>
                <w:szCs w:val="20"/>
              </w:rPr>
              <w:t>Change in assets and liabilities:</w:t>
            </w:r>
          </w:p>
        </w:tc>
        <w:tc>
          <w:tcPr>
            <w:tcW w:w="994" w:type="dxa"/>
            <w:tcBorders>
              <w:top w:val="nil"/>
              <w:left w:val="nil"/>
              <w:bottom w:val="nil"/>
              <w:right w:val="nil"/>
            </w:tcBorders>
            <w:shd w:val="clear" w:color="000000" w:fill="D9D9D9"/>
            <w:noWrap/>
            <w:vAlign w:val="bottom"/>
            <w:hideMark/>
          </w:tcPr>
          <w:p w:rsidR="00112ED5" w:rsidRPr="00112ED5" w:rsidRDefault="00112ED5" w:rsidP="00112ED5">
            <w:pPr>
              <w:spacing w:before="0" w:line="240" w:lineRule="auto"/>
              <w:jc w:val="right"/>
              <w:rPr>
                <w:rFonts w:ascii="Arial" w:hAnsi="Arial" w:cs="Arial"/>
                <w:color w:val="000000"/>
                <w:sz w:val="20"/>
                <w:szCs w:val="20"/>
              </w:rPr>
            </w:pPr>
            <w:r w:rsidRPr="00112ED5">
              <w:rPr>
                <w:rFonts w:ascii="Arial" w:hAnsi="Arial" w:cs="Arial"/>
                <w:color w:val="000000"/>
                <w:sz w:val="20"/>
                <w:szCs w:val="20"/>
              </w:rPr>
              <w:t> </w:t>
            </w:r>
          </w:p>
        </w:tc>
        <w:tc>
          <w:tcPr>
            <w:tcW w:w="995" w:type="dxa"/>
            <w:tcBorders>
              <w:top w:val="nil"/>
              <w:left w:val="nil"/>
              <w:bottom w:val="nil"/>
              <w:right w:val="nil"/>
            </w:tcBorders>
            <w:shd w:val="clear" w:color="auto" w:fill="auto"/>
            <w:noWrap/>
            <w:vAlign w:val="bottom"/>
            <w:hideMark/>
          </w:tcPr>
          <w:p w:rsidR="00112ED5" w:rsidRPr="00112ED5" w:rsidRDefault="00112ED5" w:rsidP="00112ED5">
            <w:pPr>
              <w:spacing w:before="0" w:line="240" w:lineRule="auto"/>
              <w:jc w:val="right"/>
              <w:rPr>
                <w:rFonts w:ascii="Arial" w:hAnsi="Arial" w:cs="Arial"/>
                <w:color w:val="000000"/>
                <w:sz w:val="20"/>
                <w:szCs w:val="20"/>
              </w:rPr>
            </w:pP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000000"/>
                <w:sz w:val="20"/>
                <w:szCs w:val="20"/>
              </w:rPr>
            </w:pPr>
            <w:r w:rsidRPr="00112ED5">
              <w:rPr>
                <w:rFonts w:ascii="Arial" w:hAnsi="Arial" w:cs="Arial"/>
                <w:color w:val="000000"/>
                <w:sz w:val="20"/>
                <w:szCs w:val="20"/>
              </w:rPr>
              <w:t>(Increase)/decrease in trade receivables</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120" w:line="240" w:lineRule="auto"/>
              <w:jc w:val="right"/>
              <w:rPr>
                <w:rFonts w:ascii="Arial" w:hAnsi="Arial" w:cs="Arial"/>
                <w:color w:val="000000"/>
                <w:sz w:val="20"/>
                <w:szCs w:val="20"/>
              </w:rPr>
            </w:pPr>
            <w:r w:rsidRPr="00112ED5">
              <w:rPr>
                <w:rFonts w:ascii="Arial" w:hAnsi="Arial" w:cs="Arial"/>
                <w:color w:val="000000"/>
                <w:sz w:val="20"/>
                <w:szCs w:val="20"/>
              </w:rPr>
              <w:t xml:space="preserve">237 </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jc w:val="right"/>
              <w:rPr>
                <w:rFonts w:ascii="Arial" w:hAnsi="Arial" w:cs="Arial"/>
                <w:color w:val="000000"/>
                <w:sz w:val="20"/>
                <w:szCs w:val="20"/>
              </w:rPr>
            </w:pPr>
            <w:r w:rsidRPr="00112ED5">
              <w:rPr>
                <w:rFonts w:ascii="Arial" w:hAnsi="Arial" w:cs="Arial"/>
                <w:color w:val="000000"/>
                <w:sz w:val="20"/>
                <w:szCs w:val="20"/>
              </w:rPr>
              <w:t>(176)</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(Increase) in GST input tax credits receivable</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(17)</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(240)</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(Increase)/decrease in LSL reimbursement receivable</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142 </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(97)</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(Increase)/decrease in other receivables</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(5)</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88 </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(Increase) in inventory</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(100)</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(24)</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(Increase) in prepayments</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(44)</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(122)</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Increase/(decrease) in accounts payable</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(181)</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265 </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Increase/(decrease) in accrued employee benefits</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107 </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(312)</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Increase/(decrease) in GST payable</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(7)</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7 </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Increase in other payables</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4 </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 xml:space="preserve">14 </w:t>
            </w:r>
          </w:p>
        </w:tc>
      </w:tr>
      <w:tr w:rsidR="00736879" w:rsidRPr="00112ED5" w:rsidTr="00007976">
        <w:trPr>
          <w:trHeight w:val="220"/>
        </w:trPr>
        <w:tc>
          <w:tcPr>
            <w:tcW w:w="365" w:type="dxa"/>
            <w:tcBorders>
              <w:top w:val="nil"/>
              <w:left w:val="nil"/>
              <w:bottom w:val="nil"/>
              <w:right w:val="nil"/>
            </w:tcBorders>
            <w:shd w:val="clear" w:color="auto" w:fill="auto"/>
            <w:noWrap/>
            <w:vAlign w:val="bottom"/>
          </w:tcPr>
          <w:p w:rsidR="00736879" w:rsidRPr="00883A5B" w:rsidRDefault="00736879" w:rsidP="00736879">
            <w:pPr>
              <w:spacing w:before="120" w:line="240" w:lineRule="auto"/>
            </w:pPr>
          </w:p>
        </w:tc>
        <w:tc>
          <w:tcPr>
            <w:tcW w:w="586" w:type="dxa"/>
            <w:tcBorders>
              <w:top w:val="nil"/>
              <w:left w:val="nil"/>
              <w:bottom w:val="nil"/>
              <w:right w:val="nil"/>
            </w:tcBorders>
            <w:shd w:val="clear" w:color="auto" w:fill="auto"/>
            <w:noWrap/>
            <w:vAlign w:val="bottom"/>
          </w:tcPr>
          <w:p w:rsidR="00736879" w:rsidRPr="00112ED5" w:rsidRDefault="00736879" w:rsidP="00736879">
            <w:pPr>
              <w:spacing w:before="120" w:line="240" w:lineRule="auto"/>
              <w:rPr>
                <w:rFonts w:ascii="Arial" w:hAnsi="Arial" w:cs="Arial"/>
                <w:color w:val="FFFFFF"/>
                <w:sz w:val="20"/>
                <w:szCs w:val="20"/>
              </w:rPr>
            </w:pPr>
          </w:p>
        </w:tc>
        <w:tc>
          <w:tcPr>
            <w:tcW w:w="6534" w:type="dxa"/>
            <w:tcBorders>
              <w:top w:val="nil"/>
              <w:left w:val="nil"/>
              <w:bottom w:val="nil"/>
              <w:right w:val="nil"/>
            </w:tcBorders>
            <w:shd w:val="clear" w:color="auto" w:fill="auto"/>
            <w:noWrap/>
            <w:vAlign w:val="bottom"/>
          </w:tcPr>
          <w:p w:rsidR="00736879" w:rsidRPr="00112ED5" w:rsidRDefault="00736879" w:rsidP="00736879">
            <w:pPr>
              <w:spacing w:before="0" w:line="240" w:lineRule="auto"/>
              <w:rPr>
                <w:rFonts w:ascii="Arial" w:hAnsi="Arial" w:cs="Arial"/>
                <w:color w:val="000000"/>
                <w:sz w:val="20"/>
                <w:szCs w:val="20"/>
              </w:rPr>
            </w:pPr>
            <w:r w:rsidRPr="00112ED5">
              <w:rPr>
                <w:rFonts w:ascii="Arial" w:hAnsi="Arial" w:cs="Arial"/>
                <w:color w:val="000000"/>
                <w:sz w:val="20"/>
                <w:szCs w:val="20"/>
              </w:rPr>
              <w:t>(Decrease) in unearned revenue</w:t>
            </w:r>
          </w:p>
        </w:tc>
        <w:tc>
          <w:tcPr>
            <w:tcW w:w="994" w:type="dxa"/>
            <w:tcBorders>
              <w:top w:val="nil"/>
              <w:left w:val="nil"/>
              <w:bottom w:val="nil"/>
              <w:right w:val="nil"/>
            </w:tcBorders>
            <w:shd w:val="clear" w:color="000000" w:fill="D9D9D9"/>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(2)</w:t>
            </w:r>
          </w:p>
        </w:tc>
        <w:tc>
          <w:tcPr>
            <w:tcW w:w="995" w:type="dxa"/>
            <w:tcBorders>
              <w:top w:val="nil"/>
              <w:left w:val="nil"/>
              <w:bottom w:val="nil"/>
              <w:right w:val="nil"/>
            </w:tcBorders>
            <w:shd w:val="clear" w:color="auto" w:fill="auto"/>
            <w:noWrap/>
            <w:vAlign w:val="bottom"/>
          </w:tcPr>
          <w:p w:rsidR="00736879" w:rsidRPr="00112ED5" w:rsidRDefault="00736879" w:rsidP="00736879">
            <w:pPr>
              <w:spacing w:before="0" w:line="240" w:lineRule="auto"/>
              <w:jc w:val="right"/>
              <w:rPr>
                <w:rFonts w:ascii="Arial" w:hAnsi="Arial" w:cs="Arial"/>
                <w:color w:val="000000"/>
                <w:sz w:val="20"/>
                <w:szCs w:val="20"/>
              </w:rPr>
            </w:pPr>
            <w:r w:rsidRPr="00112ED5">
              <w:rPr>
                <w:rFonts w:ascii="Arial" w:hAnsi="Arial" w:cs="Arial"/>
                <w:color w:val="000000"/>
                <w:sz w:val="20"/>
                <w:szCs w:val="20"/>
              </w:rPr>
              <w:t>(34)</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883A5B"/>
        </w:tc>
        <w:tc>
          <w:tcPr>
            <w:tcW w:w="7120" w:type="dxa"/>
            <w:gridSpan w:val="2"/>
            <w:tcBorders>
              <w:top w:val="nil"/>
              <w:left w:val="nil"/>
              <w:bottom w:val="nil"/>
              <w:right w:val="nil"/>
            </w:tcBorders>
            <w:shd w:val="clear" w:color="auto" w:fill="auto"/>
            <w:noWrap/>
            <w:vAlign w:val="bottom"/>
            <w:hideMark/>
          </w:tcPr>
          <w:p w:rsidR="00736879" w:rsidRPr="00112ED5" w:rsidRDefault="00736879" w:rsidP="00112ED5">
            <w:pPr>
              <w:spacing w:before="0" w:line="240" w:lineRule="auto"/>
              <w:rPr>
                <w:rFonts w:ascii="Arial" w:hAnsi="Arial" w:cs="Arial"/>
                <w:b/>
                <w:bCs/>
                <w:color w:val="000000"/>
                <w:sz w:val="20"/>
                <w:szCs w:val="20"/>
              </w:rPr>
            </w:pPr>
            <w:r w:rsidRPr="00112ED5">
              <w:rPr>
                <w:rFonts w:ascii="Arial" w:hAnsi="Arial" w:cs="Arial"/>
                <w:b/>
                <w:bCs/>
                <w:color w:val="000000"/>
                <w:sz w:val="20"/>
                <w:szCs w:val="20"/>
              </w:rPr>
              <w:t>Net cash from operating activities</w:t>
            </w:r>
          </w:p>
        </w:tc>
        <w:tc>
          <w:tcPr>
            <w:tcW w:w="994" w:type="dxa"/>
            <w:tcBorders>
              <w:top w:val="single" w:sz="4" w:space="0" w:color="auto"/>
              <w:left w:val="nil"/>
              <w:bottom w:val="double" w:sz="6" w:space="0" w:color="auto"/>
              <w:right w:val="nil"/>
            </w:tcBorders>
            <w:shd w:val="clear" w:color="000000" w:fill="D9D9D9"/>
            <w:noWrap/>
            <w:vAlign w:val="bottom"/>
            <w:hideMark/>
          </w:tcPr>
          <w:p w:rsidR="00736879" w:rsidRPr="00112ED5" w:rsidRDefault="00736879"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1,452 </w:t>
            </w:r>
          </w:p>
        </w:tc>
        <w:tc>
          <w:tcPr>
            <w:tcW w:w="995" w:type="dxa"/>
            <w:tcBorders>
              <w:top w:val="single" w:sz="4" w:space="0" w:color="auto"/>
              <w:left w:val="nil"/>
              <w:bottom w:val="double" w:sz="6" w:space="0" w:color="auto"/>
              <w:right w:val="nil"/>
            </w:tcBorders>
            <w:shd w:val="clear" w:color="auto" w:fill="auto"/>
            <w:noWrap/>
            <w:vAlign w:val="bottom"/>
            <w:hideMark/>
          </w:tcPr>
          <w:p w:rsidR="00736879" w:rsidRPr="00112ED5" w:rsidRDefault="00736879"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1,920 </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883A5B"/>
        </w:tc>
        <w:tc>
          <w:tcPr>
            <w:tcW w:w="586" w:type="dxa"/>
            <w:tcBorders>
              <w:top w:val="nil"/>
              <w:left w:val="nil"/>
              <w:bottom w:val="nil"/>
              <w:right w:val="nil"/>
            </w:tcBorders>
            <w:shd w:val="clear" w:color="auto" w:fill="auto"/>
            <w:noWrap/>
            <w:vAlign w:val="bottom"/>
            <w:hideMark/>
          </w:tcPr>
          <w:p w:rsidR="00736879" w:rsidRPr="00112ED5" w:rsidRDefault="00736879" w:rsidP="00112ED5">
            <w:pPr>
              <w:spacing w:before="0" w:line="240" w:lineRule="auto"/>
              <w:rPr>
                <w:rFonts w:ascii="Arial" w:hAnsi="Arial" w:cs="Arial"/>
                <w:b/>
                <w:bCs/>
                <w:color w:val="000000"/>
                <w:sz w:val="20"/>
                <w:szCs w:val="20"/>
              </w:rPr>
            </w:pPr>
          </w:p>
        </w:tc>
        <w:tc>
          <w:tcPr>
            <w:tcW w:w="6534" w:type="dxa"/>
            <w:tcBorders>
              <w:top w:val="nil"/>
              <w:left w:val="nil"/>
              <w:bottom w:val="nil"/>
              <w:right w:val="nil"/>
            </w:tcBorders>
            <w:shd w:val="clear" w:color="auto" w:fill="auto"/>
            <w:noWrap/>
            <w:vAlign w:val="bottom"/>
            <w:hideMark/>
          </w:tcPr>
          <w:p w:rsidR="00736879" w:rsidRPr="00112ED5" w:rsidRDefault="00736879" w:rsidP="00112ED5">
            <w:pPr>
              <w:spacing w:before="0" w:line="240" w:lineRule="auto"/>
              <w:rPr>
                <w:rFonts w:ascii="Arial" w:hAnsi="Arial" w:cs="Arial"/>
                <w:color w:val="000000"/>
                <w:sz w:val="20"/>
                <w:szCs w:val="20"/>
              </w:rPr>
            </w:pPr>
          </w:p>
        </w:tc>
        <w:tc>
          <w:tcPr>
            <w:tcW w:w="994" w:type="dxa"/>
            <w:tcBorders>
              <w:top w:val="nil"/>
              <w:left w:val="nil"/>
              <w:bottom w:val="nil"/>
              <w:right w:val="nil"/>
            </w:tcBorders>
            <w:shd w:val="clear" w:color="auto" w:fill="auto"/>
            <w:noWrap/>
            <w:vAlign w:val="bottom"/>
            <w:hideMark/>
          </w:tcPr>
          <w:p w:rsidR="00736879" w:rsidRPr="00112ED5" w:rsidRDefault="00736879" w:rsidP="00112ED5">
            <w:pPr>
              <w:spacing w:before="0" w:line="240" w:lineRule="auto"/>
              <w:rPr>
                <w:rFonts w:ascii="Calibri" w:hAnsi="Calibri" w:cs="Calibri"/>
                <w:color w:val="000000"/>
                <w:sz w:val="22"/>
                <w:szCs w:val="22"/>
              </w:rPr>
            </w:pPr>
          </w:p>
        </w:tc>
        <w:tc>
          <w:tcPr>
            <w:tcW w:w="995" w:type="dxa"/>
            <w:tcBorders>
              <w:top w:val="nil"/>
              <w:left w:val="nil"/>
              <w:bottom w:val="nil"/>
              <w:right w:val="nil"/>
            </w:tcBorders>
            <w:shd w:val="clear" w:color="auto" w:fill="auto"/>
            <w:noWrap/>
            <w:vAlign w:val="bottom"/>
            <w:hideMark/>
          </w:tcPr>
          <w:p w:rsidR="00736879" w:rsidRPr="00112ED5" w:rsidRDefault="00736879" w:rsidP="00112ED5">
            <w:pPr>
              <w:spacing w:before="0" w:line="240" w:lineRule="auto"/>
              <w:rPr>
                <w:rFonts w:ascii="Calibri" w:hAnsi="Calibri" w:cs="Calibri"/>
                <w:color w:val="000000"/>
                <w:sz w:val="22"/>
                <w:szCs w:val="22"/>
              </w:rPr>
            </w:pPr>
          </w:p>
        </w:tc>
      </w:tr>
      <w:tr w:rsidR="00736879" w:rsidRPr="00112ED5" w:rsidTr="00007976">
        <w:trPr>
          <w:trHeight w:val="300"/>
        </w:trPr>
        <w:tc>
          <w:tcPr>
            <w:tcW w:w="365" w:type="dxa"/>
            <w:tcBorders>
              <w:top w:val="nil"/>
              <w:left w:val="nil"/>
              <w:bottom w:val="nil"/>
              <w:right w:val="nil"/>
            </w:tcBorders>
            <w:shd w:val="clear" w:color="auto" w:fill="auto"/>
            <w:noWrap/>
            <w:vAlign w:val="bottom"/>
            <w:hideMark/>
          </w:tcPr>
          <w:p w:rsidR="00736879" w:rsidRPr="00883A5B" w:rsidRDefault="00736879" w:rsidP="00736879">
            <w:pPr>
              <w:spacing w:before="0" w:line="240" w:lineRule="auto"/>
            </w:pPr>
            <w:bookmarkStart w:id="116" w:name="Note19"/>
            <w:bookmarkEnd w:id="116"/>
            <w:r w:rsidRPr="00736879">
              <w:rPr>
                <w:rFonts w:ascii="Arial" w:hAnsi="Arial" w:cs="Arial"/>
                <w:b/>
                <w:bCs/>
                <w:color w:val="000000"/>
                <w:sz w:val="20"/>
                <w:szCs w:val="20"/>
              </w:rPr>
              <w:t>19</w:t>
            </w:r>
          </w:p>
        </w:tc>
        <w:tc>
          <w:tcPr>
            <w:tcW w:w="7120" w:type="dxa"/>
            <w:gridSpan w:val="2"/>
            <w:tcBorders>
              <w:top w:val="nil"/>
              <w:left w:val="nil"/>
              <w:bottom w:val="nil"/>
              <w:right w:val="nil"/>
            </w:tcBorders>
            <w:shd w:val="clear" w:color="auto" w:fill="auto"/>
            <w:noWrap/>
            <w:vAlign w:val="bottom"/>
            <w:hideMark/>
          </w:tcPr>
          <w:p w:rsidR="00736879" w:rsidRPr="00112ED5" w:rsidRDefault="00736879" w:rsidP="00112ED5">
            <w:pPr>
              <w:spacing w:before="0" w:line="240" w:lineRule="auto"/>
              <w:rPr>
                <w:rFonts w:ascii="Arial" w:hAnsi="Arial" w:cs="Arial"/>
                <w:b/>
                <w:bCs/>
                <w:color w:val="000000"/>
                <w:sz w:val="20"/>
                <w:szCs w:val="20"/>
              </w:rPr>
            </w:pPr>
            <w:r w:rsidRPr="00112ED5">
              <w:rPr>
                <w:rFonts w:ascii="Arial" w:hAnsi="Arial" w:cs="Arial"/>
                <w:b/>
                <w:bCs/>
                <w:color w:val="000000"/>
                <w:sz w:val="20"/>
                <w:szCs w:val="20"/>
              </w:rPr>
              <w:t>Commitments for Expenditure</w:t>
            </w:r>
          </w:p>
        </w:tc>
        <w:tc>
          <w:tcPr>
            <w:tcW w:w="994" w:type="dxa"/>
            <w:tcBorders>
              <w:top w:val="nil"/>
              <w:left w:val="nil"/>
              <w:bottom w:val="nil"/>
              <w:right w:val="nil"/>
            </w:tcBorders>
            <w:shd w:val="clear" w:color="auto" w:fill="auto"/>
            <w:noWrap/>
            <w:vAlign w:val="bottom"/>
            <w:hideMark/>
          </w:tcPr>
          <w:p w:rsidR="00736879" w:rsidRPr="00112ED5" w:rsidRDefault="00736879" w:rsidP="00112ED5">
            <w:pPr>
              <w:spacing w:before="0" w:line="240" w:lineRule="auto"/>
              <w:rPr>
                <w:rFonts w:ascii="Calibri" w:hAnsi="Calibri" w:cs="Calibri"/>
                <w:color w:val="000000"/>
                <w:sz w:val="22"/>
                <w:szCs w:val="22"/>
              </w:rPr>
            </w:pPr>
          </w:p>
        </w:tc>
        <w:tc>
          <w:tcPr>
            <w:tcW w:w="995" w:type="dxa"/>
            <w:tcBorders>
              <w:top w:val="nil"/>
              <w:left w:val="nil"/>
              <w:bottom w:val="nil"/>
              <w:right w:val="nil"/>
            </w:tcBorders>
            <w:shd w:val="clear" w:color="auto" w:fill="auto"/>
            <w:noWrap/>
            <w:vAlign w:val="bottom"/>
            <w:hideMark/>
          </w:tcPr>
          <w:p w:rsidR="00736879" w:rsidRPr="00112ED5" w:rsidRDefault="00736879" w:rsidP="00112ED5">
            <w:pPr>
              <w:spacing w:before="0" w:line="240" w:lineRule="auto"/>
              <w:rPr>
                <w:rFonts w:ascii="Calibri" w:hAnsi="Calibri" w:cs="Calibri"/>
                <w:color w:val="000000"/>
                <w:sz w:val="22"/>
                <w:szCs w:val="22"/>
              </w:rPr>
            </w:pP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883A5B"/>
        </w:tc>
        <w:tc>
          <w:tcPr>
            <w:tcW w:w="7120" w:type="dxa"/>
            <w:gridSpan w:val="2"/>
            <w:tcBorders>
              <w:top w:val="nil"/>
              <w:left w:val="nil"/>
              <w:bottom w:val="nil"/>
              <w:right w:val="nil"/>
            </w:tcBorders>
            <w:shd w:val="clear" w:color="auto" w:fill="auto"/>
            <w:noWrap/>
            <w:vAlign w:val="bottom"/>
            <w:hideMark/>
          </w:tcPr>
          <w:p w:rsidR="00736879" w:rsidRPr="00112ED5" w:rsidRDefault="00736879" w:rsidP="00736879">
            <w:pPr>
              <w:spacing w:before="120" w:line="240" w:lineRule="auto"/>
              <w:rPr>
                <w:rFonts w:ascii="Arial" w:hAnsi="Arial" w:cs="Arial"/>
                <w:b/>
                <w:bCs/>
                <w:color w:val="000000"/>
                <w:sz w:val="20"/>
                <w:szCs w:val="20"/>
              </w:rPr>
            </w:pPr>
            <w:r w:rsidRPr="00112ED5">
              <w:rPr>
                <w:rFonts w:ascii="Arial" w:hAnsi="Arial" w:cs="Arial"/>
                <w:b/>
                <w:bCs/>
                <w:color w:val="000000"/>
                <w:sz w:val="20"/>
                <w:szCs w:val="20"/>
              </w:rPr>
              <w:t>(a) Non-cancellable operating leases</w:t>
            </w:r>
          </w:p>
        </w:tc>
        <w:tc>
          <w:tcPr>
            <w:tcW w:w="994" w:type="dxa"/>
            <w:tcBorders>
              <w:top w:val="nil"/>
              <w:left w:val="nil"/>
              <w:bottom w:val="nil"/>
              <w:right w:val="nil"/>
            </w:tcBorders>
            <w:shd w:val="clear" w:color="auto" w:fill="auto"/>
            <w:noWrap/>
            <w:vAlign w:val="bottom"/>
            <w:hideMark/>
          </w:tcPr>
          <w:p w:rsidR="00736879" w:rsidRPr="00112ED5" w:rsidRDefault="00736879" w:rsidP="00112ED5">
            <w:pPr>
              <w:spacing w:before="0" w:line="240" w:lineRule="auto"/>
              <w:jc w:val="right"/>
              <w:rPr>
                <w:rFonts w:ascii="Arial" w:hAnsi="Arial" w:cs="Arial"/>
                <w:sz w:val="20"/>
                <w:szCs w:val="20"/>
              </w:rPr>
            </w:pPr>
          </w:p>
        </w:tc>
        <w:tc>
          <w:tcPr>
            <w:tcW w:w="995" w:type="dxa"/>
            <w:tcBorders>
              <w:top w:val="nil"/>
              <w:left w:val="nil"/>
              <w:bottom w:val="nil"/>
              <w:right w:val="nil"/>
            </w:tcBorders>
            <w:shd w:val="clear" w:color="auto" w:fill="auto"/>
            <w:noWrap/>
            <w:vAlign w:val="bottom"/>
            <w:hideMark/>
          </w:tcPr>
          <w:p w:rsidR="00736879" w:rsidRPr="00112ED5" w:rsidRDefault="00736879" w:rsidP="00112ED5">
            <w:pPr>
              <w:spacing w:before="0" w:line="240" w:lineRule="auto"/>
              <w:jc w:val="right"/>
              <w:rPr>
                <w:rFonts w:ascii="Arial" w:hAnsi="Arial" w:cs="Arial"/>
                <w:color w:val="000000"/>
                <w:sz w:val="20"/>
                <w:szCs w:val="20"/>
              </w:rPr>
            </w:pP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883A5B"/>
        </w:tc>
        <w:tc>
          <w:tcPr>
            <w:tcW w:w="9109" w:type="dxa"/>
            <w:gridSpan w:val="4"/>
            <w:tcBorders>
              <w:top w:val="nil"/>
              <w:left w:val="nil"/>
              <w:bottom w:val="nil"/>
              <w:right w:val="nil"/>
            </w:tcBorders>
            <w:shd w:val="clear" w:color="auto" w:fill="auto"/>
            <w:noWrap/>
            <w:vAlign w:val="bottom"/>
            <w:hideMark/>
          </w:tcPr>
          <w:p w:rsidR="00736879" w:rsidRPr="00112ED5" w:rsidRDefault="00736879" w:rsidP="00007976">
            <w:pPr>
              <w:spacing w:before="120" w:after="120" w:line="240" w:lineRule="auto"/>
              <w:rPr>
                <w:rFonts w:ascii="Arial" w:hAnsi="Arial" w:cs="Arial"/>
                <w:color w:val="000000"/>
                <w:sz w:val="20"/>
                <w:szCs w:val="20"/>
              </w:rPr>
            </w:pPr>
            <w:r w:rsidRPr="00112ED5">
              <w:rPr>
                <w:rFonts w:ascii="Arial" w:hAnsi="Arial" w:cs="Arial"/>
                <w:color w:val="000000"/>
                <w:sz w:val="20"/>
                <w:szCs w:val="20"/>
              </w:rPr>
              <w:t xml:space="preserve">Commitments under operating leases at reporting date are inclusive of </w:t>
            </w:r>
            <w:r w:rsidR="00007976">
              <w:rPr>
                <w:rFonts w:ascii="Arial" w:hAnsi="Arial" w:cs="Arial"/>
                <w:color w:val="000000"/>
                <w:sz w:val="20"/>
                <w:szCs w:val="20"/>
              </w:rPr>
              <w:br/>
            </w:r>
            <w:r w:rsidRPr="00112ED5">
              <w:rPr>
                <w:rFonts w:ascii="Arial" w:hAnsi="Arial" w:cs="Arial"/>
                <w:color w:val="000000"/>
                <w:sz w:val="20"/>
                <w:szCs w:val="20"/>
              </w:rPr>
              <w:t>anticipated GST and are payable as follows:</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736879">
            <w:pPr>
              <w:spacing w:before="40"/>
            </w:pPr>
          </w:p>
        </w:tc>
        <w:tc>
          <w:tcPr>
            <w:tcW w:w="586" w:type="dxa"/>
            <w:tcBorders>
              <w:top w:val="nil"/>
              <w:left w:val="nil"/>
              <w:bottom w:val="nil"/>
              <w:right w:val="nil"/>
            </w:tcBorders>
            <w:shd w:val="clear" w:color="auto" w:fill="auto"/>
            <w:noWrap/>
            <w:vAlign w:val="bottom"/>
            <w:hideMark/>
          </w:tcPr>
          <w:p w:rsidR="00736879" w:rsidRPr="00112ED5" w:rsidRDefault="00736879" w:rsidP="00736879">
            <w:pPr>
              <w:spacing w:before="40" w:line="240" w:lineRule="auto"/>
              <w:rPr>
                <w:rFonts w:ascii="Arial" w:hAnsi="Arial" w:cs="Arial"/>
                <w:b/>
                <w:bCs/>
                <w:color w:val="000000"/>
                <w:sz w:val="20"/>
                <w:szCs w:val="20"/>
              </w:rPr>
            </w:pPr>
          </w:p>
        </w:tc>
        <w:tc>
          <w:tcPr>
            <w:tcW w:w="6534" w:type="dxa"/>
            <w:tcBorders>
              <w:top w:val="nil"/>
              <w:left w:val="nil"/>
              <w:bottom w:val="nil"/>
              <w:right w:val="nil"/>
            </w:tcBorders>
            <w:shd w:val="clear" w:color="auto" w:fill="auto"/>
            <w:noWrap/>
            <w:vAlign w:val="bottom"/>
            <w:hideMark/>
          </w:tcPr>
          <w:p w:rsidR="00736879" w:rsidRPr="00112ED5" w:rsidRDefault="00736879" w:rsidP="00736879">
            <w:pPr>
              <w:spacing w:before="40" w:line="240" w:lineRule="auto"/>
              <w:rPr>
                <w:rFonts w:ascii="Arial" w:hAnsi="Arial" w:cs="Arial"/>
                <w:sz w:val="20"/>
                <w:szCs w:val="20"/>
              </w:rPr>
            </w:pPr>
            <w:r w:rsidRPr="00112ED5">
              <w:rPr>
                <w:rFonts w:ascii="Arial" w:hAnsi="Arial" w:cs="Arial"/>
                <w:sz w:val="20"/>
                <w:szCs w:val="20"/>
              </w:rPr>
              <w:t>Not later than one year</w:t>
            </w:r>
          </w:p>
        </w:tc>
        <w:tc>
          <w:tcPr>
            <w:tcW w:w="994" w:type="dxa"/>
            <w:tcBorders>
              <w:top w:val="nil"/>
              <w:left w:val="nil"/>
              <w:bottom w:val="nil"/>
              <w:right w:val="nil"/>
            </w:tcBorders>
            <w:shd w:val="clear" w:color="000000" w:fill="D9D9D9"/>
            <w:noWrap/>
            <w:vAlign w:val="bottom"/>
            <w:hideMark/>
          </w:tcPr>
          <w:p w:rsidR="00736879" w:rsidRPr="00112ED5" w:rsidRDefault="00736879" w:rsidP="00736879">
            <w:pPr>
              <w:spacing w:before="40" w:line="240" w:lineRule="auto"/>
              <w:jc w:val="right"/>
              <w:rPr>
                <w:rFonts w:ascii="Arial" w:hAnsi="Arial" w:cs="Arial"/>
                <w:color w:val="000000"/>
                <w:sz w:val="20"/>
                <w:szCs w:val="20"/>
              </w:rPr>
            </w:pPr>
            <w:r w:rsidRPr="00112ED5">
              <w:rPr>
                <w:rFonts w:ascii="Arial" w:hAnsi="Arial" w:cs="Arial"/>
                <w:color w:val="000000"/>
                <w:sz w:val="20"/>
                <w:szCs w:val="20"/>
              </w:rPr>
              <w:t xml:space="preserve">2,665 </w:t>
            </w:r>
          </w:p>
        </w:tc>
        <w:tc>
          <w:tcPr>
            <w:tcW w:w="995" w:type="dxa"/>
            <w:tcBorders>
              <w:top w:val="nil"/>
              <w:left w:val="nil"/>
              <w:bottom w:val="nil"/>
              <w:right w:val="nil"/>
            </w:tcBorders>
            <w:shd w:val="clear" w:color="auto" w:fill="auto"/>
            <w:noWrap/>
            <w:vAlign w:val="bottom"/>
            <w:hideMark/>
          </w:tcPr>
          <w:p w:rsidR="00736879" w:rsidRPr="00112ED5" w:rsidRDefault="00736879" w:rsidP="00736879">
            <w:pPr>
              <w:spacing w:before="40" w:line="240" w:lineRule="auto"/>
              <w:jc w:val="right"/>
              <w:rPr>
                <w:rFonts w:ascii="Arial" w:hAnsi="Arial" w:cs="Arial"/>
                <w:color w:val="000000"/>
                <w:sz w:val="20"/>
                <w:szCs w:val="20"/>
              </w:rPr>
            </w:pPr>
            <w:r w:rsidRPr="00112ED5">
              <w:rPr>
                <w:rFonts w:ascii="Arial" w:hAnsi="Arial" w:cs="Arial"/>
                <w:color w:val="000000"/>
                <w:sz w:val="20"/>
                <w:szCs w:val="20"/>
              </w:rPr>
              <w:t xml:space="preserve">2,831 </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736879">
            <w:pPr>
              <w:spacing w:before="40"/>
            </w:pPr>
          </w:p>
        </w:tc>
        <w:tc>
          <w:tcPr>
            <w:tcW w:w="586" w:type="dxa"/>
            <w:tcBorders>
              <w:top w:val="nil"/>
              <w:left w:val="nil"/>
              <w:bottom w:val="nil"/>
              <w:right w:val="nil"/>
            </w:tcBorders>
            <w:shd w:val="clear" w:color="auto" w:fill="auto"/>
            <w:noWrap/>
            <w:vAlign w:val="bottom"/>
            <w:hideMark/>
          </w:tcPr>
          <w:p w:rsidR="00736879" w:rsidRPr="00112ED5" w:rsidRDefault="00736879" w:rsidP="00736879">
            <w:pPr>
              <w:spacing w:before="40" w:line="240" w:lineRule="auto"/>
              <w:rPr>
                <w:rFonts w:ascii="Arial" w:hAnsi="Arial" w:cs="Arial"/>
                <w:b/>
                <w:bCs/>
                <w:color w:val="000000"/>
                <w:sz w:val="20"/>
                <w:szCs w:val="20"/>
              </w:rPr>
            </w:pPr>
          </w:p>
        </w:tc>
        <w:tc>
          <w:tcPr>
            <w:tcW w:w="6534" w:type="dxa"/>
            <w:tcBorders>
              <w:top w:val="nil"/>
              <w:left w:val="nil"/>
              <w:bottom w:val="nil"/>
              <w:right w:val="nil"/>
            </w:tcBorders>
            <w:shd w:val="clear" w:color="auto" w:fill="auto"/>
            <w:noWrap/>
            <w:vAlign w:val="bottom"/>
            <w:hideMark/>
          </w:tcPr>
          <w:p w:rsidR="00736879" w:rsidRPr="00112ED5" w:rsidRDefault="00736879" w:rsidP="00736879">
            <w:pPr>
              <w:spacing w:before="40" w:line="240" w:lineRule="auto"/>
              <w:rPr>
                <w:rFonts w:ascii="Arial" w:hAnsi="Arial" w:cs="Arial"/>
                <w:sz w:val="20"/>
                <w:szCs w:val="20"/>
              </w:rPr>
            </w:pPr>
            <w:r w:rsidRPr="00112ED5">
              <w:rPr>
                <w:rFonts w:ascii="Arial" w:hAnsi="Arial" w:cs="Arial"/>
                <w:sz w:val="20"/>
                <w:szCs w:val="20"/>
              </w:rPr>
              <w:t>Later than one year and not later than five years</w:t>
            </w:r>
          </w:p>
        </w:tc>
        <w:tc>
          <w:tcPr>
            <w:tcW w:w="994" w:type="dxa"/>
            <w:tcBorders>
              <w:top w:val="nil"/>
              <w:left w:val="nil"/>
              <w:bottom w:val="nil"/>
              <w:right w:val="nil"/>
            </w:tcBorders>
            <w:shd w:val="clear" w:color="000000" w:fill="D9D9D9"/>
            <w:noWrap/>
            <w:vAlign w:val="bottom"/>
            <w:hideMark/>
          </w:tcPr>
          <w:p w:rsidR="00736879" w:rsidRPr="00112ED5" w:rsidRDefault="00736879" w:rsidP="00736879">
            <w:pPr>
              <w:spacing w:before="40" w:line="240" w:lineRule="auto"/>
              <w:jc w:val="right"/>
              <w:rPr>
                <w:rFonts w:ascii="Arial" w:hAnsi="Arial" w:cs="Arial"/>
                <w:color w:val="000000"/>
                <w:sz w:val="20"/>
                <w:szCs w:val="20"/>
              </w:rPr>
            </w:pPr>
            <w:r w:rsidRPr="00112ED5">
              <w:rPr>
                <w:rFonts w:ascii="Arial" w:hAnsi="Arial" w:cs="Arial"/>
                <w:color w:val="000000"/>
                <w:sz w:val="20"/>
                <w:szCs w:val="20"/>
              </w:rPr>
              <w:t xml:space="preserve">5,164 </w:t>
            </w:r>
          </w:p>
        </w:tc>
        <w:tc>
          <w:tcPr>
            <w:tcW w:w="995" w:type="dxa"/>
            <w:tcBorders>
              <w:top w:val="nil"/>
              <w:left w:val="nil"/>
              <w:bottom w:val="nil"/>
              <w:right w:val="nil"/>
            </w:tcBorders>
            <w:shd w:val="clear" w:color="auto" w:fill="auto"/>
            <w:noWrap/>
            <w:vAlign w:val="bottom"/>
            <w:hideMark/>
          </w:tcPr>
          <w:p w:rsidR="00736879" w:rsidRPr="00112ED5" w:rsidRDefault="00736879" w:rsidP="00736879">
            <w:pPr>
              <w:spacing w:before="40" w:line="240" w:lineRule="auto"/>
              <w:jc w:val="right"/>
              <w:rPr>
                <w:rFonts w:ascii="Arial" w:hAnsi="Arial" w:cs="Arial"/>
                <w:color w:val="000000"/>
                <w:sz w:val="20"/>
                <w:szCs w:val="20"/>
              </w:rPr>
            </w:pPr>
            <w:r w:rsidRPr="00112ED5">
              <w:rPr>
                <w:rFonts w:ascii="Arial" w:hAnsi="Arial" w:cs="Arial"/>
                <w:color w:val="000000"/>
                <w:sz w:val="20"/>
                <w:szCs w:val="20"/>
              </w:rPr>
              <w:t xml:space="preserve">3,017 </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736879">
            <w:pPr>
              <w:spacing w:before="40"/>
            </w:pPr>
          </w:p>
        </w:tc>
        <w:tc>
          <w:tcPr>
            <w:tcW w:w="586" w:type="dxa"/>
            <w:tcBorders>
              <w:top w:val="nil"/>
              <w:left w:val="nil"/>
              <w:bottom w:val="nil"/>
              <w:right w:val="nil"/>
            </w:tcBorders>
            <w:shd w:val="clear" w:color="auto" w:fill="auto"/>
            <w:noWrap/>
            <w:vAlign w:val="bottom"/>
            <w:hideMark/>
          </w:tcPr>
          <w:p w:rsidR="00736879" w:rsidRPr="00112ED5" w:rsidRDefault="00736879" w:rsidP="00736879">
            <w:pPr>
              <w:spacing w:before="40" w:line="240" w:lineRule="auto"/>
              <w:rPr>
                <w:rFonts w:ascii="Arial" w:hAnsi="Arial" w:cs="Arial"/>
                <w:b/>
                <w:bCs/>
                <w:color w:val="000000"/>
                <w:sz w:val="20"/>
                <w:szCs w:val="20"/>
              </w:rPr>
            </w:pPr>
          </w:p>
        </w:tc>
        <w:tc>
          <w:tcPr>
            <w:tcW w:w="6534" w:type="dxa"/>
            <w:tcBorders>
              <w:top w:val="nil"/>
              <w:left w:val="nil"/>
              <w:bottom w:val="nil"/>
              <w:right w:val="nil"/>
            </w:tcBorders>
            <w:shd w:val="clear" w:color="auto" w:fill="auto"/>
            <w:noWrap/>
            <w:vAlign w:val="bottom"/>
            <w:hideMark/>
          </w:tcPr>
          <w:p w:rsidR="00736879" w:rsidRPr="00112ED5" w:rsidRDefault="00736879" w:rsidP="00736879">
            <w:pPr>
              <w:spacing w:before="40" w:line="240" w:lineRule="auto"/>
              <w:rPr>
                <w:rFonts w:ascii="Arial" w:hAnsi="Arial" w:cs="Arial"/>
                <w:sz w:val="20"/>
                <w:szCs w:val="20"/>
              </w:rPr>
            </w:pPr>
            <w:r w:rsidRPr="00112ED5">
              <w:rPr>
                <w:rFonts w:ascii="Arial" w:hAnsi="Arial" w:cs="Arial"/>
                <w:sz w:val="20"/>
                <w:szCs w:val="20"/>
              </w:rPr>
              <w:t>Later than five years</w:t>
            </w:r>
          </w:p>
        </w:tc>
        <w:tc>
          <w:tcPr>
            <w:tcW w:w="994" w:type="dxa"/>
            <w:tcBorders>
              <w:top w:val="nil"/>
              <w:left w:val="nil"/>
              <w:bottom w:val="nil"/>
              <w:right w:val="nil"/>
            </w:tcBorders>
            <w:shd w:val="clear" w:color="000000" w:fill="D9D9D9"/>
            <w:noWrap/>
            <w:vAlign w:val="bottom"/>
            <w:hideMark/>
          </w:tcPr>
          <w:p w:rsidR="00736879" w:rsidRPr="00112ED5" w:rsidRDefault="00736879" w:rsidP="00736879">
            <w:pPr>
              <w:spacing w:before="4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c>
          <w:tcPr>
            <w:tcW w:w="995" w:type="dxa"/>
            <w:tcBorders>
              <w:top w:val="nil"/>
              <w:left w:val="nil"/>
              <w:bottom w:val="nil"/>
              <w:right w:val="nil"/>
            </w:tcBorders>
            <w:shd w:val="clear" w:color="auto" w:fill="auto"/>
            <w:noWrap/>
            <w:vAlign w:val="bottom"/>
            <w:hideMark/>
          </w:tcPr>
          <w:p w:rsidR="00736879" w:rsidRPr="00112ED5" w:rsidRDefault="00736879" w:rsidP="00736879">
            <w:pPr>
              <w:spacing w:before="40" w:line="240" w:lineRule="auto"/>
              <w:jc w:val="right"/>
              <w:rPr>
                <w:rFonts w:ascii="Arial" w:hAnsi="Arial" w:cs="Arial"/>
                <w:color w:val="000000"/>
                <w:sz w:val="20"/>
                <w:szCs w:val="20"/>
              </w:rPr>
            </w:pPr>
            <w:r w:rsidRPr="00112ED5">
              <w:rPr>
                <w:rFonts w:ascii="Arial" w:hAnsi="Arial" w:cs="Arial"/>
                <w:color w:val="000000"/>
                <w:sz w:val="20"/>
                <w:szCs w:val="20"/>
              </w:rPr>
              <w:t xml:space="preserve"> </w:t>
            </w:r>
            <w:r w:rsidR="00FA5556">
              <w:rPr>
                <w:rFonts w:ascii="Arial" w:hAnsi="Arial" w:cs="Arial"/>
                <w:color w:val="000000"/>
                <w:sz w:val="20"/>
                <w:szCs w:val="20"/>
              </w:rPr>
              <w:t>–</w:t>
            </w:r>
            <w:r w:rsidRPr="00112ED5">
              <w:rPr>
                <w:rFonts w:ascii="Arial" w:hAnsi="Arial" w:cs="Arial"/>
                <w:color w:val="000000"/>
                <w:sz w:val="20"/>
                <w:szCs w:val="20"/>
              </w:rPr>
              <w:t xml:space="preserve"> </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883A5B"/>
        </w:tc>
        <w:tc>
          <w:tcPr>
            <w:tcW w:w="7120" w:type="dxa"/>
            <w:gridSpan w:val="2"/>
            <w:tcBorders>
              <w:top w:val="nil"/>
              <w:left w:val="nil"/>
              <w:bottom w:val="nil"/>
              <w:right w:val="nil"/>
            </w:tcBorders>
            <w:shd w:val="clear" w:color="auto" w:fill="auto"/>
            <w:noWrap/>
            <w:vAlign w:val="bottom"/>
            <w:hideMark/>
          </w:tcPr>
          <w:p w:rsidR="00736879" w:rsidRPr="00112ED5" w:rsidRDefault="00736879" w:rsidP="00112ED5">
            <w:pPr>
              <w:spacing w:before="0" w:line="240" w:lineRule="auto"/>
              <w:rPr>
                <w:rFonts w:ascii="Arial" w:hAnsi="Arial" w:cs="Arial"/>
                <w:b/>
                <w:bCs/>
                <w:color w:val="000000"/>
                <w:sz w:val="20"/>
                <w:szCs w:val="20"/>
              </w:rPr>
            </w:pPr>
            <w:r w:rsidRPr="00112ED5">
              <w:rPr>
                <w:rFonts w:ascii="Arial" w:hAnsi="Arial" w:cs="Arial"/>
                <w:b/>
                <w:bCs/>
                <w:color w:val="000000"/>
                <w:sz w:val="20"/>
                <w:szCs w:val="20"/>
              </w:rPr>
              <w:t>Total</w:t>
            </w:r>
          </w:p>
        </w:tc>
        <w:tc>
          <w:tcPr>
            <w:tcW w:w="994" w:type="dxa"/>
            <w:tcBorders>
              <w:top w:val="single" w:sz="4" w:space="0" w:color="auto"/>
              <w:left w:val="nil"/>
              <w:bottom w:val="double" w:sz="6" w:space="0" w:color="auto"/>
              <w:right w:val="nil"/>
            </w:tcBorders>
            <w:shd w:val="clear" w:color="000000" w:fill="D9D9D9"/>
            <w:noWrap/>
            <w:vAlign w:val="bottom"/>
            <w:hideMark/>
          </w:tcPr>
          <w:p w:rsidR="00736879" w:rsidRPr="00112ED5" w:rsidRDefault="00736879"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7,829 </w:t>
            </w:r>
          </w:p>
        </w:tc>
        <w:tc>
          <w:tcPr>
            <w:tcW w:w="995" w:type="dxa"/>
            <w:tcBorders>
              <w:top w:val="single" w:sz="4" w:space="0" w:color="auto"/>
              <w:left w:val="nil"/>
              <w:bottom w:val="double" w:sz="6" w:space="0" w:color="auto"/>
              <w:right w:val="nil"/>
            </w:tcBorders>
            <w:shd w:val="clear" w:color="auto" w:fill="auto"/>
            <w:noWrap/>
            <w:vAlign w:val="bottom"/>
            <w:hideMark/>
          </w:tcPr>
          <w:p w:rsidR="00736879" w:rsidRPr="00112ED5" w:rsidRDefault="00736879" w:rsidP="00112ED5">
            <w:pPr>
              <w:spacing w:before="0" w:line="240" w:lineRule="auto"/>
              <w:jc w:val="right"/>
              <w:rPr>
                <w:rFonts w:ascii="Arial" w:hAnsi="Arial" w:cs="Arial"/>
                <w:b/>
                <w:bCs/>
                <w:color w:val="000000"/>
                <w:sz w:val="20"/>
                <w:szCs w:val="20"/>
              </w:rPr>
            </w:pPr>
            <w:r w:rsidRPr="00112ED5">
              <w:rPr>
                <w:rFonts w:ascii="Arial" w:hAnsi="Arial" w:cs="Arial"/>
                <w:b/>
                <w:bCs/>
                <w:color w:val="000000"/>
                <w:sz w:val="20"/>
                <w:szCs w:val="20"/>
              </w:rPr>
              <w:t xml:space="preserve">5,848 </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883A5B"/>
        </w:tc>
        <w:tc>
          <w:tcPr>
            <w:tcW w:w="9109" w:type="dxa"/>
            <w:gridSpan w:val="4"/>
            <w:tcBorders>
              <w:top w:val="nil"/>
              <w:left w:val="nil"/>
              <w:bottom w:val="nil"/>
              <w:right w:val="nil"/>
            </w:tcBorders>
            <w:shd w:val="clear" w:color="auto" w:fill="auto"/>
            <w:noWrap/>
            <w:vAlign w:val="bottom"/>
            <w:hideMark/>
          </w:tcPr>
          <w:p w:rsidR="00736879" w:rsidRPr="00112ED5" w:rsidRDefault="00736879" w:rsidP="001027FD">
            <w:pPr>
              <w:spacing w:before="120" w:after="120"/>
              <w:rPr>
                <w:rFonts w:ascii="Arial" w:hAnsi="Arial" w:cs="Arial"/>
                <w:color w:val="000000"/>
                <w:sz w:val="20"/>
                <w:szCs w:val="20"/>
              </w:rPr>
            </w:pPr>
            <w:r w:rsidRPr="00112ED5">
              <w:rPr>
                <w:rFonts w:ascii="Arial" w:hAnsi="Arial" w:cs="Arial"/>
                <w:color w:val="000000"/>
                <w:sz w:val="20"/>
                <w:szCs w:val="20"/>
              </w:rPr>
              <w:t>Operating leases are entered into as a means of acquiring access to office accommodation and storage facilities. Lease payments are generally fixed, but with inflation escalation clauses on which contingent rentals are determined.</w:t>
            </w:r>
          </w:p>
        </w:tc>
      </w:tr>
      <w:tr w:rsidR="00736879" w:rsidRPr="00112ED5" w:rsidTr="00007976">
        <w:trPr>
          <w:trHeight w:val="300"/>
        </w:trPr>
        <w:tc>
          <w:tcPr>
            <w:tcW w:w="365" w:type="dxa"/>
            <w:tcBorders>
              <w:top w:val="nil"/>
              <w:left w:val="nil"/>
              <w:bottom w:val="nil"/>
              <w:right w:val="nil"/>
            </w:tcBorders>
            <w:shd w:val="clear" w:color="auto" w:fill="auto"/>
            <w:noWrap/>
            <w:hideMark/>
          </w:tcPr>
          <w:p w:rsidR="00736879" w:rsidRPr="00883A5B" w:rsidRDefault="00736879" w:rsidP="00883A5B"/>
        </w:tc>
        <w:tc>
          <w:tcPr>
            <w:tcW w:w="9109" w:type="dxa"/>
            <w:gridSpan w:val="4"/>
            <w:tcBorders>
              <w:top w:val="nil"/>
              <w:left w:val="nil"/>
              <w:bottom w:val="nil"/>
              <w:right w:val="nil"/>
            </w:tcBorders>
            <w:shd w:val="clear" w:color="auto" w:fill="auto"/>
            <w:noWrap/>
            <w:vAlign w:val="bottom"/>
            <w:hideMark/>
          </w:tcPr>
          <w:p w:rsidR="00736879" w:rsidRPr="00112ED5" w:rsidRDefault="00736879" w:rsidP="001027FD">
            <w:pPr>
              <w:spacing w:before="120" w:after="120"/>
              <w:rPr>
                <w:rFonts w:ascii="Arial" w:hAnsi="Arial" w:cs="Arial"/>
                <w:color w:val="000000"/>
                <w:sz w:val="20"/>
                <w:szCs w:val="20"/>
              </w:rPr>
            </w:pPr>
            <w:r w:rsidRPr="00112ED5">
              <w:rPr>
                <w:rFonts w:ascii="Arial" w:hAnsi="Arial" w:cs="Arial"/>
                <w:color w:val="000000"/>
                <w:sz w:val="20"/>
                <w:szCs w:val="20"/>
              </w:rPr>
              <w:t>No purchase options exist in relation to operating leases and no operating leases contain restrictions on financing or other leasing activities.</w:t>
            </w:r>
          </w:p>
        </w:tc>
      </w:tr>
    </w:tbl>
    <w:p w:rsidR="001D23A9" w:rsidRDefault="001D23A9">
      <w:r>
        <w:br w:type="page"/>
      </w:r>
    </w:p>
    <w:tbl>
      <w:tblPr>
        <w:tblW w:w="5000" w:type="pct"/>
        <w:tblLayout w:type="fixed"/>
        <w:tblLook w:val="04A0" w:firstRow="1" w:lastRow="0" w:firstColumn="1" w:lastColumn="0" w:noHBand="0" w:noVBand="1"/>
      </w:tblPr>
      <w:tblGrid>
        <w:gridCol w:w="364"/>
        <w:gridCol w:w="236"/>
        <w:gridCol w:w="149"/>
        <w:gridCol w:w="5170"/>
        <w:gridCol w:w="642"/>
        <w:gridCol w:w="400"/>
        <w:gridCol w:w="567"/>
        <w:gridCol w:w="992"/>
        <w:gridCol w:w="21"/>
        <w:gridCol w:w="1014"/>
      </w:tblGrid>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r>
              <w:rPr>
                <w:rFonts w:ascii="Arial" w:hAnsi="Arial" w:cs="Arial"/>
                <w:b/>
                <w:bCs/>
                <w:color w:val="000000"/>
                <w:sz w:val="20"/>
                <w:szCs w:val="20"/>
              </w:rPr>
              <w:lastRenderedPageBreak/>
              <w:t>19</w:t>
            </w: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Commi</w:t>
            </w:r>
            <w:r w:rsidR="004526D5">
              <w:rPr>
                <w:rFonts w:ascii="Arial" w:hAnsi="Arial" w:cs="Arial"/>
                <w:b/>
                <w:bCs/>
                <w:color w:val="000000"/>
                <w:sz w:val="20"/>
                <w:szCs w:val="20"/>
              </w:rPr>
              <w:t>tments for Expenditure (cont’</w:t>
            </w:r>
            <w:r>
              <w:rPr>
                <w:rFonts w:ascii="Arial" w:hAnsi="Arial" w:cs="Arial"/>
                <w:b/>
                <w:bCs/>
                <w:color w:val="000000"/>
                <w:sz w:val="20"/>
                <w:szCs w:val="20"/>
              </w:rPr>
              <w:t>d)</w:t>
            </w:r>
          </w:p>
        </w:tc>
        <w:tc>
          <w:tcPr>
            <w:tcW w:w="642" w:type="dxa"/>
            <w:tcBorders>
              <w:top w:val="nil"/>
              <w:left w:val="nil"/>
              <w:bottom w:val="nil"/>
              <w:right w:val="nil"/>
            </w:tcBorders>
            <w:shd w:val="clear" w:color="auto" w:fill="auto"/>
            <w:noWrap/>
            <w:tcMar>
              <w:top w:w="15" w:type="dxa"/>
              <w:left w:w="15" w:type="dxa"/>
              <w:bottom w:w="0" w:type="dxa"/>
              <w:right w:w="15" w:type="dxa"/>
            </w:tcMar>
            <w:hideMark/>
          </w:tcPr>
          <w:p w:rsidR="00AB5E19" w:rsidRDefault="00AB5E19">
            <w:pPr>
              <w:rPr>
                <w:rFonts w:ascii="Arial" w:hAnsi="Arial" w:cs="Arial"/>
                <w:b/>
                <w:bCs/>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p>
        </w:tc>
      </w:tr>
      <w:tr w:rsidR="00F757CC"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F757CC" w:rsidRDefault="00F757CC" w:rsidP="00AB5E19">
            <w:pPr>
              <w:rPr>
                <w:rFonts w:ascii="Arial" w:hAnsi="Arial" w:cs="Arial"/>
                <w:b/>
                <w:bCs/>
                <w:color w:val="000000"/>
                <w:sz w:val="20"/>
                <w:szCs w:val="20"/>
              </w:rPr>
            </w:pP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F757CC" w:rsidRDefault="00F757CC" w:rsidP="00F757CC">
            <w:pPr>
              <w:spacing w:before="120"/>
              <w:rPr>
                <w:rFonts w:ascii="Arial" w:hAnsi="Arial" w:cs="Arial"/>
                <w:b/>
                <w:bCs/>
                <w:color w:val="000000"/>
                <w:sz w:val="20"/>
                <w:szCs w:val="20"/>
              </w:rPr>
            </w:pPr>
            <w:r>
              <w:rPr>
                <w:rFonts w:ascii="Arial" w:hAnsi="Arial" w:cs="Arial"/>
                <w:b/>
                <w:bCs/>
                <w:color w:val="000000"/>
                <w:sz w:val="20"/>
                <w:szCs w:val="20"/>
              </w:rPr>
              <w:t>(b) Capital Expenditure Commitments</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F757CC" w:rsidRDefault="00F757CC">
            <w:pPr>
              <w:rPr>
                <w:rFonts w:ascii="Arial" w:hAnsi="Arial" w:cs="Arial"/>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F757CC" w:rsidRDefault="00F757CC">
            <w:pPr>
              <w:jc w:val="right"/>
              <w:rPr>
                <w:rFonts w:ascii="Arial" w:hAnsi="Arial" w:cs="Arial"/>
                <w:b/>
                <w:bCs/>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757CC" w:rsidRDefault="00F757CC">
            <w:pPr>
              <w:jc w:val="right"/>
              <w:rPr>
                <w:rFonts w:ascii="Arial" w:hAnsi="Arial" w:cs="Arial"/>
                <w:b/>
                <w:bCs/>
                <w:color w:val="000000"/>
                <w:sz w:val="20"/>
                <w:szCs w:val="20"/>
              </w:rPr>
            </w:pPr>
          </w:p>
        </w:tc>
      </w:tr>
      <w:tr w:rsidR="00F757CC"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F757CC" w:rsidRDefault="00F757CC" w:rsidP="00AB5E19">
            <w:pPr>
              <w:rPr>
                <w:rFonts w:ascii="Arial" w:hAnsi="Arial" w:cs="Arial"/>
                <w:b/>
                <w:bCs/>
                <w:color w:val="000000"/>
                <w:sz w:val="20"/>
                <w:szCs w:val="20"/>
              </w:rPr>
            </w:pPr>
          </w:p>
        </w:tc>
        <w:tc>
          <w:tcPr>
            <w:tcW w:w="236" w:type="dxa"/>
            <w:tcBorders>
              <w:top w:val="nil"/>
              <w:left w:val="nil"/>
              <w:bottom w:val="nil"/>
              <w:right w:val="nil"/>
            </w:tcBorders>
            <w:shd w:val="clear" w:color="auto" w:fill="auto"/>
            <w:noWrap/>
            <w:tcMar>
              <w:top w:w="15" w:type="dxa"/>
              <w:left w:w="15" w:type="dxa"/>
              <w:bottom w:w="0" w:type="dxa"/>
              <w:right w:w="15" w:type="dxa"/>
            </w:tcMar>
            <w:vAlign w:val="bottom"/>
            <w:hideMark/>
          </w:tcPr>
          <w:p w:rsidR="00F757CC" w:rsidRDefault="00F757CC">
            <w:pPr>
              <w:rPr>
                <w:rFonts w:ascii="Arial" w:hAnsi="Arial" w:cs="Arial"/>
                <w:color w:val="000000"/>
                <w:sz w:val="20"/>
                <w:szCs w:val="20"/>
              </w:rPr>
            </w:pPr>
          </w:p>
        </w:tc>
        <w:tc>
          <w:tcPr>
            <w:tcW w:w="8955" w:type="dxa"/>
            <w:gridSpan w:val="8"/>
            <w:tcBorders>
              <w:top w:val="nil"/>
              <w:left w:val="nil"/>
              <w:bottom w:val="nil"/>
              <w:right w:val="nil"/>
            </w:tcBorders>
            <w:shd w:val="clear" w:color="auto" w:fill="auto"/>
            <w:vAlign w:val="bottom"/>
          </w:tcPr>
          <w:p w:rsidR="00F757CC" w:rsidRDefault="00F757CC" w:rsidP="00F757CC">
            <w:pPr>
              <w:spacing w:after="240"/>
              <w:rPr>
                <w:rFonts w:ascii="Arial" w:hAnsi="Arial" w:cs="Arial"/>
                <w:color w:val="000000"/>
                <w:sz w:val="20"/>
                <w:szCs w:val="20"/>
              </w:rPr>
            </w:pPr>
            <w:r>
              <w:rPr>
                <w:rFonts w:ascii="Arial" w:hAnsi="Arial" w:cs="Arial"/>
                <w:color w:val="000000"/>
                <w:sz w:val="20"/>
                <w:szCs w:val="20"/>
              </w:rPr>
              <w:t>Material classes of capital expenditure commitments inclusive of anticipated GST, contracted for at reporting date but not recognised in the accounts, are payable as follows:</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2014</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2994"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Plant &amp; Equipment</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5170"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F757CC">
            <w:pPr>
              <w:rPr>
                <w:rFonts w:ascii="Arial" w:hAnsi="Arial" w:cs="Arial"/>
                <w:color w:val="000000"/>
                <w:sz w:val="20"/>
                <w:szCs w:val="20"/>
              </w:rPr>
            </w:pPr>
            <w:r>
              <w:rPr>
                <w:rFonts w:ascii="Arial" w:hAnsi="Arial" w:cs="Arial"/>
                <w:color w:val="000000"/>
                <w:sz w:val="20"/>
                <w:szCs w:val="20"/>
              </w:rPr>
              <w:t>Payable:</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$'000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5170"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r>
              <w:rPr>
                <w:rFonts w:ascii="Arial" w:hAnsi="Arial" w:cs="Arial"/>
                <w:color w:val="000000"/>
                <w:sz w:val="20"/>
                <w:szCs w:val="20"/>
              </w:rPr>
              <w:t>Not later than one year</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xml:space="preserve">32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Total</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32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p>
        </w:tc>
        <w:tc>
          <w:tcPr>
            <w:tcW w:w="5170"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2013</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2994"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Plant &amp; Equipment</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5170"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r>
              <w:rPr>
                <w:rFonts w:ascii="Arial" w:hAnsi="Arial" w:cs="Arial"/>
                <w:color w:val="000000"/>
                <w:sz w:val="20"/>
                <w:szCs w:val="20"/>
              </w:rPr>
              <w:t>Payable:</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$'000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5170"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r>
              <w:rPr>
                <w:rFonts w:ascii="Arial" w:hAnsi="Arial" w:cs="Arial"/>
                <w:color w:val="000000"/>
                <w:sz w:val="20"/>
                <w:szCs w:val="20"/>
              </w:rPr>
              <w:t>Not later than one year</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xml:space="preserve">423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Total</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423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5170"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bookmarkStart w:id="117" w:name="Note20"/>
            <w:bookmarkEnd w:id="117"/>
            <w:r>
              <w:rPr>
                <w:rFonts w:ascii="Arial" w:hAnsi="Arial" w:cs="Arial"/>
                <w:b/>
                <w:bCs/>
                <w:color w:val="000000"/>
                <w:sz w:val="20"/>
                <w:szCs w:val="20"/>
              </w:rPr>
              <w:t>20</w:t>
            </w: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Contingencies</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spacing w:before="120"/>
              <w:rPr>
                <w:rFonts w:ascii="Arial" w:hAnsi="Arial" w:cs="Arial"/>
                <w:b/>
                <w:bCs/>
                <w:color w:val="000000"/>
                <w:sz w:val="20"/>
                <w:szCs w:val="20"/>
              </w:rPr>
            </w:pPr>
            <w:r>
              <w:rPr>
                <w:rFonts w:ascii="Arial" w:hAnsi="Arial" w:cs="Arial"/>
                <w:b/>
                <w:bCs/>
                <w:color w:val="000000"/>
                <w:sz w:val="20"/>
                <w:szCs w:val="20"/>
              </w:rPr>
              <w:t>Guarantees and undertakings</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9191" w:type="dxa"/>
            <w:gridSpan w:val="9"/>
            <w:tcBorders>
              <w:top w:val="nil"/>
              <w:left w:val="nil"/>
              <w:bottom w:val="nil"/>
              <w:right w:val="nil"/>
            </w:tcBorders>
            <w:shd w:val="clear" w:color="auto" w:fill="auto"/>
            <w:noWrap/>
            <w:tcMar>
              <w:top w:w="15" w:type="dxa"/>
              <w:left w:w="15" w:type="dxa"/>
              <w:bottom w:w="0" w:type="dxa"/>
              <w:right w:w="15" w:type="dxa"/>
            </w:tcMar>
            <w:vAlign w:val="bottom"/>
            <w:hideMark/>
          </w:tcPr>
          <w:p w:rsidR="00AB5E19" w:rsidRPr="00AB5E19" w:rsidRDefault="00AB5E19" w:rsidP="001027FD">
            <w:pPr>
              <w:spacing w:before="120" w:after="120"/>
              <w:rPr>
                <w:rFonts w:ascii="Arial" w:hAnsi="Arial" w:cs="Arial"/>
                <w:color w:val="000000"/>
                <w:spacing w:val="-4"/>
                <w:sz w:val="20"/>
                <w:szCs w:val="20"/>
              </w:rPr>
            </w:pPr>
            <w:r w:rsidRPr="00AB5E19">
              <w:rPr>
                <w:rFonts w:ascii="Arial" w:hAnsi="Arial" w:cs="Arial"/>
                <w:color w:val="000000"/>
                <w:spacing w:val="-4"/>
                <w:sz w:val="20"/>
                <w:szCs w:val="20"/>
              </w:rPr>
              <w:t xml:space="preserve">The Queensland </w:t>
            </w:r>
            <w:r w:rsidRPr="001027FD">
              <w:rPr>
                <w:rFonts w:ascii="Arial" w:hAnsi="Arial" w:cs="Arial"/>
                <w:bCs/>
                <w:color w:val="000000"/>
                <w:sz w:val="20"/>
                <w:szCs w:val="20"/>
              </w:rPr>
              <w:t>Studies</w:t>
            </w:r>
            <w:r w:rsidRPr="00AB5E19">
              <w:rPr>
                <w:rFonts w:ascii="Arial" w:hAnsi="Arial" w:cs="Arial"/>
                <w:color w:val="000000"/>
                <w:spacing w:val="-4"/>
                <w:sz w:val="20"/>
                <w:szCs w:val="20"/>
              </w:rPr>
              <w:t xml:space="preserve"> Authority was not committed to any guarantees or undertakings at 30 June 2014.</w:t>
            </w:r>
            <w:r w:rsidR="00F757CC">
              <w:rPr>
                <w:rFonts w:ascii="Arial" w:hAnsi="Arial" w:cs="Arial"/>
                <w:color w:val="000000"/>
                <w:spacing w:val="-4"/>
                <w:sz w:val="20"/>
                <w:szCs w:val="20"/>
              </w:rPr>
              <w:t xml:space="preserve"> </w:t>
            </w:r>
            <w:r w:rsidR="00F757CC">
              <w:rPr>
                <w:rFonts w:ascii="Arial" w:hAnsi="Arial" w:cs="Arial"/>
                <w:color w:val="000000"/>
                <w:sz w:val="20"/>
                <w:szCs w:val="20"/>
              </w:rPr>
              <w:t>There are no other known contingent assets or liabilities at the date of this report.</w:t>
            </w:r>
            <w:r w:rsidRPr="00AB5E19">
              <w:rPr>
                <w:rFonts w:ascii="Arial" w:hAnsi="Arial" w:cs="Arial"/>
                <w:color w:val="000000"/>
                <w:spacing w:val="-4"/>
                <w:sz w:val="20"/>
                <w:szCs w:val="20"/>
              </w:rPr>
              <w:t xml:space="preserve">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bookmarkStart w:id="118" w:name="Note21"/>
            <w:bookmarkEnd w:id="118"/>
            <w:r>
              <w:rPr>
                <w:rFonts w:ascii="Arial" w:hAnsi="Arial" w:cs="Arial"/>
                <w:b/>
                <w:bCs/>
                <w:color w:val="000000"/>
                <w:sz w:val="20"/>
                <w:szCs w:val="20"/>
              </w:rPr>
              <w:t>21</w:t>
            </w: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Financial Instruments</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Calibri" w:hAnsi="Calibri" w:cs="Calibri"/>
                <w:color w:val="000000"/>
                <w:sz w:val="22"/>
                <w:szCs w:val="22"/>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Calibri" w:hAnsi="Calibri" w:cs="Calibri"/>
                <w:color w:val="000000"/>
                <w:sz w:val="22"/>
                <w:szCs w:val="22"/>
              </w:rPr>
            </w:pP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5555"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spacing w:before="120"/>
              <w:rPr>
                <w:rFonts w:ascii="Arial" w:hAnsi="Arial" w:cs="Arial"/>
                <w:b/>
                <w:bCs/>
                <w:color w:val="000000"/>
                <w:sz w:val="20"/>
                <w:szCs w:val="20"/>
              </w:rPr>
            </w:pPr>
            <w:r>
              <w:rPr>
                <w:rFonts w:ascii="Arial" w:hAnsi="Arial" w:cs="Arial"/>
                <w:b/>
                <w:bCs/>
                <w:color w:val="000000"/>
                <w:sz w:val="20"/>
                <w:szCs w:val="20"/>
              </w:rPr>
              <w:t>(a) Categorisation of Financial instruments</w:t>
            </w:r>
          </w:p>
        </w:tc>
        <w:tc>
          <w:tcPr>
            <w:tcW w:w="642"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p>
        </w:tc>
        <w:tc>
          <w:tcPr>
            <w:tcW w:w="1959"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c>
          <w:tcPr>
            <w:tcW w:w="103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9191" w:type="dxa"/>
            <w:gridSpan w:val="9"/>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F757CC">
            <w:pPr>
              <w:spacing w:after="240"/>
              <w:ind w:left="312"/>
              <w:rPr>
                <w:rFonts w:ascii="Arial" w:hAnsi="Arial" w:cs="Arial"/>
                <w:b/>
                <w:bCs/>
                <w:color w:val="000000"/>
                <w:sz w:val="20"/>
                <w:szCs w:val="20"/>
              </w:rPr>
            </w:pPr>
            <w:r>
              <w:rPr>
                <w:rFonts w:ascii="Arial" w:hAnsi="Arial" w:cs="Arial"/>
                <w:color w:val="000000"/>
                <w:sz w:val="20"/>
                <w:szCs w:val="20"/>
              </w:rPr>
              <w:t>The Authority has the following categories of financial assets and financial liabilities:</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6597"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Category</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sz w:val="20"/>
                <w:szCs w:val="20"/>
              </w:rPr>
            </w:pPr>
            <w:r>
              <w:rPr>
                <w:rFonts w:ascii="Arial" w:hAnsi="Arial" w:cs="Arial"/>
                <w:sz w:val="20"/>
                <w:szCs w:val="20"/>
              </w:rPr>
              <w:t>Notes</w:t>
            </w:r>
          </w:p>
        </w:tc>
        <w:tc>
          <w:tcPr>
            <w:tcW w:w="1013" w:type="dxa"/>
            <w:gridSpan w:val="2"/>
            <w:tcBorders>
              <w:top w:val="nil"/>
              <w:left w:val="nil"/>
              <w:bottom w:val="nil"/>
              <w:right w:val="nil"/>
            </w:tcBorders>
            <w:shd w:val="clear" w:color="000000" w:fill="D9D9D9"/>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2014</w:t>
            </w:r>
          </w:p>
        </w:tc>
        <w:tc>
          <w:tcPr>
            <w:tcW w:w="101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2013</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6597" w:type="dxa"/>
            <w:gridSpan w:val="5"/>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Financial Assets</w:t>
            </w:r>
          </w:p>
        </w:tc>
        <w:tc>
          <w:tcPr>
            <w:tcW w:w="567"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sz w:val="20"/>
                <w:szCs w:val="20"/>
              </w:rPr>
            </w:pPr>
            <w:r>
              <w:rPr>
                <w:rFonts w:ascii="Arial" w:hAnsi="Arial" w:cs="Arial"/>
                <w:sz w:val="20"/>
                <w:szCs w:val="20"/>
              </w:rPr>
              <w:t> </w:t>
            </w:r>
          </w:p>
        </w:tc>
        <w:tc>
          <w:tcPr>
            <w:tcW w:w="1013" w:type="dxa"/>
            <w:gridSpan w:val="2"/>
            <w:tcBorders>
              <w:top w:val="single" w:sz="4" w:space="0" w:color="auto"/>
              <w:left w:val="nil"/>
              <w:bottom w:val="nil"/>
              <w:right w:val="nil"/>
            </w:tcBorders>
            <w:shd w:val="clear" w:color="000000" w:fill="D9D9D9"/>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$'000 </w:t>
            </w:r>
          </w:p>
        </w:tc>
        <w:tc>
          <w:tcPr>
            <w:tcW w:w="1014"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$'000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p>
        </w:tc>
        <w:tc>
          <w:tcPr>
            <w:tcW w:w="6212"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sz w:val="20"/>
                <w:szCs w:val="20"/>
              </w:rPr>
            </w:pPr>
            <w:r>
              <w:rPr>
                <w:rFonts w:ascii="Arial" w:hAnsi="Arial" w:cs="Arial"/>
                <w:sz w:val="20"/>
                <w:szCs w:val="20"/>
              </w:rPr>
              <w:t>Cash &amp; cash equivalents</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center"/>
              <w:rPr>
                <w:rFonts w:ascii="Arial" w:hAnsi="Arial" w:cs="Arial"/>
                <w:i/>
                <w:iCs/>
                <w:sz w:val="20"/>
                <w:szCs w:val="20"/>
              </w:rPr>
            </w:pPr>
            <w:r>
              <w:rPr>
                <w:rFonts w:ascii="Arial" w:hAnsi="Arial" w:cs="Arial"/>
                <w:i/>
                <w:iCs/>
                <w:sz w:val="20"/>
                <w:szCs w:val="20"/>
              </w:rPr>
              <w:t>11</w:t>
            </w:r>
          </w:p>
        </w:tc>
        <w:tc>
          <w:tcPr>
            <w:tcW w:w="1013" w:type="dxa"/>
            <w:gridSpan w:val="2"/>
            <w:tcBorders>
              <w:top w:val="nil"/>
              <w:left w:val="nil"/>
              <w:bottom w:val="nil"/>
              <w:right w:val="nil"/>
            </w:tcBorders>
            <w:shd w:val="clear" w:color="000000" w:fill="D9D9D9"/>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xml:space="preserve">12,467 </w:t>
            </w:r>
          </w:p>
        </w:tc>
        <w:tc>
          <w:tcPr>
            <w:tcW w:w="101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xml:space="preserve">12,505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p>
        </w:tc>
        <w:tc>
          <w:tcPr>
            <w:tcW w:w="6212"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sz w:val="20"/>
                <w:szCs w:val="20"/>
              </w:rPr>
            </w:pPr>
            <w:r>
              <w:rPr>
                <w:rFonts w:ascii="Arial" w:hAnsi="Arial" w:cs="Arial"/>
                <w:sz w:val="20"/>
                <w:szCs w:val="20"/>
              </w:rPr>
              <w:t>Receivables</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center"/>
              <w:rPr>
                <w:rFonts w:ascii="Arial" w:hAnsi="Arial" w:cs="Arial"/>
                <w:i/>
                <w:iCs/>
                <w:sz w:val="20"/>
                <w:szCs w:val="20"/>
              </w:rPr>
            </w:pPr>
            <w:r>
              <w:rPr>
                <w:rFonts w:ascii="Arial" w:hAnsi="Arial" w:cs="Arial"/>
                <w:i/>
                <w:iCs/>
                <w:sz w:val="20"/>
                <w:szCs w:val="20"/>
              </w:rPr>
              <w:t>12</w:t>
            </w:r>
          </w:p>
        </w:tc>
        <w:tc>
          <w:tcPr>
            <w:tcW w:w="1013" w:type="dxa"/>
            <w:gridSpan w:val="2"/>
            <w:tcBorders>
              <w:top w:val="nil"/>
              <w:left w:val="nil"/>
              <w:bottom w:val="nil"/>
              <w:right w:val="nil"/>
            </w:tcBorders>
            <w:shd w:val="clear" w:color="000000" w:fill="D9D9D9"/>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xml:space="preserve">566 </w:t>
            </w:r>
          </w:p>
        </w:tc>
        <w:tc>
          <w:tcPr>
            <w:tcW w:w="101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xml:space="preserve">916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6597"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Total</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sz w:val="20"/>
                <w:szCs w:val="20"/>
              </w:rPr>
            </w:pPr>
          </w:p>
        </w:tc>
        <w:tc>
          <w:tcPr>
            <w:tcW w:w="1013" w:type="dxa"/>
            <w:gridSpan w:val="2"/>
            <w:tcBorders>
              <w:top w:val="single" w:sz="4" w:space="0" w:color="auto"/>
              <w:left w:val="nil"/>
              <w:bottom w:val="double" w:sz="6" w:space="0" w:color="auto"/>
              <w:right w:val="nil"/>
            </w:tcBorders>
            <w:shd w:val="clear" w:color="000000" w:fill="D9D9D9"/>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13,033 </w:t>
            </w:r>
          </w:p>
        </w:tc>
        <w:tc>
          <w:tcPr>
            <w:tcW w:w="1014" w:type="dxa"/>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13,421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p>
        </w:tc>
        <w:tc>
          <w:tcPr>
            <w:tcW w:w="6212"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sz w:val="20"/>
                <w:szCs w:val="20"/>
              </w:rPr>
            </w:pPr>
          </w:p>
        </w:tc>
        <w:tc>
          <w:tcPr>
            <w:tcW w:w="1013" w:type="dxa"/>
            <w:gridSpan w:val="2"/>
            <w:tcBorders>
              <w:top w:val="nil"/>
              <w:left w:val="nil"/>
              <w:bottom w:val="nil"/>
              <w:right w:val="nil"/>
            </w:tcBorders>
            <w:shd w:val="clear" w:color="000000" w:fill="D9D9D9"/>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w:t>
            </w:r>
          </w:p>
        </w:tc>
        <w:tc>
          <w:tcPr>
            <w:tcW w:w="101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6597"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Financial Liabilities</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sz w:val="20"/>
                <w:szCs w:val="20"/>
              </w:rPr>
            </w:pPr>
          </w:p>
        </w:tc>
        <w:tc>
          <w:tcPr>
            <w:tcW w:w="1013" w:type="dxa"/>
            <w:gridSpan w:val="2"/>
            <w:tcBorders>
              <w:top w:val="nil"/>
              <w:left w:val="nil"/>
              <w:bottom w:val="nil"/>
              <w:right w:val="nil"/>
            </w:tcBorders>
            <w:shd w:val="clear" w:color="000000" w:fill="D9D9D9"/>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w:t>
            </w:r>
          </w:p>
        </w:tc>
        <w:tc>
          <w:tcPr>
            <w:tcW w:w="101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3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p>
        </w:tc>
        <w:tc>
          <w:tcPr>
            <w:tcW w:w="6212"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sz w:val="20"/>
                <w:szCs w:val="20"/>
              </w:rPr>
            </w:pPr>
            <w:r>
              <w:rPr>
                <w:rFonts w:ascii="Arial" w:hAnsi="Arial" w:cs="Arial"/>
                <w:sz w:val="20"/>
                <w:szCs w:val="20"/>
              </w:rPr>
              <w:t>Payables</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center"/>
              <w:rPr>
                <w:rFonts w:ascii="Arial" w:hAnsi="Arial" w:cs="Arial"/>
                <w:i/>
                <w:iCs/>
                <w:sz w:val="20"/>
                <w:szCs w:val="20"/>
              </w:rPr>
            </w:pPr>
            <w:r>
              <w:rPr>
                <w:rFonts w:ascii="Arial" w:hAnsi="Arial" w:cs="Arial"/>
                <w:i/>
                <w:iCs/>
                <w:sz w:val="20"/>
                <w:szCs w:val="20"/>
              </w:rPr>
              <w:t>16</w:t>
            </w:r>
          </w:p>
        </w:tc>
        <w:tc>
          <w:tcPr>
            <w:tcW w:w="1013" w:type="dxa"/>
            <w:gridSpan w:val="2"/>
            <w:tcBorders>
              <w:top w:val="nil"/>
              <w:left w:val="nil"/>
              <w:bottom w:val="nil"/>
              <w:right w:val="nil"/>
            </w:tcBorders>
            <w:shd w:val="clear" w:color="000000" w:fill="D9D9D9"/>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xml:space="preserve">3,564 </w:t>
            </w:r>
          </w:p>
        </w:tc>
        <w:tc>
          <w:tcPr>
            <w:tcW w:w="101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color w:val="000000"/>
                <w:sz w:val="20"/>
                <w:szCs w:val="20"/>
              </w:rPr>
            </w:pPr>
            <w:r>
              <w:rPr>
                <w:rFonts w:ascii="Arial" w:hAnsi="Arial" w:cs="Arial"/>
                <w:color w:val="000000"/>
                <w:sz w:val="20"/>
                <w:szCs w:val="20"/>
              </w:rPr>
              <w:t xml:space="preserve">3,742 </w:t>
            </w:r>
          </w:p>
        </w:tc>
      </w:tr>
      <w:tr w:rsidR="00AB5E19" w:rsidTr="004138A7">
        <w:trPr>
          <w:trHeight w:val="300"/>
        </w:trPr>
        <w:tc>
          <w:tcPr>
            <w:tcW w:w="364"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rsidP="00AB5E19">
            <w:pPr>
              <w:rPr>
                <w:rFonts w:ascii="Arial" w:hAnsi="Arial" w:cs="Arial"/>
                <w:b/>
                <w:bCs/>
                <w:color w:val="000000"/>
                <w:sz w:val="20"/>
                <w:szCs w:val="20"/>
              </w:rPr>
            </w:pPr>
          </w:p>
        </w:tc>
        <w:tc>
          <w:tcPr>
            <w:tcW w:w="6597"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b/>
                <w:bCs/>
                <w:color w:val="000000"/>
                <w:sz w:val="20"/>
                <w:szCs w:val="20"/>
              </w:rPr>
            </w:pPr>
            <w:r>
              <w:rPr>
                <w:rFonts w:ascii="Arial" w:hAnsi="Arial" w:cs="Arial"/>
                <w:b/>
                <w:bCs/>
                <w:color w:val="000000"/>
                <w:sz w:val="20"/>
                <w:szCs w:val="20"/>
              </w:rPr>
              <w:t>Total</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AB5E19" w:rsidRDefault="00AB5E19">
            <w:pPr>
              <w:rPr>
                <w:rFonts w:ascii="Arial" w:hAnsi="Arial" w:cs="Arial"/>
                <w:sz w:val="20"/>
                <w:szCs w:val="20"/>
              </w:rPr>
            </w:pPr>
          </w:p>
        </w:tc>
        <w:tc>
          <w:tcPr>
            <w:tcW w:w="1013" w:type="dxa"/>
            <w:gridSpan w:val="2"/>
            <w:tcBorders>
              <w:top w:val="single" w:sz="4" w:space="0" w:color="auto"/>
              <w:left w:val="nil"/>
              <w:bottom w:val="double" w:sz="6" w:space="0" w:color="auto"/>
              <w:right w:val="nil"/>
            </w:tcBorders>
            <w:shd w:val="clear" w:color="000000" w:fill="D9D9D9"/>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3,564 </w:t>
            </w:r>
          </w:p>
        </w:tc>
        <w:tc>
          <w:tcPr>
            <w:tcW w:w="1014" w:type="dxa"/>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bottom"/>
            <w:hideMark/>
          </w:tcPr>
          <w:p w:rsidR="00AB5E19" w:rsidRDefault="00AB5E19">
            <w:pPr>
              <w:jc w:val="right"/>
              <w:rPr>
                <w:rFonts w:ascii="Arial" w:hAnsi="Arial" w:cs="Arial"/>
                <w:b/>
                <w:bCs/>
                <w:color w:val="000000"/>
                <w:sz w:val="20"/>
                <w:szCs w:val="20"/>
              </w:rPr>
            </w:pPr>
            <w:r>
              <w:rPr>
                <w:rFonts w:ascii="Arial" w:hAnsi="Arial" w:cs="Arial"/>
                <w:b/>
                <w:bCs/>
                <w:color w:val="000000"/>
                <w:sz w:val="20"/>
                <w:szCs w:val="20"/>
              </w:rPr>
              <w:t xml:space="preserve">3,742 </w:t>
            </w:r>
          </w:p>
        </w:tc>
      </w:tr>
    </w:tbl>
    <w:p w:rsidR="001D23A9" w:rsidRDefault="00AB5E19">
      <w:r>
        <w:t xml:space="preserve"> </w:t>
      </w:r>
      <w:r w:rsidR="001D23A9">
        <w:br w:type="page"/>
      </w:r>
    </w:p>
    <w:tbl>
      <w:tblPr>
        <w:tblW w:w="4952" w:type="pct"/>
        <w:tblInd w:w="93" w:type="dxa"/>
        <w:tblLook w:val="04A0" w:firstRow="1" w:lastRow="0" w:firstColumn="1" w:lastColumn="0" w:noHBand="0" w:noVBand="1"/>
      </w:tblPr>
      <w:tblGrid>
        <w:gridCol w:w="426"/>
        <w:gridCol w:w="584"/>
        <w:gridCol w:w="2844"/>
        <w:gridCol w:w="5794"/>
      </w:tblGrid>
      <w:tr w:rsidR="004138A7" w:rsidRPr="004138A7" w:rsidTr="00EB62C8">
        <w:trPr>
          <w:trHeight w:val="300"/>
        </w:trPr>
        <w:tc>
          <w:tcPr>
            <w:tcW w:w="9648" w:type="dxa"/>
            <w:gridSpan w:val="4"/>
            <w:tcBorders>
              <w:top w:val="nil"/>
              <w:left w:val="nil"/>
              <w:bottom w:val="nil"/>
              <w:right w:val="nil"/>
            </w:tcBorders>
            <w:shd w:val="clear" w:color="auto" w:fill="auto"/>
            <w:noWrap/>
            <w:vAlign w:val="bottom"/>
            <w:hideMark/>
          </w:tcPr>
          <w:p w:rsidR="004138A7" w:rsidRPr="004138A7" w:rsidRDefault="004138A7" w:rsidP="00850383">
            <w:pPr>
              <w:pStyle w:val="FinF3continuation"/>
              <w:tabs>
                <w:tab w:val="left" w:pos="355"/>
              </w:tabs>
            </w:pPr>
            <w:r w:rsidRPr="004138A7">
              <w:lastRenderedPageBreak/>
              <w:t>21</w:t>
            </w:r>
            <w:r w:rsidR="00850383">
              <w:tab/>
            </w:r>
            <w:r w:rsidRPr="004138A7">
              <w:t>Financial Ins</w:t>
            </w:r>
            <w:r w:rsidR="004526D5">
              <w:t>truments (cont’</w:t>
            </w:r>
            <w:r w:rsidRPr="004138A7">
              <w:t>d)</w:t>
            </w:r>
          </w:p>
        </w:tc>
      </w:tr>
      <w:tr w:rsidR="004138A7" w:rsidRPr="004138A7" w:rsidTr="00572E3F">
        <w:trPr>
          <w:trHeight w:val="300"/>
        </w:trPr>
        <w:tc>
          <w:tcPr>
            <w:tcW w:w="426"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9222" w:type="dxa"/>
            <w:gridSpan w:val="3"/>
            <w:tcBorders>
              <w:top w:val="nil"/>
              <w:left w:val="nil"/>
              <w:bottom w:val="nil"/>
              <w:right w:val="nil"/>
            </w:tcBorders>
            <w:shd w:val="clear" w:color="auto" w:fill="auto"/>
            <w:noWrap/>
            <w:vAlign w:val="bottom"/>
            <w:hideMark/>
          </w:tcPr>
          <w:p w:rsidR="004138A7" w:rsidRPr="004138A7" w:rsidRDefault="004138A7" w:rsidP="004138A7">
            <w:pPr>
              <w:spacing w:before="120" w:line="240" w:lineRule="auto"/>
              <w:rPr>
                <w:rFonts w:ascii="Arial" w:hAnsi="Arial" w:cs="Arial"/>
                <w:b/>
                <w:bCs/>
                <w:sz w:val="20"/>
                <w:szCs w:val="20"/>
              </w:rPr>
            </w:pPr>
            <w:r w:rsidRPr="004138A7">
              <w:rPr>
                <w:rFonts w:ascii="Arial" w:hAnsi="Arial" w:cs="Arial"/>
                <w:b/>
                <w:bCs/>
                <w:color w:val="000000"/>
                <w:sz w:val="20"/>
                <w:szCs w:val="20"/>
              </w:rPr>
              <w:t>(b)</w:t>
            </w:r>
            <w:r>
              <w:rPr>
                <w:rFonts w:ascii="Arial" w:hAnsi="Arial" w:cs="Arial"/>
                <w:b/>
                <w:bCs/>
                <w:color w:val="000000"/>
                <w:sz w:val="20"/>
                <w:szCs w:val="20"/>
              </w:rPr>
              <w:t xml:space="preserve"> </w:t>
            </w:r>
            <w:r w:rsidRPr="004138A7">
              <w:rPr>
                <w:rFonts w:ascii="Arial" w:hAnsi="Arial" w:cs="Arial"/>
                <w:b/>
                <w:bCs/>
                <w:sz w:val="20"/>
                <w:szCs w:val="20"/>
              </w:rPr>
              <w:t>Financial Risk Management</w:t>
            </w:r>
          </w:p>
        </w:tc>
      </w:tr>
      <w:tr w:rsidR="00B56C26" w:rsidRPr="004138A7" w:rsidTr="00B56C26">
        <w:trPr>
          <w:trHeight w:val="2773"/>
        </w:trPr>
        <w:tc>
          <w:tcPr>
            <w:tcW w:w="426" w:type="dxa"/>
            <w:tcBorders>
              <w:top w:val="nil"/>
              <w:left w:val="nil"/>
              <w:right w:val="nil"/>
            </w:tcBorders>
            <w:shd w:val="clear" w:color="auto" w:fill="auto"/>
            <w:noWrap/>
            <w:vAlign w:val="bottom"/>
            <w:hideMark/>
          </w:tcPr>
          <w:p w:rsidR="00B56C26" w:rsidRPr="004138A7" w:rsidRDefault="00B56C26" w:rsidP="004138A7">
            <w:pPr>
              <w:spacing w:before="120" w:after="240" w:line="240" w:lineRule="auto"/>
              <w:rPr>
                <w:rFonts w:ascii="Arial" w:hAnsi="Arial" w:cs="Arial"/>
                <w:b/>
                <w:bCs/>
                <w:color w:val="000000"/>
                <w:sz w:val="20"/>
                <w:szCs w:val="20"/>
              </w:rPr>
            </w:pPr>
          </w:p>
        </w:tc>
        <w:tc>
          <w:tcPr>
            <w:tcW w:w="9222" w:type="dxa"/>
            <w:gridSpan w:val="3"/>
            <w:tcBorders>
              <w:top w:val="nil"/>
              <w:left w:val="nil"/>
              <w:right w:val="nil"/>
            </w:tcBorders>
            <w:shd w:val="clear" w:color="auto" w:fill="auto"/>
            <w:noWrap/>
            <w:vAlign w:val="bottom"/>
            <w:hideMark/>
          </w:tcPr>
          <w:p w:rsidR="00B56C26" w:rsidRPr="004138A7" w:rsidRDefault="00B56C26" w:rsidP="001027FD">
            <w:pPr>
              <w:spacing w:before="120" w:after="120"/>
              <w:rPr>
                <w:rFonts w:ascii="Arial" w:hAnsi="Arial" w:cs="Arial"/>
                <w:color w:val="000000"/>
                <w:sz w:val="20"/>
                <w:szCs w:val="20"/>
              </w:rPr>
            </w:pPr>
            <w:r w:rsidRPr="004138A7">
              <w:rPr>
                <w:rFonts w:ascii="Arial" w:hAnsi="Arial" w:cs="Arial"/>
                <w:color w:val="000000"/>
                <w:sz w:val="20"/>
                <w:szCs w:val="20"/>
              </w:rPr>
              <w:t xml:space="preserve">The </w:t>
            </w:r>
            <w:r w:rsidRPr="001027FD">
              <w:rPr>
                <w:rFonts w:ascii="Arial" w:hAnsi="Arial" w:cs="Arial"/>
                <w:bCs/>
                <w:color w:val="000000"/>
                <w:sz w:val="20"/>
                <w:szCs w:val="20"/>
              </w:rPr>
              <w:t>Authority's</w:t>
            </w:r>
            <w:r w:rsidRPr="004138A7">
              <w:rPr>
                <w:rFonts w:ascii="Arial" w:hAnsi="Arial" w:cs="Arial"/>
                <w:color w:val="000000"/>
                <w:sz w:val="20"/>
                <w:szCs w:val="20"/>
              </w:rPr>
              <w:t xml:space="preserve"> activities expose it to a v</w:t>
            </w:r>
            <w:r>
              <w:rPr>
                <w:rFonts w:ascii="Arial" w:hAnsi="Arial" w:cs="Arial"/>
                <w:color w:val="000000"/>
                <w:sz w:val="20"/>
                <w:szCs w:val="20"/>
              </w:rPr>
              <w:t>ariety of financial risks —</w:t>
            </w:r>
            <w:r w:rsidRPr="004138A7">
              <w:rPr>
                <w:rFonts w:ascii="Arial" w:hAnsi="Arial" w:cs="Arial"/>
                <w:color w:val="000000"/>
                <w:sz w:val="20"/>
                <w:szCs w:val="20"/>
              </w:rPr>
              <w:t xml:space="preserve"> interest rate risk, credit risk, liquidity risk and market risk.</w:t>
            </w:r>
          </w:p>
          <w:p w:rsidR="00B56C26" w:rsidRPr="004138A7" w:rsidRDefault="00B56C26" w:rsidP="001027FD">
            <w:pPr>
              <w:spacing w:before="120" w:after="120"/>
              <w:rPr>
                <w:rFonts w:ascii="Arial" w:hAnsi="Arial" w:cs="Arial"/>
                <w:color w:val="000000"/>
                <w:sz w:val="20"/>
                <w:szCs w:val="20"/>
              </w:rPr>
            </w:pPr>
            <w:r w:rsidRPr="004138A7">
              <w:rPr>
                <w:rFonts w:ascii="Arial" w:hAnsi="Arial" w:cs="Arial"/>
                <w:color w:val="000000"/>
                <w:sz w:val="20"/>
                <w:szCs w:val="20"/>
              </w:rPr>
              <w:t xml:space="preserve">Financial risk management is implemented pursuant to Government and Queensland Studies Authority policy. </w:t>
            </w:r>
            <w:r w:rsidRPr="001027FD">
              <w:rPr>
                <w:rFonts w:ascii="Arial" w:hAnsi="Arial" w:cs="Arial"/>
                <w:bCs/>
                <w:color w:val="000000"/>
                <w:sz w:val="20"/>
                <w:szCs w:val="20"/>
              </w:rPr>
              <w:t>These</w:t>
            </w:r>
            <w:r w:rsidRPr="004138A7">
              <w:rPr>
                <w:rFonts w:ascii="Arial" w:hAnsi="Arial" w:cs="Arial"/>
                <w:color w:val="000000"/>
                <w:sz w:val="20"/>
                <w:szCs w:val="20"/>
              </w:rPr>
              <w:t xml:space="preserve"> policies focus on the unpredictability of financial markets and seek to minimise potential adverse effects on the financial performance of the Authority.</w:t>
            </w:r>
          </w:p>
          <w:p w:rsidR="00B56C26" w:rsidRPr="004138A7" w:rsidRDefault="00B56C26" w:rsidP="001027FD">
            <w:pPr>
              <w:spacing w:before="120" w:after="120"/>
              <w:rPr>
                <w:rFonts w:ascii="Arial" w:hAnsi="Arial" w:cs="Arial"/>
                <w:color w:val="000000"/>
                <w:sz w:val="20"/>
                <w:szCs w:val="20"/>
              </w:rPr>
            </w:pPr>
            <w:r w:rsidRPr="004138A7">
              <w:rPr>
                <w:rFonts w:ascii="Arial" w:hAnsi="Arial" w:cs="Arial"/>
                <w:color w:val="000000"/>
                <w:sz w:val="20"/>
                <w:szCs w:val="20"/>
              </w:rPr>
              <w:t xml:space="preserve">All financial risk </w:t>
            </w:r>
            <w:r w:rsidRPr="001027FD">
              <w:rPr>
                <w:rFonts w:ascii="Arial" w:hAnsi="Arial" w:cs="Arial"/>
                <w:bCs/>
                <w:color w:val="000000"/>
                <w:sz w:val="20"/>
                <w:szCs w:val="20"/>
              </w:rPr>
              <w:t>is</w:t>
            </w:r>
            <w:r w:rsidRPr="004138A7">
              <w:rPr>
                <w:rFonts w:ascii="Arial" w:hAnsi="Arial" w:cs="Arial"/>
                <w:color w:val="000000"/>
                <w:sz w:val="20"/>
                <w:szCs w:val="20"/>
              </w:rPr>
              <w:t xml:space="preserve"> managed by the Chief Executive Officer under policies approved by the Authority. The Authority provides written principles for overall risk management, as well as policies covering specific areas.</w:t>
            </w:r>
          </w:p>
          <w:p w:rsidR="00B56C26" w:rsidRPr="004138A7" w:rsidRDefault="00B56C26" w:rsidP="001027FD">
            <w:pPr>
              <w:spacing w:before="120" w:after="120"/>
              <w:rPr>
                <w:rFonts w:ascii="Arial" w:hAnsi="Arial" w:cs="Arial"/>
                <w:color w:val="000000"/>
                <w:sz w:val="20"/>
                <w:szCs w:val="20"/>
              </w:rPr>
            </w:pPr>
            <w:r w:rsidRPr="004138A7">
              <w:rPr>
                <w:rFonts w:ascii="Arial" w:hAnsi="Arial" w:cs="Arial"/>
                <w:color w:val="000000"/>
                <w:sz w:val="20"/>
                <w:szCs w:val="20"/>
              </w:rPr>
              <w:t xml:space="preserve">Queensland </w:t>
            </w:r>
            <w:r w:rsidRPr="001027FD">
              <w:rPr>
                <w:rFonts w:ascii="Arial" w:hAnsi="Arial" w:cs="Arial"/>
                <w:bCs/>
                <w:color w:val="000000"/>
                <w:sz w:val="20"/>
                <w:szCs w:val="20"/>
              </w:rPr>
              <w:t>Studies</w:t>
            </w:r>
            <w:r w:rsidRPr="004138A7">
              <w:rPr>
                <w:rFonts w:ascii="Arial" w:hAnsi="Arial" w:cs="Arial"/>
                <w:color w:val="000000"/>
                <w:sz w:val="20"/>
                <w:szCs w:val="20"/>
              </w:rPr>
              <w:t xml:space="preserve"> Authority measures risk exposure using a</w:t>
            </w:r>
            <w:r>
              <w:rPr>
                <w:rFonts w:ascii="Arial" w:hAnsi="Arial" w:cs="Arial"/>
                <w:color w:val="000000"/>
                <w:sz w:val="20"/>
                <w:szCs w:val="20"/>
              </w:rPr>
              <w:t xml:space="preserve"> variety of methods as follows:</w:t>
            </w:r>
          </w:p>
        </w:tc>
      </w:tr>
      <w:tr w:rsidR="004138A7" w:rsidRPr="004138A7" w:rsidTr="004138A7">
        <w:trPr>
          <w:trHeight w:val="300"/>
        </w:trPr>
        <w:tc>
          <w:tcPr>
            <w:tcW w:w="426"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58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284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r w:rsidRPr="004138A7">
              <w:rPr>
                <w:rFonts w:ascii="Arial" w:hAnsi="Arial" w:cs="Arial"/>
                <w:b/>
                <w:bCs/>
                <w:color w:val="000000"/>
                <w:sz w:val="20"/>
                <w:szCs w:val="20"/>
              </w:rPr>
              <w:t>Risk Exposure</w:t>
            </w:r>
          </w:p>
        </w:tc>
        <w:tc>
          <w:tcPr>
            <w:tcW w:w="579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r w:rsidRPr="004138A7">
              <w:rPr>
                <w:rFonts w:ascii="Arial" w:hAnsi="Arial" w:cs="Arial"/>
                <w:b/>
                <w:bCs/>
                <w:color w:val="000000"/>
                <w:sz w:val="20"/>
                <w:szCs w:val="20"/>
              </w:rPr>
              <w:t>Measurement Method</w:t>
            </w:r>
          </w:p>
        </w:tc>
      </w:tr>
      <w:tr w:rsidR="004138A7" w:rsidRPr="004138A7" w:rsidTr="004138A7">
        <w:trPr>
          <w:trHeight w:val="300"/>
        </w:trPr>
        <w:tc>
          <w:tcPr>
            <w:tcW w:w="426"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58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p>
        </w:tc>
        <w:tc>
          <w:tcPr>
            <w:tcW w:w="284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r w:rsidRPr="004138A7">
              <w:rPr>
                <w:rFonts w:ascii="Arial" w:hAnsi="Arial" w:cs="Arial"/>
                <w:color w:val="000000"/>
                <w:sz w:val="20"/>
                <w:szCs w:val="20"/>
              </w:rPr>
              <w:t>Credit Risk</w:t>
            </w:r>
          </w:p>
        </w:tc>
        <w:tc>
          <w:tcPr>
            <w:tcW w:w="579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r w:rsidRPr="004138A7">
              <w:rPr>
                <w:rFonts w:ascii="Arial" w:hAnsi="Arial" w:cs="Arial"/>
                <w:color w:val="000000"/>
                <w:sz w:val="20"/>
                <w:szCs w:val="20"/>
              </w:rPr>
              <w:t xml:space="preserve">Ageing analysis, earnings at risk </w:t>
            </w:r>
          </w:p>
        </w:tc>
      </w:tr>
      <w:tr w:rsidR="004138A7" w:rsidRPr="004138A7" w:rsidTr="004138A7">
        <w:trPr>
          <w:trHeight w:val="300"/>
        </w:trPr>
        <w:tc>
          <w:tcPr>
            <w:tcW w:w="426"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58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p>
        </w:tc>
        <w:tc>
          <w:tcPr>
            <w:tcW w:w="284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r w:rsidRPr="004138A7">
              <w:rPr>
                <w:rFonts w:ascii="Arial" w:hAnsi="Arial" w:cs="Arial"/>
                <w:color w:val="000000"/>
                <w:sz w:val="20"/>
                <w:szCs w:val="20"/>
              </w:rPr>
              <w:t>Liquidity Risk</w:t>
            </w:r>
          </w:p>
        </w:tc>
        <w:tc>
          <w:tcPr>
            <w:tcW w:w="579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r w:rsidRPr="004138A7">
              <w:rPr>
                <w:rFonts w:ascii="Arial" w:hAnsi="Arial" w:cs="Arial"/>
                <w:color w:val="000000"/>
                <w:sz w:val="20"/>
                <w:szCs w:val="20"/>
              </w:rPr>
              <w:t>Sensitivity analysis</w:t>
            </w:r>
          </w:p>
        </w:tc>
      </w:tr>
      <w:tr w:rsidR="004138A7" w:rsidRPr="004138A7" w:rsidTr="004138A7">
        <w:trPr>
          <w:trHeight w:val="300"/>
        </w:trPr>
        <w:tc>
          <w:tcPr>
            <w:tcW w:w="426"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58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284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r w:rsidRPr="004138A7">
              <w:rPr>
                <w:rFonts w:ascii="Arial" w:hAnsi="Arial" w:cs="Arial"/>
                <w:color w:val="000000"/>
                <w:sz w:val="20"/>
                <w:szCs w:val="20"/>
              </w:rPr>
              <w:t>Market Risk</w:t>
            </w:r>
          </w:p>
        </w:tc>
        <w:tc>
          <w:tcPr>
            <w:tcW w:w="579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r w:rsidRPr="004138A7">
              <w:rPr>
                <w:rFonts w:ascii="Arial" w:hAnsi="Arial" w:cs="Arial"/>
                <w:color w:val="000000"/>
                <w:sz w:val="20"/>
                <w:szCs w:val="20"/>
              </w:rPr>
              <w:t xml:space="preserve">Interest rate sensitivity analysis </w:t>
            </w:r>
          </w:p>
        </w:tc>
      </w:tr>
      <w:tr w:rsidR="004138A7" w:rsidRPr="004138A7" w:rsidTr="004138A7">
        <w:trPr>
          <w:trHeight w:val="300"/>
        </w:trPr>
        <w:tc>
          <w:tcPr>
            <w:tcW w:w="426"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58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284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p>
        </w:tc>
        <w:tc>
          <w:tcPr>
            <w:tcW w:w="579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p>
        </w:tc>
      </w:tr>
      <w:tr w:rsidR="004138A7" w:rsidRPr="004138A7" w:rsidTr="004138A7">
        <w:trPr>
          <w:trHeight w:val="300"/>
        </w:trPr>
        <w:tc>
          <w:tcPr>
            <w:tcW w:w="426"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p>
        </w:tc>
        <w:tc>
          <w:tcPr>
            <w:tcW w:w="3428" w:type="dxa"/>
            <w:gridSpan w:val="2"/>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b/>
                <w:bCs/>
                <w:color w:val="000000"/>
                <w:sz w:val="20"/>
                <w:szCs w:val="20"/>
              </w:rPr>
            </w:pPr>
            <w:r w:rsidRPr="004138A7">
              <w:rPr>
                <w:rFonts w:ascii="Arial" w:hAnsi="Arial" w:cs="Arial"/>
                <w:b/>
                <w:bCs/>
                <w:color w:val="000000"/>
                <w:sz w:val="20"/>
                <w:szCs w:val="20"/>
              </w:rPr>
              <w:t>(c) Credit Risk Exposure</w:t>
            </w:r>
          </w:p>
        </w:tc>
        <w:tc>
          <w:tcPr>
            <w:tcW w:w="5794" w:type="dxa"/>
            <w:tcBorders>
              <w:top w:val="nil"/>
              <w:left w:val="nil"/>
              <w:bottom w:val="nil"/>
              <w:right w:val="nil"/>
            </w:tcBorders>
            <w:shd w:val="clear" w:color="auto" w:fill="auto"/>
            <w:noWrap/>
            <w:vAlign w:val="bottom"/>
            <w:hideMark/>
          </w:tcPr>
          <w:p w:rsidR="004138A7" w:rsidRPr="004138A7" w:rsidRDefault="004138A7" w:rsidP="004138A7">
            <w:pPr>
              <w:spacing w:before="0" w:line="240" w:lineRule="auto"/>
              <w:rPr>
                <w:rFonts w:ascii="Arial" w:hAnsi="Arial" w:cs="Arial"/>
                <w:color w:val="000000"/>
                <w:sz w:val="20"/>
                <w:szCs w:val="20"/>
              </w:rPr>
            </w:pPr>
          </w:p>
        </w:tc>
      </w:tr>
      <w:tr w:rsidR="00B56C26" w:rsidRPr="004138A7" w:rsidTr="00B56C26">
        <w:trPr>
          <w:trHeight w:val="3618"/>
        </w:trPr>
        <w:tc>
          <w:tcPr>
            <w:tcW w:w="426" w:type="dxa"/>
            <w:tcBorders>
              <w:top w:val="nil"/>
              <w:left w:val="nil"/>
              <w:right w:val="nil"/>
            </w:tcBorders>
            <w:shd w:val="clear" w:color="auto" w:fill="auto"/>
            <w:noWrap/>
            <w:vAlign w:val="bottom"/>
            <w:hideMark/>
          </w:tcPr>
          <w:p w:rsidR="00B56C26" w:rsidRPr="004138A7" w:rsidRDefault="00B56C26" w:rsidP="004138A7">
            <w:pPr>
              <w:spacing w:before="120" w:after="240" w:line="240" w:lineRule="auto"/>
              <w:rPr>
                <w:rFonts w:ascii="Arial" w:hAnsi="Arial" w:cs="Arial"/>
                <w:bCs/>
                <w:color w:val="000000"/>
                <w:sz w:val="20"/>
                <w:szCs w:val="20"/>
              </w:rPr>
            </w:pPr>
          </w:p>
        </w:tc>
        <w:tc>
          <w:tcPr>
            <w:tcW w:w="9222" w:type="dxa"/>
            <w:gridSpan w:val="3"/>
            <w:tcBorders>
              <w:top w:val="nil"/>
              <w:left w:val="nil"/>
              <w:right w:val="nil"/>
            </w:tcBorders>
            <w:shd w:val="clear" w:color="auto" w:fill="auto"/>
            <w:noWrap/>
            <w:vAlign w:val="bottom"/>
            <w:hideMark/>
          </w:tcPr>
          <w:p w:rsidR="00B56C26" w:rsidRPr="004138A7" w:rsidRDefault="00B56C26" w:rsidP="001027FD">
            <w:pPr>
              <w:spacing w:before="120" w:after="120"/>
              <w:rPr>
                <w:rFonts w:ascii="Arial" w:hAnsi="Arial" w:cs="Arial"/>
                <w:bCs/>
                <w:color w:val="000000"/>
                <w:sz w:val="20"/>
                <w:szCs w:val="20"/>
              </w:rPr>
            </w:pPr>
            <w:r w:rsidRPr="004138A7">
              <w:rPr>
                <w:rFonts w:ascii="Arial" w:hAnsi="Arial" w:cs="Arial"/>
                <w:bCs/>
                <w:color w:val="000000"/>
                <w:sz w:val="20"/>
                <w:szCs w:val="20"/>
              </w:rPr>
              <w:t xml:space="preserve">Credit risk exposure refers to the situation where the Authority may incur financial loss </w:t>
            </w:r>
            <w:proofErr w:type="gramStart"/>
            <w:r w:rsidRPr="004138A7">
              <w:rPr>
                <w:rFonts w:ascii="Arial" w:hAnsi="Arial" w:cs="Arial"/>
                <w:bCs/>
                <w:color w:val="000000"/>
                <w:sz w:val="20"/>
                <w:szCs w:val="20"/>
              </w:rPr>
              <w:t>as a result</w:t>
            </w:r>
            <w:proofErr w:type="gramEnd"/>
            <w:r w:rsidRPr="004138A7">
              <w:rPr>
                <w:rFonts w:ascii="Arial" w:hAnsi="Arial" w:cs="Arial"/>
                <w:bCs/>
                <w:color w:val="000000"/>
                <w:sz w:val="20"/>
                <w:szCs w:val="20"/>
              </w:rPr>
              <w:t xml:space="preserve"> of another party to a financial instrument failing to discharge their obligation.</w:t>
            </w:r>
          </w:p>
          <w:p w:rsidR="00B56C26" w:rsidRPr="004138A7" w:rsidRDefault="00B56C26" w:rsidP="001027FD">
            <w:pPr>
              <w:spacing w:before="120" w:after="120"/>
              <w:rPr>
                <w:rFonts w:ascii="Arial" w:hAnsi="Arial" w:cs="Arial"/>
                <w:bCs/>
                <w:color w:val="000000"/>
                <w:sz w:val="20"/>
                <w:szCs w:val="20"/>
              </w:rPr>
            </w:pPr>
            <w:r w:rsidRPr="004138A7">
              <w:rPr>
                <w:rFonts w:ascii="Arial" w:hAnsi="Arial" w:cs="Arial"/>
                <w:bCs/>
                <w:color w:val="000000"/>
                <w:sz w:val="20"/>
                <w:szCs w:val="20"/>
              </w:rPr>
              <w:t>The maximum exposure to credit risk at balance date in relation to each class of recognised financial assets is the gross carrying amount of those assets inclusive of any provisions for impairment.</w:t>
            </w:r>
          </w:p>
          <w:p w:rsidR="00B56C26" w:rsidRPr="004138A7" w:rsidRDefault="00B56C26" w:rsidP="001027FD">
            <w:pPr>
              <w:spacing w:before="120" w:after="120"/>
              <w:rPr>
                <w:rFonts w:ascii="Arial" w:hAnsi="Arial" w:cs="Arial"/>
                <w:bCs/>
                <w:color w:val="000000"/>
                <w:sz w:val="20"/>
                <w:szCs w:val="20"/>
              </w:rPr>
            </w:pPr>
            <w:r w:rsidRPr="004138A7">
              <w:rPr>
                <w:rFonts w:ascii="Arial" w:hAnsi="Arial" w:cs="Arial"/>
                <w:bCs/>
                <w:color w:val="000000"/>
                <w:sz w:val="20"/>
                <w:szCs w:val="20"/>
              </w:rPr>
              <w:t>No collateral is held as security and no credit enhancements relate to financial assets held by the Authority.</w:t>
            </w:r>
          </w:p>
          <w:p w:rsidR="00B56C26" w:rsidRPr="004138A7" w:rsidRDefault="00B56C26" w:rsidP="001027FD">
            <w:pPr>
              <w:spacing w:before="120" w:after="120"/>
              <w:rPr>
                <w:rFonts w:ascii="Arial" w:hAnsi="Arial" w:cs="Arial"/>
                <w:bCs/>
                <w:color w:val="000000"/>
                <w:sz w:val="20"/>
                <w:szCs w:val="20"/>
              </w:rPr>
            </w:pPr>
            <w:r w:rsidRPr="004138A7">
              <w:rPr>
                <w:rFonts w:ascii="Arial" w:hAnsi="Arial" w:cs="Arial"/>
                <w:bCs/>
                <w:color w:val="000000"/>
                <w:sz w:val="20"/>
                <w:szCs w:val="20"/>
              </w:rPr>
              <w:t xml:space="preserve">The Authority manages credit risk </w:t>
            </w:r>
            <w:proofErr w:type="gramStart"/>
            <w:r w:rsidRPr="004138A7">
              <w:rPr>
                <w:rFonts w:ascii="Arial" w:hAnsi="Arial" w:cs="Arial"/>
                <w:bCs/>
                <w:color w:val="000000"/>
                <w:sz w:val="20"/>
                <w:szCs w:val="20"/>
              </w:rPr>
              <w:t>through the use of</w:t>
            </w:r>
            <w:proofErr w:type="gramEnd"/>
            <w:r w:rsidRPr="004138A7">
              <w:rPr>
                <w:rFonts w:ascii="Arial" w:hAnsi="Arial" w:cs="Arial"/>
                <w:bCs/>
                <w:color w:val="000000"/>
                <w:sz w:val="20"/>
                <w:szCs w:val="20"/>
              </w:rPr>
              <w:t xml:space="preserve"> a credit management strategy. This strategy aims to reduce the exposure to credit default by ensuring that the Authority invests in secure assets and monitors all funds owed on a timely basis.</w:t>
            </w:r>
            <w:r>
              <w:rPr>
                <w:rFonts w:ascii="Arial" w:hAnsi="Arial" w:cs="Arial"/>
                <w:bCs/>
                <w:color w:val="000000"/>
                <w:sz w:val="20"/>
                <w:szCs w:val="20"/>
              </w:rPr>
              <w:t xml:space="preserve"> </w:t>
            </w:r>
            <w:r w:rsidRPr="004138A7">
              <w:rPr>
                <w:rFonts w:ascii="Arial" w:hAnsi="Arial" w:cs="Arial"/>
                <w:bCs/>
                <w:color w:val="000000"/>
                <w:sz w:val="20"/>
                <w:szCs w:val="20"/>
              </w:rPr>
              <w:t>Exposure to credit risk is monitored on an ongoing basis.</w:t>
            </w:r>
          </w:p>
          <w:p w:rsidR="00B56C26" w:rsidRPr="004138A7" w:rsidRDefault="00B56C26" w:rsidP="001027FD">
            <w:pPr>
              <w:spacing w:before="120" w:after="120"/>
              <w:rPr>
                <w:rFonts w:ascii="Arial" w:hAnsi="Arial" w:cs="Arial"/>
                <w:bCs/>
                <w:color w:val="000000"/>
                <w:sz w:val="20"/>
                <w:szCs w:val="20"/>
              </w:rPr>
            </w:pPr>
            <w:r w:rsidRPr="004138A7">
              <w:rPr>
                <w:rFonts w:ascii="Arial" w:hAnsi="Arial" w:cs="Arial"/>
                <w:bCs/>
                <w:color w:val="000000"/>
                <w:sz w:val="20"/>
                <w:szCs w:val="20"/>
              </w:rPr>
              <w:t>No financial assets and financial liabilities have been offset and presented net in the Statement of Financial Position.</w:t>
            </w:r>
          </w:p>
        </w:tc>
      </w:tr>
    </w:tbl>
    <w:p w:rsidR="004138A7" w:rsidRDefault="004138A7">
      <w:r>
        <w:br w:type="page"/>
      </w:r>
    </w:p>
    <w:tbl>
      <w:tblPr>
        <w:tblW w:w="4952" w:type="pct"/>
        <w:tblInd w:w="93" w:type="dxa"/>
        <w:tblCellMar>
          <w:left w:w="28" w:type="dxa"/>
        </w:tblCellMar>
        <w:tblLook w:val="04A0" w:firstRow="1" w:lastRow="0" w:firstColumn="1" w:lastColumn="0" w:noHBand="0" w:noVBand="1"/>
      </w:tblPr>
      <w:tblGrid>
        <w:gridCol w:w="334"/>
        <w:gridCol w:w="1021"/>
        <w:gridCol w:w="1694"/>
        <w:gridCol w:w="1087"/>
        <w:gridCol w:w="1088"/>
        <w:gridCol w:w="1086"/>
        <w:gridCol w:w="1086"/>
        <w:gridCol w:w="1086"/>
        <w:gridCol w:w="1086"/>
      </w:tblGrid>
      <w:tr w:rsidR="00850383" w:rsidRPr="00F757CC" w:rsidTr="00850383">
        <w:trPr>
          <w:trHeight w:val="300"/>
        </w:trPr>
        <w:tc>
          <w:tcPr>
            <w:tcW w:w="9568" w:type="dxa"/>
            <w:gridSpan w:val="9"/>
            <w:tcBorders>
              <w:top w:val="nil"/>
              <w:left w:val="nil"/>
              <w:bottom w:val="nil"/>
              <w:right w:val="nil"/>
            </w:tcBorders>
            <w:shd w:val="clear" w:color="auto" w:fill="auto"/>
            <w:noWrap/>
            <w:vAlign w:val="bottom"/>
            <w:hideMark/>
          </w:tcPr>
          <w:p w:rsidR="00850383" w:rsidRPr="00F757CC" w:rsidRDefault="00850383" w:rsidP="00850383">
            <w:pPr>
              <w:pStyle w:val="FinF3continuation"/>
              <w:tabs>
                <w:tab w:val="left" w:pos="313"/>
              </w:tabs>
            </w:pPr>
            <w:r w:rsidRPr="00F757CC">
              <w:lastRenderedPageBreak/>
              <w:t>21</w:t>
            </w:r>
            <w:r>
              <w:tab/>
            </w:r>
            <w:r w:rsidRPr="00F757CC">
              <w:t>Financial Instruments</w:t>
            </w:r>
            <w:r w:rsidR="004526D5">
              <w:t>,</w:t>
            </w:r>
            <w:r w:rsidRPr="00F757CC">
              <w:t xml:space="preserve"> (c) Credit Risk </w:t>
            </w:r>
            <w:r w:rsidRPr="00F3112C">
              <w:t>Exposure</w:t>
            </w:r>
            <w:r w:rsidRPr="00F757CC">
              <w:t xml:space="preserve"> </w:t>
            </w:r>
            <w:r w:rsidR="004526D5">
              <w:t>(cont’</w:t>
            </w:r>
            <w:r w:rsidRPr="00F757CC">
              <w:t>d)</w:t>
            </w:r>
          </w:p>
        </w:tc>
      </w:tr>
      <w:tr w:rsidR="00F757CC" w:rsidRPr="00F757CC" w:rsidTr="00850383">
        <w:trPr>
          <w:trHeight w:val="300"/>
        </w:trPr>
        <w:tc>
          <w:tcPr>
            <w:tcW w:w="334" w:type="dxa"/>
            <w:tcBorders>
              <w:top w:val="nil"/>
              <w:left w:val="nil"/>
              <w:bottom w:val="nil"/>
              <w:right w:val="nil"/>
            </w:tcBorders>
            <w:shd w:val="clear" w:color="auto" w:fill="auto"/>
            <w:noWrap/>
            <w:vAlign w:val="bottom"/>
            <w:hideMark/>
          </w:tcPr>
          <w:p w:rsidR="00F757CC" w:rsidRPr="00F3112C" w:rsidRDefault="00F757CC" w:rsidP="00F757CC">
            <w:pPr>
              <w:spacing w:before="0" w:line="240" w:lineRule="auto"/>
              <w:rPr>
                <w:rFonts w:ascii="Arial" w:hAnsi="Arial" w:cs="Arial"/>
                <w:bCs/>
                <w:color w:val="000000"/>
                <w:sz w:val="20"/>
                <w:szCs w:val="20"/>
              </w:rPr>
            </w:pPr>
          </w:p>
        </w:tc>
        <w:tc>
          <w:tcPr>
            <w:tcW w:w="9234" w:type="dxa"/>
            <w:gridSpan w:val="8"/>
            <w:tcBorders>
              <w:top w:val="nil"/>
              <w:left w:val="nil"/>
              <w:bottom w:val="nil"/>
              <w:right w:val="nil"/>
            </w:tcBorders>
            <w:shd w:val="clear" w:color="auto" w:fill="auto"/>
            <w:noWrap/>
            <w:vAlign w:val="bottom"/>
            <w:hideMark/>
          </w:tcPr>
          <w:p w:rsidR="00F757CC" w:rsidRPr="00F3112C" w:rsidRDefault="00F757CC" w:rsidP="001027FD">
            <w:pPr>
              <w:spacing w:before="120" w:after="120"/>
              <w:rPr>
                <w:rFonts w:ascii="Arial" w:hAnsi="Arial" w:cs="Arial"/>
                <w:color w:val="000000"/>
                <w:spacing w:val="-4"/>
                <w:sz w:val="20"/>
                <w:szCs w:val="20"/>
              </w:rPr>
            </w:pPr>
            <w:r w:rsidRPr="00F3112C">
              <w:rPr>
                <w:rFonts w:ascii="Arial" w:hAnsi="Arial" w:cs="Arial"/>
                <w:color w:val="000000"/>
                <w:spacing w:val="-4"/>
                <w:sz w:val="20"/>
                <w:szCs w:val="20"/>
              </w:rPr>
              <w:t xml:space="preserve">Aging of past </w:t>
            </w:r>
            <w:r w:rsidRPr="00F3112C">
              <w:rPr>
                <w:rFonts w:ascii="Arial" w:hAnsi="Arial" w:cs="Arial"/>
                <w:bCs/>
                <w:color w:val="000000"/>
                <w:spacing w:val="-4"/>
                <w:sz w:val="20"/>
                <w:szCs w:val="20"/>
              </w:rPr>
              <w:t>due</w:t>
            </w:r>
            <w:r w:rsidRPr="00F3112C">
              <w:rPr>
                <w:rFonts w:ascii="Arial" w:hAnsi="Arial" w:cs="Arial"/>
                <w:color w:val="000000"/>
                <w:spacing w:val="-4"/>
                <w:sz w:val="20"/>
                <w:szCs w:val="20"/>
              </w:rPr>
              <w:t xml:space="preserve"> but not impaired as well as </w:t>
            </w:r>
            <w:r w:rsidRPr="001027FD">
              <w:rPr>
                <w:rFonts w:ascii="Arial" w:hAnsi="Arial" w:cs="Arial"/>
                <w:color w:val="000000"/>
                <w:sz w:val="20"/>
                <w:szCs w:val="20"/>
              </w:rPr>
              <w:t>impaired</w:t>
            </w:r>
            <w:r w:rsidRPr="00F3112C">
              <w:rPr>
                <w:rFonts w:ascii="Arial" w:hAnsi="Arial" w:cs="Arial"/>
                <w:color w:val="000000"/>
                <w:spacing w:val="-4"/>
                <w:sz w:val="20"/>
                <w:szCs w:val="20"/>
              </w:rPr>
              <w:t xml:space="preserve"> financial assets are disclosed in the following tables:</w:t>
            </w:r>
          </w:p>
        </w:tc>
      </w:tr>
      <w:tr w:rsidR="00F3112C" w:rsidRPr="00F757CC" w:rsidTr="00850383">
        <w:trPr>
          <w:trHeight w:val="330"/>
        </w:trPr>
        <w:tc>
          <w:tcPr>
            <w:tcW w:w="334" w:type="dxa"/>
            <w:tcBorders>
              <w:top w:val="nil"/>
              <w:left w:val="nil"/>
              <w:bottom w:val="nil"/>
              <w:right w:val="nil"/>
            </w:tcBorders>
            <w:shd w:val="clear" w:color="auto" w:fill="auto"/>
            <w:noWrap/>
            <w:vAlign w:val="bottom"/>
            <w:hideMark/>
          </w:tcPr>
          <w:p w:rsidR="00F3112C" w:rsidRPr="00F3112C" w:rsidRDefault="00F3112C" w:rsidP="00F3112C">
            <w:pPr>
              <w:spacing w:before="40" w:after="40" w:line="240" w:lineRule="auto"/>
              <w:rPr>
                <w:rFonts w:ascii="Arial" w:hAnsi="Arial" w:cs="Arial"/>
                <w:bCs/>
                <w:color w:val="000000"/>
                <w:sz w:val="20"/>
                <w:szCs w:val="20"/>
              </w:rPr>
            </w:pPr>
          </w:p>
        </w:tc>
        <w:tc>
          <w:tcPr>
            <w:tcW w:w="9234" w:type="dxa"/>
            <w:gridSpan w:val="8"/>
            <w:tcBorders>
              <w:top w:val="nil"/>
              <w:left w:val="nil"/>
              <w:bottom w:val="nil"/>
              <w:right w:val="nil"/>
            </w:tcBorders>
            <w:shd w:val="clear" w:color="auto" w:fill="D9D9D9" w:themeFill="background1" w:themeFillShade="D9"/>
            <w:noWrap/>
            <w:vAlign w:val="bottom"/>
            <w:hideMark/>
          </w:tcPr>
          <w:p w:rsidR="00F3112C" w:rsidRPr="00F757CC" w:rsidRDefault="00F3112C" w:rsidP="00B56C26">
            <w:pPr>
              <w:spacing w:before="40" w:after="40" w:line="240" w:lineRule="auto"/>
              <w:jc w:val="center"/>
              <w:rPr>
                <w:rFonts w:ascii="Arial" w:hAnsi="Arial" w:cs="Arial"/>
                <w:b/>
                <w:bCs/>
                <w:sz w:val="20"/>
                <w:szCs w:val="20"/>
              </w:rPr>
            </w:pPr>
            <w:r w:rsidRPr="00F757CC">
              <w:rPr>
                <w:rFonts w:ascii="Arial" w:hAnsi="Arial" w:cs="Arial"/>
                <w:b/>
                <w:bCs/>
                <w:sz w:val="20"/>
                <w:szCs w:val="20"/>
              </w:rPr>
              <w:t>2014 Financial Assets Past Due But Not Impaired</w:t>
            </w:r>
          </w:p>
        </w:tc>
      </w:tr>
      <w:tr w:rsidR="00F3112C" w:rsidRPr="00F757CC" w:rsidTr="00850383">
        <w:trPr>
          <w:trHeight w:val="300"/>
        </w:trPr>
        <w:tc>
          <w:tcPr>
            <w:tcW w:w="334" w:type="dxa"/>
            <w:tcBorders>
              <w:top w:val="nil"/>
              <w:left w:val="nil"/>
              <w:bottom w:val="nil"/>
              <w:right w:val="nil"/>
            </w:tcBorders>
            <w:shd w:val="clear" w:color="auto" w:fill="auto"/>
            <w:noWrap/>
            <w:vAlign w:val="bottom"/>
            <w:hideMark/>
          </w:tcPr>
          <w:p w:rsidR="00F3112C" w:rsidRPr="00F3112C" w:rsidRDefault="00F3112C" w:rsidP="00F757CC">
            <w:pPr>
              <w:spacing w:before="0" w:line="240" w:lineRule="auto"/>
              <w:rPr>
                <w:rFonts w:ascii="Arial" w:hAnsi="Arial" w:cs="Arial"/>
                <w:bCs/>
                <w:color w:val="000000"/>
                <w:sz w:val="20"/>
                <w:szCs w:val="20"/>
              </w:rPr>
            </w:pPr>
          </w:p>
        </w:tc>
        <w:tc>
          <w:tcPr>
            <w:tcW w:w="1021" w:type="dxa"/>
            <w:tcBorders>
              <w:top w:val="nil"/>
              <w:left w:val="nil"/>
              <w:bottom w:val="nil"/>
              <w:right w:val="nil"/>
            </w:tcBorders>
            <w:shd w:val="clear" w:color="auto" w:fill="auto"/>
            <w:noWrap/>
            <w:vAlign w:val="bottom"/>
            <w:hideMark/>
          </w:tcPr>
          <w:p w:rsidR="00F3112C" w:rsidRPr="00F757CC" w:rsidRDefault="00F3112C" w:rsidP="00F757CC">
            <w:pPr>
              <w:spacing w:before="0" w:line="240" w:lineRule="auto"/>
              <w:rPr>
                <w:rFonts w:ascii="Arial" w:hAnsi="Arial" w:cs="Arial"/>
                <w:color w:val="000000"/>
                <w:sz w:val="20"/>
                <w:szCs w:val="20"/>
              </w:rPr>
            </w:pPr>
          </w:p>
        </w:tc>
        <w:tc>
          <w:tcPr>
            <w:tcW w:w="1694" w:type="dxa"/>
            <w:tcBorders>
              <w:top w:val="nil"/>
              <w:left w:val="nil"/>
              <w:bottom w:val="nil"/>
              <w:right w:val="nil"/>
            </w:tcBorders>
            <w:shd w:val="clear" w:color="auto" w:fill="auto"/>
            <w:noWrap/>
            <w:vAlign w:val="bottom"/>
            <w:hideMark/>
          </w:tcPr>
          <w:p w:rsidR="00F3112C" w:rsidRPr="00F757CC" w:rsidRDefault="00F3112C" w:rsidP="00F757CC">
            <w:pPr>
              <w:spacing w:before="0" w:line="240" w:lineRule="auto"/>
              <w:rPr>
                <w:rFonts w:ascii="Arial" w:hAnsi="Arial" w:cs="Arial"/>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112C" w:rsidRPr="00F757CC" w:rsidRDefault="00F3112C" w:rsidP="00F757CC">
            <w:pPr>
              <w:spacing w:before="0" w:line="240" w:lineRule="auto"/>
              <w:jc w:val="center"/>
              <w:rPr>
                <w:rFonts w:ascii="Arial" w:hAnsi="Arial" w:cs="Arial"/>
                <w:b/>
                <w:bCs/>
                <w:sz w:val="20"/>
                <w:szCs w:val="20"/>
              </w:rPr>
            </w:pPr>
            <w:r w:rsidRPr="00F757CC">
              <w:rPr>
                <w:rFonts w:ascii="Arial" w:hAnsi="Arial" w:cs="Arial"/>
                <w:b/>
                <w:bCs/>
                <w:sz w:val="20"/>
                <w:szCs w:val="20"/>
              </w:rPr>
              <w:t>Due</w:t>
            </w:r>
          </w:p>
        </w:tc>
        <w:tc>
          <w:tcPr>
            <w:tcW w:w="5432"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F3112C" w:rsidRPr="00F757CC" w:rsidRDefault="00F3112C" w:rsidP="00F757CC">
            <w:pPr>
              <w:spacing w:before="0" w:line="240" w:lineRule="auto"/>
              <w:jc w:val="center"/>
              <w:rPr>
                <w:rFonts w:ascii="Arial" w:hAnsi="Arial" w:cs="Arial"/>
                <w:b/>
                <w:bCs/>
                <w:sz w:val="20"/>
                <w:szCs w:val="20"/>
              </w:rPr>
            </w:pPr>
            <w:r w:rsidRPr="00F757CC">
              <w:rPr>
                <w:rFonts w:ascii="Arial" w:hAnsi="Arial" w:cs="Arial"/>
                <w:b/>
                <w:bCs/>
                <w:sz w:val="20"/>
                <w:szCs w:val="20"/>
              </w:rPr>
              <w:t>Overdue</w:t>
            </w:r>
          </w:p>
        </w:tc>
      </w:tr>
      <w:tr w:rsidR="00F3112C" w:rsidRPr="00F757CC" w:rsidTr="00850383">
        <w:trPr>
          <w:trHeight w:val="300"/>
        </w:trPr>
        <w:tc>
          <w:tcPr>
            <w:tcW w:w="334" w:type="dxa"/>
            <w:tcBorders>
              <w:top w:val="nil"/>
              <w:left w:val="nil"/>
              <w:bottom w:val="nil"/>
              <w:right w:val="nil"/>
            </w:tcBorders>
            <w:shd w:val="clear" w:color="auto" w:fill="auto"/>
            <w:noWrap/>
            <w:vAlign w:val="bottom"/>
            <w:hideMark/>
          </w:tcPr>
          <w:p w:rsidR="00F3112C" w:rsidRPr="00F3112C" w:rsidRDefault="00F3112C" w:rsidP="00F757CC">
            <w:pPr>
              <w:spacing w:before="0" w:line="240" w:lineRule="auto"/>
              <w:rPr>
                <w:rFonts w:ascii="Arial" w:hAnsi="Arial" w:cs="Arial"/>
                <w:bCs/>
                <w:color w:val="000000"/>
                <w:sz w:val="20"/>
                <w:szCs w:val="20"/>
              </w:rPr>
            </w:pPr>
          </w:p>
        </w:tc>
        <w:tc>
          <w:tcPr>
            <w:tcW w:w="1021" w:type="dxa"/>
            <w:tcBorders>
              <w:top w:val="nil"/>
              <w:left w:val="nil"/>
              <w:bottom w:val="nil"/>
              <w:right w:val="nil"/>
            </w:tcBorders>
            <w:shd w:val="clear" w:color="auto" w:fill="auto"/>
            <w:noWrap/>
            <w:vAlign w:val="bottom"/>
            <w:hideMark/>
          </w:tcPr>
          <w:p w:rsidR="00F3112C" w:rsidRPr="00F757CC" w:rsidRDefault="00F3112C" w:rsidP="00F757CC">
            <w:pPr>
              <w:spacing w:before="0" w:line="240" w:lineRule="auto"/>
              <w:rPr>
                <w:rFonts w:ascii="Arial" w:hAnsi="Arial" w:cs="Arial"/>
                <w:color w:val="000000"/>
                <w:sz w:val="20"/>
                <w:szCs w:val="20"/>
              </w:rPr>
            </w:pPr>
          </w:p>
        </w:tc>
        <w:tc>
          <w:tcPr>
            <w:tcW w:w="1694" w:type="dxa"/>
            <w:tcBorders>
              <w:top w:val="nil"/>
              <w:left w:val="nil"/>
              <w:bottom w:val="nil"/>
              <w:right w:val="single" w:sz="4" w:space="0" w:color="auto"/>
            </w:tcBorders>
            <w:shd w:val="clear" w:color="auto" w:fill="auto"/>
            <w:noWrap/>
            <w:vAlign w:val="bottom"/>
            <w:hideMark/>
          </w:tcPr>
          <w:p w:rsidR="00F3112C" w:rsidRPr="00F757CC" w:rsidRDefault="00F3112C" w:rsidP="00F757CC">
            <w:pPr>
              <w:spacing w:before="0" w:line="240" w:lineRule="auto"/>
              <w:rPr>
                <w:rFonts w:ascii="Arial" w:hAnsi="Arial" w:cs="Arial"/>
                <w:sz w:val="20"/>
                <w:szCs w:val="20"/>
              </w:rPr>
            </w:pPr>
          </w:p>
        </w:tc>
        <w:tc>
          <w:tcPr>
            <w:tcW w:w="108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3112C">
            <w:pPr>
              <w:spacing w:before="0" w:line="240" w:lineRule="auto"/>
              <w:jc w:val="center"/>
              <w:rPr>
                <w:rFonts w:ascii="Arial" w:hAnsi="Arial" w:cs="Arial"/>
                <w:sz w:val="20"/>
                <w:szCs w:val="20"/>
              </w:rPr>
            </w:pPr>
            <w:r w:rsidRPr="00F757CC">
              <w:rPr>
                <w:rFonts w:ascii="Arial" w:hAnsi="Arial" w:cs="Arial"/>
                <w:sz w:val="20"/>
                <w:szCs w:val="20"/>
              </w:rPr>
              <w:t>Not</w:t>
            </w:r>
            <w:r>
              <w:rPr>
                <w:rFonts w:ascii="Arial" w:hAnsi="Arial" w:cs="Arial"/>
                <w:sz w:val="20"/>
                <w:szCs w:val="20"/>
              </w:rPr>
              <w:t xml:space="preserve"> </w:t>
            </w:r>
            <w:r w:rsidRPr="00F757CC">
              <w:rPr>
                <w:rFonts w:ascii="Arial" w:hAnsi="Arial" w:cs="Arial"/>
                <w:color w:val="000000"/>
                <w:sz w:val="20"/>
                <w:szCs w:val="20"/>
              </w:rPr>
              <w:t>overdue</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3112C">
            <w:pPr>
              <w:spacing w:before="0" w:line="240" w:lineRule="auto"/>
              <w:jc w:val="center"/>
              <w:rPr>
                <w:rFonts w:ascii="Arial" w:hAnsi="Arial" w:cs="Arial"/>
                <w:sz w:val="20"/>
                <w:szCs w:val="20"/>
              </w:rPr>
            </w:pPr>
            <w:r w:rsidRPr="00F757CC">
              <w:rPr>
                <w:rFonts w:ascii="Arial" w:hAnsi="Arial" w:cs="Arial"/>
                <w:sz w:val="20"/>
                <w:szCs w:val="20"/>
              </w:rPr>
              <w:t>Less than</w:t>
            </w:r>
            <w:r>
              <w:rPr>
                <w:rFonts w:ascii="Arial" w:hAnsi="Arial" w:cs="Arial"/>
                <w:sz w:val="20"/>
                <w:szCs w:val="20"/>
              </w:rPr>
              <w:t xml:space="preserve"> </w:t>
            </w:r>
            <w:r>
              <w:rPr>
                <w:rFonts w:ascii="Arial" w:hAnsi="Arial" w:cs="Arial"/>
                <w:color w:val="000000"/>
                <w:sz w:val="20"/>
                <w:szCs w:val="20"/>
              </w:rPr>
              <w:t>30 </w:t>
            </w:r>
            <w:r w:rsidRPr="00F757CC">
              <w:rPr>
                <w:rFonts w:ascii="Arial" w:hAnsi="Arial" w:cs="Arial"/>
                <w:color w:val="000000"/>
                <w:sz w:val="20"/>
                <w:szCs w:val="20"/>
              </w:rPr>
              <w:t>days</w:t>
            </w:r>
          </w:p>
        </w:tc>
        <w:tc>
          <w:tcPr>
            <w:tcW w:w="108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3112C">
            <w:pPr>
              <w:spacing w:before="0" w:line="240" w:lineRule="auto"/>
              <w:jc w:val="center"/>
              <w:rPr>
                <w:rFonts w:ascii="Arial" w:hAnsi="Arial" w:cs="Arial"/>
                <w:sz w:val="20"/>
                <w:szCs w:val="20"/>
              </w:rPr>
            </w:pPr>
            <w:r w:rsidRPr="00F757CC">
              <w:rPr>
                <w:rFonts w:ascii="Arial" w:hAnsi="Arial" w:cs="Arial"/>
                <w:sz w:val="20"/>
                <w:szCs w:val="20"/>
              </w:rPr>
              <w:t>30</w:t>
            </w:r>
            <w:r w:rsidR="00FA5556">
              <w:rPr>
                <w:rFonts w:ascii="Arial" w:hAnsi="Arial" w:cs="Arial"/>
                <w:sz w:val="20"/>
                <w:szCs w:val="20"/>
              </w:rPr>
              <w:t>–</w:t>
            </w:r>
            <w:r w:rsidRPr="00F757CC">
              <w:rPr>
                <w:rFonts w:ascii="Arial" w:hAnsi="Arial" w:cs="Arial"/>
                <w:sz w:val="20"/>
                <w:szCs w:val="20"/>
              </w:rPr>
              <w:t>60</w:t>
            </w:r>
            <w:r>
              <w:rPr>
                <w:rFonts w:ascii="Arial" w:hAnsi="Arial" w:cs="Arial"/>
                <w:sz w:val="20"/>
                <w:szCs w:val="20"/>
              </w:rPr>
              <w:t xml:space="preserve"> </w:t>
            </w:r>
            <w:r w:rsidRPr="00F757CC">
              <w:rPr>
                <w:rFonts w:ascii="Arial" w:hAnsi="Arial" w:cs="Arial"/>
                <w:color w:val="000000"/>
                <w:sz w:val="20"/>
                <w:szCs w:val="20"/>
              </w:rPr>
              <w:t>days</w:t>
            </w:r>
          </w:p>
        </w:tc>
        <w:tc>
          <w:tcPr>
            <w:tcW w:w="108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3112C">
            <w:pPr>
              <w:spacing w:before="0" w:line="240" w:lineRule="auto"/>
              <w:jc w:val="center"/>
              <w:rPr>
                <w:rFonts w:ascii="Arial" w:hAnsi="Arial" w:cs="Arial"/>
                <w:sz w:val="20"/>
                <w:szCs w:val="20"/>
              </w:rPr>
            </w:pPr>
            <w:r w:rsidRPr="00F757CC">
              <w:rPr>
                <w:rFonts w:ascii="Arial" w:hAnsi="Arial" w:cs="Arial"/>
                <w:sz w:val="20"/>
                <w:szCs w:val="20"/>
              </w:rPr>
              <w:t>61</w:t>
            </w:r>
            <w:r w:rsidR="00FA5556">
              <w:rPr>
                <w:rFonts w:ascii="Arial" w:hAnsi="Arial" w:cs="Arial"/>
                <w:sz w:val="20"/>
                <w:szCs w:val="20"/>
              </w:rPr>
              <w:t>–</w:t>
            </w:r>
            <w:r w:rsidRPr="00F757CC">
              <w:rPr>
                <w:rFonts w:ascii="Arial" w:hAnsi="Arial" w:cs="Arial"/>
                <w:sz w:val="20"/>
                <w:szCs w:val="20"/>
              </w:rPr>
              <w:t>90</w:t>
            </w:r>
            <w:r>
              <w:rPr>
                <w:rFonts w:ascii="Arial" w:hAnsi="Arial" w:cs="Arial"/>
                <w:sz w:val="20"/>
                <w:szCs w:val="20"/>
              </w:rPr>
              <w:t xml:space="preserve"> </w:t>
            </w:r>
            <w:r w:rsidRPr="00F757CC">
              <w:rPr>
                <w:rFonts w:ascii="Arial" w:hAnsi="Arial" w:cs="Arial"/>
                <w:color w:val="000000"/>
                <w:sz w:val="20"/>
                <w:szCs w:val="20"/>
              </w:rPr>
              <w:t>days</w:t>
            </w:r>
          </w:p>
        </w:tc>
        <w:tc>
          <w:tcPr>
            <w:tcW w:w="108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3112C">
            <w:pPr>
              <w:spacing w:before="0" w:line="240" w:lineRule="auto"/>
              <w:jc w:val="center"/>
              <w:rPr>
                <w:rFonts w:ascii="Arial" w:hAnsi="Arial" w:cs="Arial"/>
                <w:color w:val="000000"/>
                <w:sz w:val="20"/>
                <w:szCs w:val="20"/>
              </w:rPr>
            </w:pPr>
            <w:r w:rsidRPr="00F757CC">
              <w:rPr>
                <w:rFonts w:ascii="Arial" w:hAnsi="Arial" w:cs="Arial"/>
                <w:color w:val="000000"/>
                <w:sz w:val="20"/>
                <w:szCs w:val="20"/>
              </w:rPr>
              <w:t>More than</w:t>
            </w:r>
            <w:r>
              <w:rPr>
                <w:rFonts w:ascii="Arial" w:hAnsi="Arial" w:cs="Arial"/>
                <w:color w:val="000000"/>
                <w:sz w:val="20"/>
                <w:szCs w:val="20"/>
              </w:rPr>
              <w:t xml:space="preserve"> </w:t>
            </w:r>
            <w:r w:rsidRPr="00F757CC">
              <w:rPr>
                <w:rFonts w:ascii="Arial" w:hAnsi="Arial" w:cs="Arial"/>
                <w:color w:val="000000"/>
                <w:sz w:val="20"/>
                <w:szCs w:val="20"/>
              </w:rPr>
              <w:t>90 days</w:t>
            </w:r>
          </w:p>
        </w:tc>
        <w:tc>
          <w:tcPr>
            <w:tcW w:w="108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3112C">
            <w:pPr>
              <w:spacing w:before="0" w:line="240" w:lineRule="auto"/>
              <w:jc w:val="center"/>
              <w:rPr>
                <w:rFonts w:ascii="Arial" w:hAnsi="Arial" w:cs="Arial"/>
                <w:color w:val="000000"/>
                <w:sz w:val="20"/>
                <w:szCs w:val="20"/>
              </w:rPr>
            </w:pPr>
            <w:r w:rsidRPr="00F757CC">
              <w:rPr>
                <w:rFonts w:ascii="Arial" w:hAnsi="Arial" w:cs="Arial"/>
                <w:color w:val="000000"/>
                <w:sz w:val="20"/>
                <w:szCs w:val="20"/>
              </w:rPr>
              <w:t>Total</w:t>
            </w:r>
            <w:r>
              <w:rPr>
                <w:rFonts w:ascii="Arial" w:hAnsi="Arial" w:cs="Arial"/>
                <w:color w:val="000000"/>
                <w:sz w:val="20"/>
                <w:szCs w:val="20"/>
              </w:rPr>
              <w:t xml:space="preserve"> </w:t>
            </w:r>
            <w:r w:rsidRPr="00F757CC">
              <w:rPr>
                <w:rFonts w:ascii="Arial" w:hAnsi="Arial" w:cs="Arial"/>
                <w:color w:val="000000"/>
                <w:sz w:val="20"/>
                <w:szCs w:val="20"/>
              </w:rPr>
              <w:t>overdue</w:t>
            </w:r>
          </w:p>
        </w:tc>
      </w:tr>
      <w:tr w:rsidR="00F3112C" w:rsidRPr="00F757CC" w:rsidTr="00850383">
        <w:trPr>
          <w:trHeight w:val="300"/>
        </w:trPr>
        <w:tc>
          <w:tcPr>
            <w:tcW w:w="334" w:type="dxa"/>
            <w:tcBorders>
              <w:top w:val="nil"/>
              <w:left w:val="nil"/>
              <w:bottom w:val="nil"/>
              <w:right w:val="nil"/>
            </w:tcBorders>
            <w:shd w:val="clear" w:color="auto" w:fill="auto"/>
            <w:noWrap/>
            <w:vAlign w:val="bottom"/>
            <w:hideMark/>
          </w:tcPr>
          <w:p w:rsidR="00F3112C" w:rsidRPr="00F3112C" w:rsidRDefault="00F3112C" w:rsidP="00F757CC">
            <w:pPr>
              <w:spacing w:before="0" w:line="240" w:lineRule="auto"/>
              <w:rPr>
                <w:rFonts w:ascii="Arial" w:hAnsi="Arial" w:cs="Arial"/>
                <w:bCs/>
                <w:color w:val="000000"/>
                <w:sz w:val="20"/>
                <w:szCs w:val="20"/>
              </w:rPr>
            </w:pPr>
          </w:p>
        </w:tc>
        <w:tc>
          <w:tcPr>
            <w:tcW w:w="1021" w:type="dxa"/>
            <w:tcBorders>
              <w:top w:val="nil"/>
              <w:left w:val="nil"/>
              <w:bottom w:val="nil"/>
              <w:right w:val="nil"/>
            </w:tcBorders>
            <w:shd w:val="clear" w:color="auto" w:fill="auto"/>
            <w:noWrap/>
            <w:vAlign w:val="bottom"/>
            <w:hideMark/>
          </w:tcPr>
          <w:p w:rsidR="00F3112C" w:rsidRPr="00F757CC" w:rsidRDefault="00F3112C" w:rsidP="00F757CC">
            <w:pPr>
              <w:spacing w:before="0" w:line="240" w:lineRule="auto"/>
              <w:rPr>
                <w:rFonts w:ascii="Arial" w:hAnsi="Arial" w:cs="Arial"/>
                <w:color w:val="000000"/>
                <w:sz w:val="20"/>
                <w:szCs w:val="20"/>
              </w:rPr>
            </w:pPr>
          </w:p>
        </w:tc>
        <w:tc>
          <w:tcPr>
            <w:tcW w:w="1694" w:type="dxa"/>
            <w:tcBorders>
              <w:top w:val="nil"/>
              <w:left w:val="nil"/>
              <w:bottom w:val="nil"/>
              <w:right w:val="single" w:sz="4" w:space="0" w:color="auto"/>
            </w:tcBorders>
            <w:shd w:val="clear" w:color="auto" w:fill="auto"/>
            <w:noWrap/>
            <w:vAlign w:val="bottom"/>
            <w:hideMark/>
          </w:tcPr>
          <w:p w:rsidR="00F3112C" w:rsidRPr="00F757CC" w:rsidRDefault="00F3112C" w:rsidP="00F757CC">
            <w:pPr>
              <w:spacing w:before="0" w:line="240" w:lineRule="auto"/>
              <w:rPr>
                <w:rFonts w:ascii="Arial" w:hAnsi="Arial" w:cs="Arial"/>
                <w:color w:val="000000"/>
                <w:sz w:val="20"/>
                <w:szCs w:val="20"/>
              </w:rPr>
            </w:pPr>
          </w:p>
        </w:tc>
        <w:tc>
          <w:tcPr>
            <w:tcW w:w="1087" w:type="dxa"/>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757CC">
            <w:pPr>
              <w:spacing w:before="0" w:line="240" w:lineRule="auto"/>
              <w:jc w:val="center"/>
              <w:rPr>
                <w:rFonts w:ascii="Arial" w:hAnsi="Arial" w:cs="Arial"/>
                <w:color w:val="000000"/>
                <w:sz w:val="20"/>
                <w:szCs w:val="20"/>
              </w:rPr>
            </w:pPr>
          </w:p>
        </w:tc>
        <w:tc>
          <w:tcPr>
            <w:tcW w:w="1088" w:type="dxa"/>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757CC">
            <w:pPr>
              <w:spacing w:before="0" w:line="240" w:lineRule="auto"/>
              <w:jc w:val="center"/>
              <w:rPr>
                <w:rFonts w:ascii="Arial" w:hAnsi="Arial" w:cs="Arial"/>
                <w:color w:val="000000"/>
                <w:sz w:val="20"/>
                <w:szCs w:val="20"/>
              </w:rPr>
            </w:pPr>
          </w:p>
        </w:tc>
        <w:tc>
          <w:tcPr>
            <w:tcW w:w="1086" w:type="dxa"/>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757CC">
            <w:pPr>
              <w:spacing w:before="0" w:line="240" w:lineRule="auto"/>
              <w:jc w:val="center"/>
              <w:rPr>
                <w:rFonts w:ascii="Arial" w:hAnsi="Arial" w:cs="Arial"/>
                <w:color w:val="000000"/>
                <w:sz w:val="20"/>
                <w:szCs w:val="20"/>
              </w:rPr>
            </w:pPr>
          </w:p>
        </w:tc>
        <w:tc>
          <w:tcPr>
            <w:tcW w:w="1086" w:type="dxa"/>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757CC">
            <w:pPr>
              <w:spacing w:before="0" w:line="240" w:lineRule="auto"/>
              <w:jc w:val="center"/>
              <w:rPr>
                <w:rFonts w:ascii="Arial" w:hAnsi="Arial" w:cs="Arial"/>
                <w:color w:val="000000"/>
                <w:sz w:val="20"/>
                <w:szCs w:val="20"/>
              </w:rPr>
            </w:pPr>
          </w:p>
        </w:tc>
        <w:tc>
          <w:tcPr>
            <w:tcW w:w="1086" w:type="dxa"/>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757CC">
            <w:pPr>
              <w:spacing w:before="0" w:line="240" w:lineRule="auto"/>
              <w:jc w:val="center"/>
              <w:rPr>
                <w:rFonts w:ascii="Arial" w:hAnsi="Arial" w:cs="Arial"/>
                <w:color w:val="000000"/>
                <w:sz w:val="20"/>
                <w:szCs w:val="20"/>
              </w:rPr>
            </w:pPr>
          </w:p>
        </w:tc>
        <w:tc>
          <w:tcPr>
            <w:tcW w:w="1086" w:type="dxa"/>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112C" w:rsidRPr="00F757CC" w:rsidRDefault="00F3112C" w:rsidP="00F757CC">
            <w:pPr>
              <w:spacing w:before="0" w:line="240" w:lineRule="auto"/>
              <w:jc w:val="center"/>
              <w:rPr>
                <w:rFonts w:ascii="Arial" w:hAnsi="Arial" w:cs="Arial"/>
                <w:color w:val="000000"/>
                <w:sz w:val="20"/>
                <w:szCs w:val="20"/>
              </w:rPr>
            </w:pPr>
          </w:p>
        </w:tc>
      </w:tr>
      <w:tr w:rsidR="00F757CC" w:rsidRPr="00F757CC" w:rsidTr="00850383">
        <w:trPr>
          <w:trHeight w:val="300"/>
        </w:trPr>
        <w:tc>
          <w:tcPr>
            <w:tcW w:w="334" w:type="dxa"/>
            <w:tcBorders>
              <w:top w:val="nil"/>
              <w:left w:val="nil"/>
              <w:bottom w:val="nil"/>
              <w:right w:val="nil"/>
            </w:tcBorders>
            <w:shd w:val="clear" w:color="auto" w:fill="auto"/>
            <w:noWrap/>
            <w:vAlign w:val="bottom"/>
            <w:hideMark/>
          </w:tcPr>
          <w:p w:rsidR="00F757CC" w:rsidRPr="00F3112C" w:rsidRDefault="00F757CC" w:rsidP="00B56C26">
            <w:pPr>
              <w:spacing w:before="40" w:line="240" w:lineRule="auto"/>
              <w:rPr>
                <w:rFonts w:ascii="Arial" w:hAnsi="Arial" w:cs="Arial"/>
                <w:bCs/>
                <w:color w:val="000000"/>
                <w:sz w:val="20"/>
                <w:szCs w:val="20"/>
              </w:rPr>
            </w:pPr>
          </w:p>
        </w:tc>
        <w:tc>
          <w:tcPr>
            <w:tcW w:w="2715" w:type="dxa"/>
            <w:gridSpan w:val="2"/>
            <w:tcBorders>
              <w:top w:val="nil"/>
              <w:left w:val="nil"/>
              <w:bottom w:val="nil"/>
              <w:right w:val="nil"/>
            </w:tcBorders>
            <w:shd w:val="clear" w:color="auto" w:fill="auto"/>
            <w:noWrap/>
            <w:vAlign w:val="bottom"/>
            <w:hideMark/>
          </w:tcPr>
          <w:p w:rsidR="00F757CC" w:rsidRPr="00F757CC" w:rsidRDefault="00F757CC" w:rsidP="00B56C26">
            <w:pPr>
              <w:spacing w:before="40" w:line="240" w:lineRule="auto"/>
              <w:rPr>
                <w:rFonts w:ascii="Arial" w:hAnsi="Arial" w:cs="Arial"/>
                <w:b/>
                <w:bCs/>
                <w:color w:val="000000"/>
                <w:sz w:val="20"/>
                <w:szCs w:val="20"/>
              </w:rPr>
            </w:pPr>
            <w:r w:rsidRPr="00F757CC">
              <w:rPr>
                <w:rFonts w:ascii="Arial" w:hAnsi="Arial" w:cs="Arial"/>
                <w:b/>
                <w:bCs/>
                <w:color w:val="000000"/>
                <w:sz w:val="20"/>
                <w:szCs w:val="20"/>
              </w:rPr>
              <w:t>Financial Assets</w:t>
            </w:r>
          </w:p>
        </w:tc>
        <w:tc>
          <w:tcPr>
            <w:tcW w:w="1087" w:type="dxa"/>
            <w:tcBorders>
              <w:top w:val="single" w:sz="4" w:space="0" w:color="auto"/>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8" w:type="dxa"/>
            <w:tcBorders>
              <w:top w:val="single" w:sz="4" w:space="0" w:color="auto"/>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6" w:type="dxa"/>
            <w:tcBorders>
              <w:top w:val="single" w:sz="4" w:space="0" w:color="auto"/>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6" w:type="dxa"/>
            <w:tcBorders>
              <w:top w:val="single" w:sz="4" w:space="0" w:color="auto"/>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6" w:type="dxa"/>
            <w:tcBorders>
              <w:top w:val="single" w:sz="4" w:space="0" w:color="auto"/>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6" w:type="dxa"/>
            <w:tcBorders>
              <w:top w:val="single" w:sz="4" w:space="0" w:color="auto"/>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r>
      <w:tr w:rsidR="00F757CC" w:rsidRPr="00F757CC" w:rsidTr="00850383">
        <w:trPr>
          <w:trHeight w:val="300"/>
        </w:trPr>
        <w:tc>
          <w:tcPr>
            <w:tcW w:w="334" w:type="dxa"/>
            <w:tcBorders>
              <w:top w:val="nil"/>
              <w:left w:val="nil"/>
              <w:bottom w:val="nil"/>
              <w:right w:val="nil"/>
            </w:tcBorders>
            <w:shd w:val="clear" w:color="auto" w:fill="auto"/>
            <w:noWrap/>
            <w:vAlign w:val="bottom"/>
            <w:hideMark/>
          </w:tcPr>
          <w:p w:rsidR="00F757CC" w:rsidRPr="00F3112C" w:rsidRDefault="00F757CC" w:rsidP="00B56C26">
            <w:pPr>
              <w:spacing w:before="40" w:line="240" w:lineRule="auto"/>
              <w:rPr>
                <w:rFonts w:ascii="Arial" w:hAnsi="Arial" w:cs="Arial"/>
                <w:bCs/>
                <w:color w:val="000000"/>
                <w:sz w:val="20"/>
                <w:szCs w:val="20"/>
              </w:rPr>
            </w:pPr>
          </w:p>
        </w:tc>
        <w:tc>
          <w:tcPr>
            <w:tcW w:w="2715" w:type="dxa"/>
            <w:gridSpan w:val="2"/>
            <w:tcBorders>
              <w:top w:val="nil"/>
              <w:left w:val="nil"/>
              <w:bottom w:val="nil"/>
              <w:right w:val="nil"/>
            </w:tcBorders>
            <w:shd w:val="clear" w:color="auto" w:fill="auto"/>
            <w:noWrap/>
            <w:vAlign w:val="bottom"/>
            <w:hideMark/>
          </w:tcPr>
          <w:p w:rsidR="00F757CC" w:rsidRPr="00F757CC" w:rsidRDefault="00FA5556" w:rsidP="00B56C26">
            <w:pPr>
              <w:spacing w:before="40" w:line="240" w:lineRule="auto"/>
              <w:rPr>
                <w:rFonts w:ascii="Arial" w:hAnsi="Arial" w:cs="Arial"/>
                <w:color w:val="000000"/>
                <w:sz w:val="20"/>
                <w:szCs w:val="20"/>
              </w:rPr>
            </w:pPr>
            <w:r>
              <w:rPr>
                <w:rFonts w:ascii="Arial" w:hAnsi="Arial" w:cs="Arial"/>
                <w:color w:val="000000"/>
                <w:sz w:val="20"/>
                <w:szCs w:val="20"/>
              </w:rPr>
              <w:t>Receivables –</w:t>
            </w:r>
            <w:r w:rsidR="00F757CC" w:rsidRPr="00F757CC">
              <w:rPr>
                <w:rFonts w:ascii="Arial" w:hAnsi="Arial" w:cs="Arial"/>
                <w:color w:val="000000"/>
                <w:sz w:val="20"/>
                <w:szCs w:val="20"/>
              </w:rPr>
              <w:t xml:space="preserve"> trade debtors</w:t>
            </w:r>
          </w:p>
        </w:tc>
        <w:tc>
          <w:tcPr>
            <w:tcW w:w="1087" w:type="dxa"/>
            <w:tcBorders>
              <w:top w:val="nil"/>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21 </w:t>
            </w:r>
          </w:p>
        </w:tc>
        <w:tc>
          <w:tcPr>
            <w:tcW w:w="1088" w:type="dxa"/>
            <w:tcBorders>
              <w:top w:val="nil"/>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9 </w:t>
            </w:r>
          </w:p>
        </w:tc>
        <w:tc>
          <w:tcPr>
            <w:tcW w:w="1086" w:type="dxa"/>
            <w:tcBorders>
              <w:top w:val="nil"/>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 </w:t>
            </w:r>
            <w:r w:rsidR="00FA5556">
              <w:rPr>
                <w:rFonts w:ascii="Arial" w:hAnsi="Arial" w:cs="Arial"/>
                <w:color w:val="000000"/>
                <w:sz w:val="20"/>
                <w:szCs w:val="20"/>
              </w:rPr>
              <w:t>–</w:t>
            </w:r>
            <w:r w:rsidRPr="00F757CC">
              <w:rPr>
                <w:rFonts w:ascii="Arial" w:hAnsi="Arial" w:cs="Arial"/>
                <w:color w:val="000000"/>
                <w:sz w:val="20"/>
                <w:szCs w:val="20"/>
              </w:rPr>
              <w:t xml:space="preserve"> </w:t>
            </w:r>
          </w:p>
        </w:tc>
        <w:tc>
          <w:tcPr>
            <w:tcW w:w="1086" w:type="dxa"/>
            <w:tcBorders>
              <w:top w:val="nil"/>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 </w:t>
            </w:r>
            <w:r w:rsidR="00FA5556">
              <w:rPr>
                <w:rFonts w:ascii="Arial" w:hAnsi="Arial" w:cs="Arial"/>
                <w:color w:val="000000"/>
                <w:sz w:val="20"/>
                <w:szCs w:val="20"/>
              </w:rPr>
              <w:t>–</w:t>
            </w:r>
            <w:r w:rsidRPr="00F757CC">
              <w:rPr>
                <w:rFonts w:ascii="Arial" w:hAnsi="Arial" w:cs="Arial"/>
                <w:color w:val="000000"/>
                <w:sz w:val="20"/>
                <w:szCs w:val="20"/>
              </w:rPr>
              <w:t xml:space="preserve"> </w:t>
            </w:r>
          </w:p>
        </w:tc>
        <w:tc>
          <w:tcPr>
            <w:tcW w:w="1086" w:type="dxa"/>
            <w:tcBorders>
              <w:top w:val="nil"/>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2 </w:t>
            </w:r>
          </w:p>
        </w:tc>
        <w:tc>
          <w:tcPr>
            <w:tcW w:w="1086" w:type="dxa"/>
            <w:tcBorders>
              <w:top w:val="nil"/>
              <w:left w:val="nil"/>
              <w:bottom w:val="nil"/>
              <w:right w:val="nil"/>
            </w:tcBorders>
            <w:shd w:val="clear" w:color="auto" w:fill="auto"/>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11 </w:t>
            </w:r>
          </w:p>
        </w:tc>
      </w:tr>
      <w:tr w:rsidR="00F757CC" w:rsidRPr="00F757CC" w:rsidTr="00850383">
        <w:trPr>
          <w:trHeight w:val="300"/>
        </w:trPr>
        <w:tc>
          <w:tcPr>
            <w:tcW w:w="334" w:type="dxa"/>
            <w:tcBorders>
              <w:top w:val="nil"/>
              <w:left w:val="nil"/>
              <w:bottom w:val="nil"/>
              <w:right w:val="nil"/>
            </w:tcBorders>
            <w:shd w:val="clear" w:color="auto" w:fill="auto"/>
            <w:noWrap/>
            <w:vAlign w:val="bottom"/>
            <w:hideMark/>
          </w:tcPr>
          <w:p w:rsidR="00F757CC" w:rsidRPr="00F3112C" w:rsidRDefault="00F757CC" w:rsidP="00B56C26">
            <w:pPr>
              <w:spacing w:before="40" w:line="240" w:lineRule="auto"/>
              <w:rPr>
                <w:rFonts w:ascii="Arial" w:hAnsi="Arial" w:cs="Arial"/>
                <w:bCs/>
                <w:color w:val="000000"/>
                <w:sz w:val="20"/>
                <w:szCs w:val="20"/>
              </w:rPr>
            </w:pPr>
          </w:p>
        </w:tc>
        <w:tc>
          <w:tcPr>
            <w:tcW w:w="2715" w:type="dxa"/>
            <w:gridSpan w:val="2"/>
            <w:tcBorders>
              <w:top w:val="nil"/>
              <w:left w:val="nil"/>
              <w:bottom w:val="nil"/>
              <w:right w:val="nil"/>
            </w:tcBorders>
            <w:shd w:val="clear" w:color="auto" w:fill="auto"/>
            <w:noWrap/>
            <w:vAlign w:val="bottom"/>
            <w:hideMark/>
          </w:tcPr>
          <w:p w:rsidR="00F757CC" w:rsidRPr="00F757CC" w:rsidRDefault="00F757CC" w:rsidP="00B56C26">
            <w:pPr>
              <w:spacing w:before="40" w:line="240" w:lineRule="auto"/>
              <w:rPr>
                <w:rFonts w:ascii="Arial" w:hAnsi="Arial" w:cs="Arial"/>
                <w:b/>
                <w:bCs/>
                <w:color w:val="000000"/>
                <w:sz w:val="20"/>
                <w:szCs w:val="20"/>
              </w:rPr>
            </w:pPr>
            <w:r w:rsidRPr="00F757CC">
              <w:rPr>
                <w:rFonts w:ascii="Arial" w:hAnsi="Arial" w:cs="Arial"/>
                <w:b/>
                <w:bCs/>
                <w:color w:val="000000"/>
                <w:sz w:val="20"/>
                <w:szCs w:val="20"/>
              </w:rPr>
              <w:t>Total</w:t>
            </w:r>
          </w:p>
        </w:tc>
        <w:tc>
          <w:tcPr>
            <w:tcW w:w="1087" w:type="dxa"/>
            <w:tcBorders>
              <w:top w:val="single" w:sz="4" w:space="0" w:color="auto"/>
              <w:left w:val="nil"/>
              <w:bottom w:val="double" w:sz="6" w:space="0" w:color="auto"/>
              <w:right w:val="nil"/>
            </w:tcBorders>
            <w:shd w:val="clear" w:color="000000" w:fill="D9D9D9"/>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21 </w:t>
            </w:r>
          </w:p>
        </w:tc>
        <w:tc>
          <w:tcPr>
            <w:tcW w:w="1088" w:type="dxa"/>
            <w:tcBorders>
              <w:top w:val="single" w:sz="4" w:space="0" w:color="auto"/>
              <w:left w:val="nil"/>
              <w:bottom w:val="double" w:sz="6" w:space="0" w:color="auto"/>
              <w:right w:val="nil"/>
            </w:tcBorders>
            <w:shd w:val="clear" w:color="000000" w:fill="D9D9D9"/>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9 </w:t>
            </w:r>
          </w:p>
        </w:tc>
        <w:tc>
          <w:tcPr>
            <w:tcW w:w="1086" w:type="dxa"/>
            <w:tcBorders>
              <w:top w:val="single" w:sz="4" w:space="0" w:color="auto"/>
              <w:left w:val="nil"/>
              <w:bottom w:val="double" w:sz="6" w:space="0" w:color="auto"/>
              <w:right w:val="nil"/>
            </w:tcBorders>
            <w:shd w:val="clear" w:color="000000" w:fill="D9D9D9"/>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 </w:t>
            </w:r>
            <w:r w:rsidR="00FA5556">
              <w:rPr>
                <w:rFonts w:ascii="Arial" w:hAnsi="Arial" w:cs="Arial"/>
                <w:b/>
                <w:bCs/>
                <w:color w:val="000000"/>
                <w:sz w:val="20"/>
                <w:szCs w:val="20"/>
              </w:rPr>
              <w:t>–</w:t>
            </w:r>
            <w:r w:rsidRPr="00F757CC">
              <w:rPr>
                <w:rFonts w:ascii="Arial" w:hAnsi="Arial" w:cs="Arial"/>
                <w:b/>
                <w:bCs/>
                <w:color w:val="000000"/>
                <w:sz w:val="20"/>
                <w:szCs w:val="20"/>
              </w:rPr>
              <w:t xml:space="preserve"> </w:t>
            </w:r>
          </w:p>
        </w:tc>
        <w:tc>
          <w:tcPr>
            <w:tcW w:w="1086" w:type="dxa"/>
            <w:tcBorders>
              <w:top w:val="single" w:sz="4" w:space="0" w:color="auto"/>
              <w:left w:val="nil"/>
              <w:bottom w:val="double" w:sz="6" w:space="0" w:color="auto"/>
              <w:right w:val="nil"/>
            </w:tcBorders>
            <w:shd w:val="clear" w:color="000000" w:fill="D9D9D9"/>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 </w:t>
            </w:r>
            <w:r w:rsidR="00FA5556">
              <w:rPr>
                <w:rFonts w:ascii="Arial" w:hAnsi="Arial" w:cs="Arial"/>
                <w:b/>
                <w:bCs/>
                <w:color w:val="000000"/>
                <w:sz w:val="20"/>
                <w:szCs w:val="20"/>
              </w:rPr>
              <w:t>–</w:t>
            </w:r>
            <w:r w:rsidRPr="00F757CC">
              <w:rPr>
                <w:rFonts w:ascii="Arial" w:hAnsi="Arial" w:cs="Arial"/>
                <w:b/>
                <w:bCs/>
                <w:color w:val="000000"/>
                <w:sz w:val="20"/>
                <w:szCs w:val="20"/>
              </w:rPr>
              <w:t xml:space="preserve"> </w:t>
            </w:r>
          </w:p>
        </w:tc>
        <w:tc>
          <w:tcPr>
            <w:tcW w:w="1086" w:type="dxa"/>
            <w:tcBorders>
              <w:top w:val="single" w:sz="4" w:space="0" w:color="auto"/>
              <w:left w:val="nil"/>
              <w:bottom w:val="double" w:sz="6" w:space="0" w:color="auto"/>
              <w:right w:val="nil"/>
            </w:tcBorders>
            <w:shd w:val="clear" w:color="000000" w:fill="D9D9D9"/>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2 </w:t>
            </w:r>
          </w:p>
        </w:tc>
        <w:tc>
          <w:tcPr>
            <w:tcW w:w="1086" w:type="dxa"/>
            <w:tcBorders>
              <w:top w:val="single" w:sz="4" w:space="0" w:color="auto"/>
              <w:left w:val="nil"/>
              <w:bottom w:val="double" w:sz="6" w:space="0" w:color="auto"/>
              <w:right w:val="nil"/>
            </w:tcBorders>
            <w:shd w:val="clear" w:color="000000" w:fill="D9D9D9"/>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11 </w:t>
            </w:r>
          </w:p>
        </w:tc>
      </w:tr>
      <w:tr w:rsidR="00F3112C" w:rsidRPr="00F757CC" w:rsidTr="00850383">
        <w:trPr>
          <w:trHeight w:val="300"/>
        </w:trPr>
        <w:tc>
          <w:tcPr>
            <w:tcW w:w="334" w:type="dxa"/>
            <w:tcBorders>
              <w:top w:val="nil"/>
              <w:left w:val="nil"/>
              <w:bottom w:val="nil"/>
              <w:right w:val="nil"/>
            </w:tcBorders>
            <w:shd w:val="clear" w:color="auto" w:fill="auto"/>
            <w:noWrap/>
            <w:vAlign w:val="bottom"/>
          </w:tcPr>
          <w:p w:rsidR="00F3112C" w:rsidRPr="00F3112C" w:rsidRDefault="00F3112C" w:rsidP="00F757CC">
            <w:pPr>
              <w:spacing w:before="0" w:line="240" w:lineRule="auto"/>
              <w:rPr>
                <w:rFonts w:ascii="Arial" w:hAnsi="Arial" w:cs="Arial"/>
                <w:bCs/>
                <w:color w:val="000000"/>
                <w:sz w:val="20"/>
                <w:szCs w:val="20"/>
              </w:rPr>
            </w:pPr>
          </w:p>
        </w:tc>
        <w:tc>
          <w:tcPr>
            <w:tcW w:w="9234" w:type="dxa"/>
            <w:gridSpan w:val="8"/>
            <w:tcBorders>
              <w:top w:val="nil"/>
              <w:left w:val="nil"/>
              <w:bottom w:val="nil"/>
              <w:right w:val="nil"/>
            </w:tcBorders>
            <w:shd w:val="clear" w:color="auto" w:fill="auto"/>
            <w:noWrap/>
            <w:vAlign w:val="bottom"/>
          </w:tcPr>
          <w:p w:rsidR="00F3112C" w:rsidRPr="00F757CC" w:rsidRDefault="00F3112C" w:rsidP="00F3112C">
            <w:pPr>
              <w:spacing w:before="40" w:after="40" w:line="240" w:lineRule="auto"/>
              <w:jc w:val="center"/>
              <w:rPr>
                <w:rFonts w:ascii="Arial" w:hAnsi="Arial" w:cs="Arial"/>
                <w:b/>
                <w:bCs/>
                <w:sz w:val="20"/>
                <w:szCs w:val="20"/>
              </w:rPr>
            </w:pPr>
          </w:p>
        </w:tc>
      </w:tr>
      <w:tr w:rsidR="00F3112C" w:rsidRPr="00F757CC" w:rsidTr="00850383">
        <w:trPr>
          <w:trHeight w:val="300"/>
        </w:trPr>
        <w:tc>
          <w:tcPr>
            <w:tcW w:w="334" w:type="dxa"/>
            <w:tcBorders>
              <w:top w:val="nil"/>
              <w:left w:val="nil"/>
              <w:bottom w:val="nil"/>
              <w:right w:val="nil"/>
            </w:tcBorders>
            <w:shd w:val="clear" w:color="auto" w:fill="auto"/>
            <w:noWrap/>
            <w:vAlign w:val="bottom"/>
            <w:hideMark/>
          </w:tcPr>
          <w:p w:rsidR="00F3112C" w:rsidRPr="00F3112C" w:rsidRDefault="00F3112C" w:rsidP="00B56C26">
            <w:pPr>
              <w:spacing w:before="40" w:after="40" w:line="240" w:lineRule="auto"/>
              <w:rPr>
                <w:rFonts w:ascii="Arial" w:hAnsi="Arial" w:cs="Arial"/>
                <w:bCs/>
                <w:color w:val="000000"/>
                <w:sz w:val="20"/>
                <w:szCs w:val="20"/>
              </w:rPr>
            </w:pPr>
          </w:p>
        </w:tc>
        <w:tc>
          <w:tcPr>
            <w:tcW w:w="9234" w:type="dxa"/>
            <w:gridSpan w:val="8"/>
            <w:tcBorders>
              <w:top w:val="nil"/>
              <w:left w:val="nil"/>
              <w:bottom w:val="nil"/>
              <w:right w:val="nil"/>
            </w:tcBorders>
            <w:shd w:val="clear" w:color="auto" w:fill="FFFFFF" w:themeFill="background1"/>
            <w:noWrap/>
            <w:vAlign w:val="bottom"/>
            <w:hideMark/>
          </w:tcPr>
          <w:p w:rsidR="00F3112C" w:rsidRPr="00F757CC" w:rsidRDefault="00F3112C" w:rsidP="00B56C26">
            <w:pPr>
              <w:spacing w:before="40" w:after="40" w:line="240" w:lineRule="auto"/>
              <w:jc w:val="center"/>
              <w:rPr>
                <w:rFonts w:ascii="Arial" w:hAnsi="Arial" w:cs="Arial"/>
                <w:b/>
                <w:bCs/>
                <w:sz w:val="20"/>
                <w:szCs w:val="20"/>
              </w:rPr>
            </w:pPr>
            <w:r w:rsidRPr="00F757CC">
              <w:rPr>
                <w:rFonts w:ascii="Arial" w:hAnsi="Arial" w:cs="Arial"/>
                <w:b/>
                <w:bCs/>
                <w:sz w:val="20"/>
                <w:szCs w:val="20"/>
              </w:rPr>
              <w:t>2013 Financial Assets Past Due But Not Impaired</w:t>
            </w:r>
          </w:p>
        </w:tc>
      </w:tr>
      <w:tr w:rsidR="00F3112C" w:rsidRPr="00F757CC" w:rsidTr="00850383">
        <w:trPr>
          <w:trHeight w:val="300"/>
        </w:trPr>
        <w:tc>
          <w:tcPr>
            <w:tcW w:w="334" w:type="dxa"/>
            <w:tcBorders>
              <w:top w:val="nil"/>
              <w:left w:val="nil"/>
              <w:bottom w:val="nil"/>
              <w:right w:val="nil"/>
            </w:tcBorders>
            <w:shd w:val="clear" w:color="auto" w:fill="auto"/>
            <w:noWrap/>
            <w:vAlign w:val="bottom"/>
            <w:hideMark/>
          </w:tcPr>
          <w:p w:rsidR="00F3112C" w:rsidRPr="00F3112C" w:rsidRDefault="00F3112C" w:rsidP="00F3112C">
            <w:pPr>
              <w:spacing w:before="0" w:line="240" w:lineRule="auto"/>
              <w:rPr>
                <w:rFonts w:ascii="Arial" w:hAnsi="Arial" w:cs="Arial"/>
                <w:bCs/>
                <w:color w:val="000000"/>
                <w:sz w:val="20"/>
                <w:szCs w:val="20"/>
              </w:rPr>
            </w:pPr>
          </w:p>
        </w:tc>
        <w:tc>
          <w:tcPr>
            <w:tcW w:w="1021" w:type="dxa"/>
            <w:tcBorders>
              <w:top w:val="nil"/>
              <w:left w:val="nil"/>
              <w:bottom w:val="nil"/>
              <w:right w:val="nil"/>
            </w:tcBorders>
            <w:shd w:val="clear" w:color="auto" w:fill="FFFFFF" w:themeFill="background1"/>
            <w:noWrap/>
            <w:vAlign w:val="bottom"/>
            <w:hideMark/>
          </w:tcPr>
          <w:p w:rsidR="00F3112C" w:rsidRPr="00F757CC" w:rsidRDefault="00F3112C" w:rsidP="00F3112C">
            <w:pPr>
              <w:spacing w:before="0" w:line="240" w:lineRule="auto"/>
              <w:rPr>
                <w:rFonts w:ascii="Arial" w:hAnsi="Arial" w:cs="Arial"/>
                <w:color w:val="000000"/>
                <w:sz w:val="20"/>
                <w:szCs w:val="20"/>
              </w:rPr>
            </w:pPr>
          </w:p>
        </w:tc>
        <w:tc>
          <w:tcPr>
            <w:tcW w:w="1694" w:type="dxa"/>
            <w:tcBorders>
              <w:top w:val="nil"/>
              <w:left w:val="nil"/>
              <w:bottom w:val="nil"/>
              <w:right w:val="nil"/>
            </w:tcBorders>
            <w:shd w:val="clear" w:color="auto" w:fill="FFFFFF" w:themeFill="background1"/>
            <w:noWrap/>
            <w:vAlign w:val="bottom"/>
            <w:hideMark/>
          </w:tcPr>
          <w:p w:rsidR="00F3112C" w:rsidRPr="00F757CC" w:rsidRDefault="00F3112C" w:rsidP="00F3112C">
            <w:pPr>
              <w:spacing w:before="0" w:line="240" w:lineRule="auto"/>
              <w:rPr>
                <w:rFonts w:ascii="Arial" w:hAnsi="Arial" w:cs="Arial"/>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F3112C">
            <w:pPr>
              <w:spacing w:before="0" w:line="240" w:lineRule="auto"/>
              <w:jc w:val="center"/>
              <w:rPr>
                <w:rFonts w:ascii="Arial" w:hAnsi="Arial" w:cs="Arial"/>
                <w:b/>
                <w:bCs/>
                <w:sz w:val="20"/>
                <w:szCs w:val="20"/>
              </w:rPr>
            </w:pPr>
            <w:r w:rsidRPr="00F757CC">
              <w:rPr>
                <w:rFonts w:ascii="Arial" w:hAnsi="Arial" w:cs="Arial"/>
                <w:b/>
                <w:bCs/>
                <w:sz w:val="20"/>
                <w:szCs w:val="20"/>
              </w:rPr>
              <w:t>Due</w:t>
            </w:r>
          </w:p>
        </w:tc>
        <w:tc>
          <w:tcPr>
            <w:tcW w:w="5432"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12C" w:rsidRPr="00F757CC" w:rsidRDefault="00F3112C" w:rsidP="00F3112C">
            <w:pPr>
              <w:spacing w:before="0" w:line="240" w:lineRule="auto"/>
              <w:jc w:val="center"/>
              <w:rPr>
                <w:rFonts w:ascii="Arial" w:hAnsi="Arial" w:cs="Arial"/>
                <w:b/>
                <w:bCs/>
                <w:sz w:val="20"/>
                <w:szCs w:val="20"/>
              </w:rPr>
            </w:pPr>
            <w:r w:rsidRPr="00F757CC">
              <w:rPr>
                <w:rFonts w:ascii="Arial" w:hAnsi="Arial" w:cs="Arial"/>
                <w:b/>
                <w:bCs/>
                <w:sz w:val="20"/>
                <w:szCs w:val="20"/>
              </w:rPr>
              <w:t>Overdue</w:t>
            </w:r>
          </w:p>
        </w:tc>
      </w:tr>
      <w:tr w:rsidR="00F3112C" w:rsidRPr="00F757CC" w:rsidTr="00850383">
        <w:trPr>
          <w:trHeight w:val="300"/>
        </w:trPr>
        <w:tc>
          <w:tcPr>
            <w:tcW w:w="334" w:type="dxa"/>
            <w:tcBorders>
              <w:top w:val="nil"/>
              <w:left w:val="nil"/>
              <w:bottom w:val="nil"/>
              <w:right w:val="nil"/>
            </w:tcBorders>
            <w:shd w:val="clear" w:color="auto" w:fill="auto"/>
            <w:noWrap/>
            <w:vAlign w:val="bottom"/>
            <w:hideMark/>
          </w:tcPr>
          <w:p w:rsidR="00F3112C" w:rsidRPr="00F3112C" w:rsidRDefault="00F3112C" w:rsidP="00F3112C">
            <w:pPr>
              <w:spacing w:before="0" w:line="240" w:lineRule="auto"/>
              <w:rPr>
                <w:rFonts w:ascii="Arial" w:hAnsi="Arial" w:cs="Arial"/>
                <w:bCs/>
                <w:color w:val="000000"/>
                <w:sz w:val="20"/>
                <w:szCs w:val="20"/>
              </w:rPr>
            </w:pPr>
          </w:p>
        </w:tc>
        <w:tc>
          <w:tcPr>
            <w:tcW w:w="1021" w:type="dxa"/>
            <w:tcBorders>
              <w:top w:val="nil"/>
              <w:left w:val="nil"/>
              <w:bottom w:val="nil"/>
              <w:right w:val="nil"/>
            </w:tcBorders>
            <w:shd w:val="clear" w:color="auto" w:fill="FFFFFF" w:themeFill="background1"/>
            <w:noWrap/>
            <w:vAlign w:val="bottom"/>
            <w:hideMark/>
          </w:tcPr>
          <w:p w:rsidR="00F3112C" w:rsidRPr="00F757CC" w:rsidRDefault="00F3112C" w:rsidP="00F3112C">
            <w:pPr>
              <w:spacing w:before="0" w:line="240" w:lineRule="auto"/>
              <w:rPr>
                <w:rFonts w:ascii="Arial" w:hAnsi="Arial" w:cs="Arial"/>
                <w:color w:val="000000"/>
                <w:sz w:val="20"/>
                <w:szCs w:val="20"/>
              </w:rPr>
            </w:pPr>
          </w:p>
        </w:tc>
        <w:tc>
          <w:tcPr>
            <w:tcW w:w="1694" w:type="dxa"/>
            <w:tcBorders>
              <w:top w:val="nil"/>
              <w:left w:val="nil"/>
              <w:bottom w:val="nil"/>
              <w:right w:val="single" w:sz="4" w:space="0" w:color="auto"/>
            </w:tcBorders>
            <w:shd w:val="clear" w:color="auto" w:fill="FFFFFF" w:themeFill="background1"/>
            <w:noWrap/>
            <w:vAlign w:val="bottom"/>
            <w:hideMark/>
          </w:tcPr>
          <w:p w:rsidR="00F3112C" w:rsidRPr="00F757CC" w:rsidRDefault="00F3112C" w:rsidP="00F3112C">
            <w:pPr>
              <w:spacing w:before="0" w:line="240" w:lineRule="auto"/>
              <w:rPr>
                <w:rFonts w:ascii="Arial" w:hAnsi="Arial" w:cs="Arial"/>
                <w:sz w:val="20"/>
                <w:szCs w:val="20"/>
              </w:rPr>
            </w:pPr>
          </w:p>
        </w:tc>
        <w:tc>
          <w:tcPr>
            <w:tcW w:w="10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F3112C">
            <w:pPr>
              <w:spacing w:before="0" w:line="240" w:lineRule="auto"/>
              <w:jc w:val="center"/>
              <w:rPr>
                <w:rFonts w:ascii="Arial" w:hAnsi="Arial" w:cs="Arial"/>
                <w:sz w:val="20"/>
                <w:szCs w:val="20"/>
              </w:rPr>
            </w:pPr>
            <w:r w:rsidRPr="00F757CC">
              <w:rPr>
                <w:rFonts w:ascii="Arial" w:hAnsi="Arial" w:cs="Arial"/>
                <w:sz w:val="20"/>
                <w:szCs w:val="20"/>
              </w:rPr>
              <w:t>Not</w:t>
            </w:r>
            <w:r>
              <w:rPr>
                <w:rFonts w:ascii="Arial" w:hAnsi="Arial" w:cs="Arial"/>
                <w:sz w:val="20"/>
                <w:szCs w:val="20"/>
              </w:rPr>
              <w:t xml:space="preserve"> </w:t>
            </w:r>
            <w:r w:rsidRPr="00F757CC">
              <w:rPr>
                <w:rFonts w:ascii="Arial" w:hAnsi="Arial" w:cs="Arial"/>
                <w:color w:val="000000"/>
                <w:sz w:val="20"/>
                <w:szCs w:val="20"/>
              </w:rPr>
              <w:t>overdue</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F3112C">
            <w:pPr>
              <w:spacing w:before="0" w:line="240" w:lineRule="auto"/>
              <w:jc w:val="center"/>
              <w:rPr>
                <w:rFonts w:ascii="Arial" w:hAnsi="Arial" w:cs="Arial"/>
                <w:sz w:val="20"/>
                <w:szCs w:val="20"/>
              </w:rPr>
            </w:pPr>
            <w:r w:rsidRPr="00F757CC">
              <w:rPr>
                <w:rFonts w:ascii="Arial" w:hAnsi="Arial" w:cs="Arial"/>
                <w:sz w:val="20"/>
                <w:szCs w:val="20"/>
              </w:rPr>
              <w:t>Less than</w:t>
            </w:r>
            <w:r>
              <w:rPr>
                <w:rFonts w:ascii="Arial" w:hAnsi="Arial" w:cs="Arial"/>
                <w:sz w:val="20"/>
                <w:szCs w:val="20"/>
              </w:rPr>
              <w:t xml:space="preserve"> </w:t>
            </w:r>
            <w:r>
              <w:rPr>
                <w:rFonts w:ascii="Arial" w:hAnsi="Arial" w:cs="Arial"/>
                <w:color w:val="000000"/>
                <w:sz w:val="20"/>
                <w:szCs w:val="20"/>
              </w:rPr>
              <w:t>30 </w:t>
            </w:r>
            <w:r w:rsidRPr="00F757CC">
              <w:rPr>
                <w:rFonts w:ascii="Arial" w:hAnsi="Arial" w:cs="Arial"/>
                <w:color w:val="000000"/>
                <w:sz w:val="20"/>
                <w:szCs w:val="20"/>
              </w:rPr>
              <w:t>days</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F3112C">
            <w:pPr>
              <w:spacing w:before="0" w:line="240" w:lineRule="auto"/>
              <w:jc w:val="center"/>
              <w:rPr>
                <w:rFonts w:ascii="Arial" w:hAnsi="Arial" w:cs="Arial"/>
                <w:sz w:val="20"/>
                <w:szCs w:val="20"/>
              </w:rPr>
            </w:pPr>
            <w:r w:rsidRPr="00F757CC">
              <w:rPr>
                <w:rFonts w:ascii="Arial" w:hAnsi="Arial" w:cs="Arial"/>
                <w:sz w:val="20"/>
                <w:szCs w:val="20"/>
              </w:rPr>
              <w:t>30</w:t>
            </w:r>
            <w:r w:rsidR="00FA5556">
              <w:rPr>
                <w:rFonts w:ascii="Arial" w:hAnsi="Arial" w:cs="Arial"/>
                <w:sz w:val="20"/>
                <w:szCs w:val="20"/>
              </w:rPr>
              <w:t>–</w:t>
            </w:r>
            <w:r w:rsidRPr="00F757CC">
              <w:rPr>
                <w:rFonts w:ascii="Arial" w:hAnsi="Arial" w:cs="Arial"/>
                <w:sz w:val="20"/>
                <w:szCs w:val="20"/>
              </w:rPr>
              <w:t>60</w:t>
            </w:r>
            <w:r>
              <w:rPr>
                <w:rFonts w:ascii="Arial" w:hAnsi="Arial" w:cs="Arial"/>
                <w:sz w:val="20"/>
                <w:szCs w:val="20"/>
              </w:rPr>
              <w:t xml:space="preserve"> </w:t>
            </w:r>
            <w:r w:rsidRPr="00F757CC">
              <w:rPr>
                <w:rFonts w:ascii="Arial" w:hAnsi="Arial" w:cs="Arial"/>
                <w:color w:val="000000"/>
                <w:sz w:val="20"/>
                <w:szCs w:val="20"/>
              </w:rPr>
              <w:t>days</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F3112C">
            <w:pPr>
              <w:spacing w:before="0" w:line="240" w:lineRule="auto"/>
              <w:jc w:val="center"/>
              <w:rPr>
                <w:rFonts w:ascii="Arial" w:hAnsi="Arial" w:cs="Arial"/>
                <w:sz w:val="20"/>
                <w:szCs w:val="20"/>
              </w:rPr>
            </w:pPr>
            <w:r w:rsidRPr="00F757CC">
              <w:rPr>
                <w:rFonts w:ascii="Arial" w:hAnsi="Arial" w:cs="Arial"/>
                <w:sz w:val="20"/>
                <w:szCs w:val="20"/>
              </w:rPr>
              <w:t>61</w:t>
            </w:r>
            <w:r w:rsidR="00FA5556">
              <w:rPr>
                <w:rFonts w:ascii="Arial" w:hAnsi="Arial" w:cs="Arial"/>
                <w:sz w:val="20"/>
                <w:szCs w:val="20"/>
              </w:rPr>
              <w:t>–</w:t>
            </w:r>
            <w:r w:rsidRPr="00F757CC">
              <w:rPr>
                <w:rFonts w:ascii="Arial" w:hAnsi="Arial" w:cs="Arial"/>
                <w:sz w:val="20"/>
                <w:szCs w:val="20"/>
              </w:rPr>
              <w:t>90</w:t>
            </w:r>
            <w:r>
              <w:rPr>
                <w:rFonts w:ascii="Arial" w:hAnsi="Arial" w:cs="Arial"/>
                <w:sz w:val="20"/>
                <w:szCs w:val="20"/>
              </w:rPr>
              <w:t xml:space="preserve"> </w:t>
            </w:r>
            <w:r w:rsidRPr="00F757CC">
              <w:rPr>
                <w:rFonts w:ascii="Arial" w:hAnsi="Arial" w:cs="Arial"/>
                <w:color w:val="000000"/>
                <w:sz w:val="20"/>
                <w:szCs w:val="20"/>
              </w:rPr>
              <w:t>days</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F3112C">
            <w:pPr>
              <w:spacing w:before="0" w:line="240" w:lineRule="auto"/>
              <w:jc w:val="center"/>
              <w:rPr>
                <w:rFonts w:ascii="Arial" w:hAnsi="Arial" w:cs="Arial"/>
                <w:color w:val="000000"/>
                <w:sz w:val="20"/>
                <w:szCs w:val="20"/>
              </w:rPr>
            </w:pPr>
            <w:r w:rsidRPr="00F757CC">
              <w:rPr>
                <w:rFonts w:ascii="Arial" w:hAnsi="Arial" w:cs="Arial"/>
                <w:color w:val="000000"/>
                <w:sz w:val="20"/>
                <w:szCs w:val="20"/>
              </w:rPr>
              <w:t>More than</w:t>
            </w:r>
            <w:r>
              <w:rPr>
                <w:rFonts w:ascii="Arial" w:hAnsi="Arial" w:cs="Arial"/>
                <w:color w:val="000000"/>
                <w:sz w:val="20"/>
                <w:szCs w:val="20"/>
              </w:rPr>
              <w:t xml:space="preserve"> </w:t>
            </w:r>
            <w:r w:rsidRPr="00F757CC">
              <w:rPr>
                <w:rFonts w:ascii="Arial" w:hAnsi="Arial" w:cs="Arial"/>
                <w:color w:val="000000"/>
                <w:sz w:val="20"/>
                <w:szCs w:val="20"/>
              </w:rPr>
              <w:t>90 days</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F3112C">
            <w:pPr>
              <w:spacing w:before="0" w:line="240" w:lineRule="auto"/>
              <w:jc w:val="center"/>
              <w:rPr>
                <w:rFonts w:ascii="Arial" w:hAnsi="Arial" w:cs="Arial"/>
                <w:color w:val="000000"/>
                <w:sz w:val="20"/>
                <w:szCs w:val="20"/>
              </w:rPr>
            </w:pPr>
            <w:r w:rsidRPr="00F757CC">
              <w:rPr>
                <w:rFonts w:ascii="Arial" w:hAnsi="Arial" w:cs="Arial"/>
                <w:color w:val="000000"/>
                <w:sz w:val="20"/>
                <w:szCs w:val="20"/>
              </w:rPr>
              <w:t>Total</w:t>
            </w:r>
            <w:r>
              <w:rPr>
                <w:rFonts w:ascii="Arial" w:hAnsi="Arial" w:cs="Arial"/>
                <w:color w:val="000000"/>
                <w:sz w:val="20"/>
                <w:szCs w:val="20"/>
              </w:rPr>
              <w:t xml:space="preserve"> </w:t>
            </w:r>
            <w:r w:rsidRPr="00F757CC">
              <w:rPr>
                <w:rFonts w:ascii="Arial" w:hAnsi="Arial" w:cs="Arial"/>
                <w:color w:val="000000"/>
                <w:sz w:val="20"/>
                <w:szCs w:val="20"/>
              </w:rPr>
              <w:t>overdue</w:t>
            </w:r>
          </w:p>
        </w:tc>
      </w:tr>
      <w:tr w:rsidR="00D21CE7" w:rsidRPr="00F757CC" w:rsidTr="00850383">
        <w:trPr>
          <w:trHeight w:val="300"/>
        </w:trPr>
        <w:tc>
          <w:tcPr>
            <w:tcW w:w="334" w:type="dxa"/>
            <w:tcBorders>
              <w:top w:val="nil"/>
              <w:left w:val="nil"/>
              <w:bottom w:val="nil"/>
              <w:right w:val="nil"/>
            </w:tcBorders>
            <w:shd w:val="clear" w:color="auto" w:fill="auto"/>
            <w:noWrap/>
            <w:vAlign w:val="bottom"/>
            <w:hideMark/>
          </w:tcPr>
          <w:p w:rsidR="00F3112C" w:rsidRPr="00F3112C" w:rsidRDefault="00F3112C" w:rsidP="009336E9">
            <w:pPr>
              <w:spacing w:before="0" w:line="240" w:lineRule="auto"/>
              <w:rPr>
                <w:rFonts w:ascii="Arial" w:hAnsi="Arial" w:cs="Arial"/>
                <w:bCs/>
                <w:color w:val="000000"/>
                <w:sz w:val="20"/>
                <w:szCs w:val="20"/>
              </w:rPr>
            </w:pPr>
          </w:p>
        </w:tc>
        <w:tc>
          <w:tcPr>
            <w:tcW w:w="1021" w:type="dxa"/>
            <w:tcBorders>
              <w:top w:val="nil"/>
              <w:left w:val="nil"/>
              <w:bottom w:val="nil"/>
              <w:right w:val="nil"/>
            </w:tcBorders>
            <w:shd w:val="clear" w:color="auto" w:fill="FFFFFF" w:themeFill="background1"/>
            <w:noWrap/>
            <w:vAlign w:val="bottom"/>
            <w:hideMark/>
          </w:tcPr>
          <w:p w:rsidR="00F3112C" w:rsidRPr="00F757CC" w:rsidRDefault="00F3112C" w:rsidP="009336E9">
            <w:pPr>
              <w:spacing w:before="0" w:line="240" w:lineRule="auto"/>
              <w:rPr>
                <w:rFonts w:ascii="Arial" w:hAnsi="Arial" w:cs="Arial"/>
                <w:color w:val="000000"/>
                <w:sz w:val="20"/>
                <w:szCs w:val="20"/>
              </w:rPr>
            </w:pPr>
          </w:p>
        </w:tc>
        <w:tc>
          <w:tcPr>
            <w:tcW w:w="1694" w:type="dxa"/>
            <w:tcBorders>
              <w:top w:val="nil"/>
              <w:left w:val="nil"/>
              <w:bottom w:val="nil"/>
              <w:right w:val="single" w:sz="4" w:space="0" w:color="auto"/>
            </w:tcBorders>
            <w:shd w:val="clear" w:color="auto" w:fill="FFFFFF" w:themeFill="background1"/>
            <w:noWrap/>
            <w:vAlign w:val="bottom"/>
            <w:hideMark/>
          </w:tcPr>
          <w:p w:rsidR="00F3112C" w:rsidRPr="00F757CC" w:rsidRDefault="00F3112C" w:rsidP="009336E9">
            <w:pPr>
              <w:spacing w:before="0" w:line="240" w:lineRule="auto"/>
              <w:rPr>
                <w:rFonts w:ascii="Arial" w:hAnsi="Arial" w:cs="Arial"/>
                <w:color w:val="000000"/>
                <w:sz w:val="20"/>
                <w:szCs w:val="20"/>
              </w:rPr>
            </w:pPr>
          </w:p>
        </w:tc>
        <w:tc>
          <w:tcPr>
            <w:tcW w:w="1087"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9336E9">
            <w:pPr>
              <w:spacing w:before="0" w:line="240" w:lineRule="auto"/>
              <w:jc w:val="center"/>
              <w:rPr>
                <w:rFonts w:ascii="Arial" w:hAnsi="Arial" w:cs="Arial"/>
                <w:color w:val="000000"/>
                <w:sz w:val="20"/>
                <w:szCs w:val="20"/>
              </w:rPr>
            </w:pPr>
          </w:p>
        </w:tc>
        <w:tc>
          <w:tcPr>
            <w:tcW w:w="108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9336E9">
            <w:pPr>
              <w:spacing w:before="0" w:line="240" w:lineRule="auto"/>
              <w:jc w:val="center"/>
              <w:rPr>
                <w:rFonts w:ascii="Arial" w:hAnsi="Arial" w:cs="Arial"/>
                <w:color w:val="000000"/>
                <w:sz w:val="20"/>
                <w:szCs w:val="20"/>
              </w:rPr>
            </w:pPr>
          </w:p>
        </w:tc>
        <w:tc>
          <w:tcPr>
            <w:tcW w:w="1086"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9336E9">
            <w:pPr>
              <w:spacing w:before="0" w:line="240" w:lineRule="auto"/>
              <w:jc w:val="center"/>
              <w:rPr>
                <w:rFonts w:ascii="Arial" w:hAnsi="Arial" w:cs="Arial"/>
                <w:color w:val="000000"/>
                <w:sz w:val="20"/>
                <w:szCs w:val="20"/>
              </w:rPr>
            </w:pPr>
          </w:p>
        </w:tc>
        <w:tc>
          <w:tcPr>
            <w:tcW w:w="1086"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9336E9">
            <w:pPr>
              <w:spacing w:before="0" w:line="240" w:lineRule="auto"/>
              <w:jc w:val="center"/>
              <w:rPr>
                <w:rFonts w:ascii="Arial" w:hAnsi="Arial" w:cs="Arial"/>
                <w:color w:val="000000"/>
                <w:sz w:val="20"/>
                <w:szCs w:val="20"/>
              </w:rPr>
            </w:pPr>
          </w:p>
        </w:tc>
        <w:tc>
          <w:tcPr>
            <w:tcW w:w="1086"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9336E9">
            <w:pPr>
              <w:spacing w:before="0" w:line="240" w:lineRule="auto"/>
              <w:jc w:val="center"/>
              <w:rPr>
                <w:rFonts w:ascii="Arial" w:hAnsi="Arial" w:cs="Arial"/>
                <w:color w:val="000000"/>
                <w:sz w:val="20"/>
                <w:szCs w:val="20"/>
              </w:rPr>
            </w:pPr>
          </w:p>
        </w:tc>
        <w:tc>
          <w:tcPr>
            <w:tcW w:w="1086"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3112C" w:rsidRPr="00F757CC" w:rsidRDefault="00F3112C" w:rsidP="009336E9">
            <w:pPr>
              <w:spacing w:before="0" w:line="240" w:lineRule="auto"/>
              <w:jc w:val="center"/>
              <w:rPr>
                <w:rFonts w:ascii="Arial" w:hAnsi="Arial" w:cs="Arial"/>
                <w:color w:val="000000"/>
                <w:sz w:val="20"/>
                <w:szCs w:val="20"/>
              </w:rPr>
            </w:pPr>
          </w:p>
        </w:tc>
      </w:tr>
      <w:tr w:rsidR="00F757CC" w:rsidRPr="00F757CC" w:rsidTr="00850383">
        <w:trPr>
          <w:trHeight w:val="300"/>
        </w:trPr>
        <w:tc>
          <w:tcPr>
            <w:tcW w:w="334" w:type="dxa"/>
            <w:tcBorders>
              <w:top w:val="nil"/>
              <w:left w:val="nil"/>
              <w:bottom w:val="nil"/>
              <w:right w:val="nil"/>
            </w:tcBorders>
            <w:shd w:val="clear" w:color="auto" w:fill="auto"/>
            <w:noWrap/>
            <w:vAlign w:val="bottom"/>
            <w:hideMark/>
          </w:tcPr>
          <w:p w:rsidR="00F757CC" w:rsidRPr="00F3112C" w:rsidRDefault="00F757CC" w:rsidP="00B56C26">
            <w:pPr>
              <w:spacing w:before="40" w:line="240" w:lineRule="auto"/>
              <w:rPr>
                <w:rFonts w:ascii="Arial" w:hAnsi="Arial" w:cs="Arial"/>
                <w:bCs/>
                <w:color w:val="000000"/>
                <w:sz w:val="20"/>
                <w:szCs w:val="20"/>
              </w:rPr>
            </w:pPr>
          </w:p>
        </w:tc>
        <w:tc>
          <w:tcPr>
            <w:tcW w:w="2715" w:type="dxa"/>
            <w:gridSpan w:val="2"/>
            <w:tcBorders>
              <w:top w:val="nil"/>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rPr>
                <w:rFonts w:ascii="Arial" w:hAnsi="Arial" w:cs="Arial"/>
                <w:b/>
                <w:bCs/>
                <w:color w:val="000000"/>
                <w:sz w:val="20"/>
                <w:szCs w:val="20"/>
              </w:rPr>
            </w:pPr>
            <w:r w:rsidRPr="00F757CC">
              <w:rPr>
                <w:rFonts w:ascii="Arial" w:hAnsi="Arial" w:cs="Arial"/>
                <w:b/>
                <w:bCs/>
                <w:color w:val="000000"/>
                <w:sz w:val="20"/>
                <w:szCs w:val="20"/>
              </w:rPr>
              <w:t>Financial Assets</w:t>
            </w:r>
          </w:p>
        </w:tc>
        <w:tc>
          <w:tcPr>
            <w:tcW w:w="1087" w:type="dxa"/>
            <w:tcBorders>
              <w:top w:val="single" w:sz="4" w:space="0" w:color="auto"/>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8" w:type="dxa"/>
            <w:tcBorders>
              <w:top w:val="single" w:sz="4" w:space="0" w:color="auto"/>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6" w:type="dxa"/>
            <w:tcBorders>
              <w:top w:val="single" w:sz="4" w:space="0" w:color="auto"/>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6" w:type="dxa"/>
            <w:tcBorders>
              <w:top w:val="single" w:sz="4" w:space="0" w:color="auto"/>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6" w:type="dxa"/>
            <w:tcBorders>
              <w:top w:val="single" w:sz="4" w:space="0" w:color="auto"/>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c>
          <w:tcPr>
            <w:tcW w:w="1086" w:type="dxa"/>
            <w:tcBorders>
              <w:top w:val="single" w:sz="4" w:space="0" w:color="auto"/>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$'000 </w:t>
            </w:r>
          </w:p>
        </w:tc>
      </w:tr>
      <w:tr w:rsidR="00F757CC" w:rsidRPr="00F757CC" w:rsidTr="00850383">
        <w:trPr>
          <w:trHeight w:val="300"/>
        </w:trPr>
        <w:tc>
          <w:tcPr>
            <w:tcW w:w="334" w:type="dxa"/>
            <w:tcBorders>
              <w:top w:val="nil"/>
              <w:left w:val="nil"/>
              <w:bottom w:val="nil"/>
              <w:right w:val="nil"/>
            </w:tcBorders>
            <w:shd w:val="clear" w:color="auto" w:fill="auto"/>
            <w:noWrap/>
            <w:vAlign w:val="bottom"/>
            <w:hideMark/>
          </w:tcPr>
          <w:p w:rsidR="00F757CC" w:rsidRPr="00F3112C" w:rsidRDefault="00F757CC" w:rsidP="00B56C26">
            <w:pPr>
              <w:spacing w:before="40" w:line="240" w:lineRule="auto"/>
              <w:rPr>
                <w:rFonts w:ascii="Arial" w:hAnsi="Arial" w:cs="Arial"/>
                <w:bCs/>
                <w:color w:val="000000"/>
                <w:sz w:val="20"/>
                <w:szCs w:val="20"/>
              </w:rPr>
            </w:pPr>
          </w:p>
        </w:tc>
        <w:tc>
          <w:tcPr>
            <w:tcW w:w="2715" w:type="dxa"/>
            <w:gridSpan w:val="2"/>
            <w:tcBorders>
              <w:top w:val="nil"/>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rPr>
                <w:rFonts w:ascii="Arial" w:hAnsi="Arial" w:cs="Arial"/>
                <w:color w:val="000000"/>
                <w:sz w:val="20"/>
                <w:szCs w:val="20"/>
              </w:rPr>
            </w:pPr>
            <w:r w:rsidRPr="00F757CC">
              <w:rPr>
                <w:rFonts w:ascii="Arial" w:hAnsi="Arial" w:cs="Arial"/>
                <w:color w:val="000000"/>
                <w:sz w:val="20"/>
                <w:szCs w:val="20"/>
              </w:rPr>
              <w:t>Receivab</w:t>
            </w:r>
            <w:r w:rsidR="00FA5556">
              <w:rPr>
                <w:rFonts w:ascii="Arial" w:hAnsi="Arial" w:cs="Arial"/>
                <w:color w:val="000000"/>
                <w:sz w:val="20"/>
                <w:szCs w:val="20"/>
              </w:rPr>
              <w:t>les –</w:t>
            </w:r>
            <w:r w:rsidRPr="00F757CC">
              <w:rPr>
                <w:rFonts w:ascii="Arial" w:hAnsi="Arial" w:cs="Arial"/>
                <w:color w:val="000000"/>
                <w:sz w:val="20"/>
                <w:szCs w:val="20"/>
              </w:rPr>
              <w:t xml:space="preserve"> trade debtors</w:t>
            </w:r>
          </w:p>
        </w:tc>
        <w:tc>
          <w:tcPr>
            <w:tcW w:w="1087" w:type="dxa"/>
            <w:tcBorders>
              <w:top w:val="nil"/>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220 </w:t>
            </w:r>
          </w:p>
        </w:tc>
        <w:tc>
          <w:tcPr>
            <w:tcW w:w="1088" w:type="dxa"/>
            <w:tcBorders>
              <w:top w:val="nil"/>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15 </w:t>
            </w:r>
          </w:p>
        </w:tc>
        <w:tc>
          <w:tcPr>
            <w:tcW w:w="1086" w:type="dxa"/>
            <w:tcBorders>
              <w:top w:val="nil"/>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34 </w:t>
            </w:r>
          </w:p>
        </w:tc>
        <w:tc>
          <w:tcPr>
            <w:tcW w:w="1086" w:type="dxa"/>
            <w:tcBorders>
              <w:top w:val="nil"/>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 </w:t>
            </w:r>
            <w:r w:rsidR="00FA5556">
              <w:rPr>
                <w:rFonts w:ascii="Arial" w:hAnsi="Arial" w:cs="Arial"/>
                <w:color w:val="000000"/>
                <w:sz w:val="20"/>
                <w:szCs w:val="20"/>
              </w:rPr>
              <w:t>–</w:t>
            </w:r>
            <w:r w:rsidRPr="00F757CC">
              <w:rPr>
                <w:rFonts w:ascii="Arial" w:hAnsi="Arial" w:cs="Arial"/>
                <w:color w:val="000000"/>
                <w:sz w:val="20"/>
                <w:szCs w:val="20"/>
              </w:rPr>
              <w:t xml:space="preserve"> </w:t>
            </w:r>
          </w:p>
        </w:tc>
        <w:tc>
          <w:tcPr>
            <w:tcW w:w="1086" w:type="dxa"/>
            <w:tcBorders>
              <w:top w:val="nil"/>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 </w:t>
            </w:r>
            <w:r w:rsidR="00FA5556">
              <w:rPr>
                <w:rFonts w:ascii="Arial" w:hAnsi="Arial" w:cs="Arial"/>
                <w:color w:val="000000"/>
                <w:sz w:val="20"/>
                <w:szCs w:val="20"/>
              </w:rPr>
              <w:t>–</w:t>
            </w:r>
            <w:r w:rsidRPr="00F757CC">
              <w:rPr>
                <w:rFonts w:ascii="Arial" w:hAnsi="Arial" w:cs="Arial"/>
                <w:color w:val="000000"/>
                <w:sz w:val="20"/>
                <w:szCs w:val="20"/>
              </w:rPr>
              <w:t xml:space="preserve"> </w:t>
            </w:r>
          </w:p>
        </w:tc>
        <w:tc>
          <w:tcPr>
            <w:tcW w:w="1086" w:type="dxa"/>
            <w:tcBorders>
              <w:top w:val="nil"/>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color w:val="000000"/>
                <w:sz w:val="20"/>
                <w:szCs w:val="20"/>
              </w:rPr>
            </w:pPr>
            <w:r w:rsidRPr="00F757CC">
              <w:rPr>
                <w:rFonts w:ascii="Arial" w:hAnsi="Arial" w:cs="Arial"/>
                <w:color w:val="000000"/>
                <w:sz w:val="20"/>
                <w:szCs w:val="20"/>
              </w:rPr>
              <w:t xml:space="preserve">49 </w:t>
            </w:r>
          </w:p>
        </w:tc>
      </w:tr>
      <w:tr w:rsidR="00F757CC" w:rsidRPr="00F757CC" w:rsidTr="00850383">
        <w:trPr>
          <w:trHeight w:val="300"/>
        </w:trPr>
        <w:tc>
          <w:tcPr>
            <w:tcW w:w="334" w:type="dxa"/>
            <w:tcBorders>
              <w:top w:val="nil"/>
              <w:left w:val="nil"/>
              <w:bottom w:val="nil"/>
              <w:right w:val="nil"/>
            </w:tcBorders>
            <w:shd w:val="clear" w:color="auto" w:fill="auto"/>
            <w:noWrap/>
            <w:vAlign w:val="bottom"/>
            <w:hideMark/>
          </w:tcPr>
          <w:p w:rsidR="00F757CC" w:rsidRPr="00F3112C" w:rsidRDefault="00F757CC" w:rsidP="00B56C26">
            <w:pPr>
              <w:spacing w:before="40" w:line="240" w:lineRule="auto"/>
              <w:rPr>
                <w:rFonts w:ascii="Arial" w:hAnsi="Arial" w:cs="Arial"/>
                <w:bCs/>
                <w:color w:val="000000"/>
                <w:sz w:val="20"/>
                <w:szCs w:val="20"/>
              </w:rPr>
            </w:pPr>
          </w:p>
        </w:tc>
        <w:tc>
          <w:tcPr>
            <w:tcW w:w="2715" w:type="dxa"/>
            <w:gridSpan w:val="2"/>
            <w:tcBorders>
              <w:top w:val="nil"/>
              <w:left w:val="nil"/>
              <w:bottom w:val="nil"/>
              <w:right w:val="nil"/>
            </w:tcBorders>
            <w:shd w:val="clear" w:color="auto" w:fill="FFFFFF" w:themeFill="background1"/>
            <w:noWrap/>
            <w:vAlign w:val="bottom"/>
            <w:hideMark/>
          </w:tcPr>
          <w:p w:rsidR="00F757CC" w:rsidRPr="00F757CC" w:rsidRDefault="00F757CC" w:rsidP="00B56C26">
            <w:pPr>
              <w:spacing w:before="40" w:line="240" w:lineRule="auto"/>
              <w:rPr>
                <w:rFonts w:ascii="Arial" w:hAnsi="Arial" w:cs="Arial"/>
                <w:b/>
                <w:bCs/>
                <w:color w:val="000000"/>
                <w:sz w:val="20"/>
                <w:szCs w:val="20"/>
              </w:rPr>
            </w:pPr>
            <w:r w:rsidRPr="00F757CC">
              <w:rPr>
                <w:rFonts w:ascii="Arial" w:hAnsi="Arial" w:cs="Arial"/>
                <w:b/>
                <w:bCs/>
                <w:color w:val="000000"/>
                <w:sz w:val="20"/>
                <w:szCs w:val="20"/>
              </w:rPr>
              <w:t>Total</w:t>
            </w:r>
          </w:p>
        </w:tc>
        <w:tc>
          <w:tcPr>
            <w:tcW w:w="1087" w:type="dxa"/>
            <w:tcBorders>
              <w:top w:val="single" w:sz="4" w:space="0" w:color="auto"/>
              <w:left w:val="nil"/>
              <w:bottom w:val="double" w:sz="6" w:space="0" w:color="auto"/>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220 </w:t>
            </w:r>
          </w:p>
        </w:tc>
        <w:tc>
          <w:tcPr>
            <w:tcW w:w="1088" w:type="dxa"/>
            <w:tcBorders>
              <w:top w:val="single" w:sz="4" w:space="0" w:color="auto"/>
              <w:left w:val="nil"/>
              <w:bottom w:val="double" w:sz="6" w:space="0" w:color="auto"/>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15 </w:t>
            </w:r>
          </w:p>
        </w:tc>
        <w:tc>
          <w:tcPr>
            <w:tcW w:w="1086" w:type="dxa"/>
            <w:tcBorders>
              <w:top w:val="single" w:sz="4" w:space="0" w:color="auto"/>
              <w:left w:val="nil"/>
              <w:bottom w:val="double" w:sz="6" w:space="0" w:color="auto"/>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34 </w:t>
            </w:r>
          </w:p>
        </w:tc>
        <w:tc>
          <w:tcPr>
            <w:tcW w:w="1086" w:type="dxa"/>
            <w:tcBorders>
              <w:top w:val="single" w:sz="4" w:space="0" w:color="auto"/>
              <w:left w:val="nil"/>
              <w:bottom w:val="double" w:sz="6" w:space="0" w:color="auto"/>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 </w:t>
            </w:r>
            <w:r w:rsidR="00FA5556">
              <w:rPr>
                <w:rFonts w:ascii="Arial" w:hAnsi="Arial" w:cs="Arial"/>
                <w:b/>
                <w:bCs/>
                <w:color w:val="000000"/>
                <w:sz w:val="20"/>
                <w:szCs w:val="20"/>
              </w:rPr>
              <w:t>–</w:t>
            </w:r>
            <w:r w:rsidRPr="00F757CC">
              <w:rPr>
                <w:rFonts w:ascii="Arial" w:hAnsi="Arial" w:cs="Arial"/>
                <w:b/>
                <w:bCs/>
                <w:color w:val="000000"/>
                <w:sz w:val="20"/>
                <w:szCs w:val="20"/>
              </w:rPr>
              <w:t xml:space="preserve"> </w:t>
            </w:r>
          </w:p>
        </w:tc>
        <w:tc>
          <w:tcPr>
            <w:tcW w:w="1086" w:type="dxa"/>
            <w:tcBorders>
              <w:top w:val="single" w:sz="4" w:space="0" w:color="auto"/>
              <w:left w:val="nil"/>
              <w:bottom w:val="double" w:sz="6" w:space="0" w:color="auto"/>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 </w:t>
            </w:r>
            <w:r w:rsidR="00FA5556">
              <w:rPr>
                <w:rFonts w:ascii="Arial" w:hAnsi="Arial" w:cs="Arial"/>
                <w:b/>
                <w:bCs/>
                <w:color w:val="000000"/>
                <w:sz w:val="20"/>
                <w:szCs w:val="20"/>
              </w:rPr>
              <w:t>–</w:t>
            </w:r>
            <w:r w:rsidRPr="00F757CC">
              <w:rPr>
                <w:rFonts w:ascii="Arial" w:hAnsi="Arial" w:cs="Arial"/>
                <w:b/>
                <w:bCs/>
                <w:color w:val="000000"/>
                <w:sz w:val="20"/>
                <w:szCs w:val="20"/>
              </w:rPr>
              <w:t xml:space="preserve"> </w:t>
            </w:r>
          </w:p>
        </w:tc>
        <w:tc>
          <w:tcPr>
            <w:tcW w:w="1086" w:type="dxa"/>
            <w:tcBorders>
              <w:top w:val="single" w:sz="4" w:space="0" w:color="auto"/>
              <w:left w:val="nil"/>
              <w:bottom w:val="double" w:sz="6" w:space="0" w:color="auto"/>
              <w:right w:val="nil"/>
            </w:tcBorders>
            <w:shd w:val="clear" w:color="auto" w:fill="FFFFFF" w:themeFill="background1"/>
            <w:noWrap/>
            <w:vAlign w:val="bottom"/>
            <w:hideMark/>
          </w:tcPr>
          <w:p w:rsidR="00F757CC" w:rsidRPr="00F757CC" w:rsidRDefault="00F757CC" w:rsidP="00B56C26">
            <w:pPr>
              <w:spacing w:before="40" w:line="240" w:lineRule="auto"/>
              <w:jc w:val="right"/>
              <w:rPr>
                <w:rFonts w:ascii="Arial" w:hAnsi="Arial" w:cs="Arial"/>
                <w:b/>
                <w:bCs/>
                <w:color w:val="000000"/>
                <w:sz w:val="20"/>
                <w:szCs w:val="20"/>
              </w:rPr>
            </w:pPr>
            <w:r w:rsidRPr="00F757CC">
              <w:rPr>
                <w:rFonts w:ascii="Arial" w:hAnsi="Arial" w:cs="Arial"/>
                <w:b/>
                <w:bCs/>
                <w:color w:val="000000"/>
                <w:sz w:val="20"/>
                <w:szCs w:val="20"/>
              </w:rPr>
              <w:t xml:space="preserve">49 </w:t>
            </w:r>
          </w:p>
        </w:tc>
      </w:tr>
      <w:tr w:rsidR="00F757CC" w:rsidRPr="00F757CC" w:rsidTr="00850383">
        <w:trPr>
          <w:trHeight w:val="300"/>
        </w:trPr>
        <w:tc>
          <w:tcPr>
            <w:tcW w:w="334" w:type="dxa"/>
            <w:tcBorders>
              <w:top w:val="nil"/>
              <w:left w:val="nil"/>
              <w:bottom w:val="nil"/>
              <w:right w:val="nil"/>
            </w:tcBorders>
            <w:shd w:val="clear" w:color="auto" w:fill="auto"/>
            <w:noWrap/>
            <w:vAlign w:val="bottom"/>
            <w:hideMark/>
          </w:tcPr>
          <w:p w:rsidR="00F757CC" w:rsidRPr="00F3112C" w:rsidRDefault="00F757CC" w:rsidP="00F757CC">
            <w:pPr>
              <w:spacing w:before="0" w:line="240" w:lineRule="auto"/>
              <w:rPr>
                <w:rFonts w:ascii="Arial" w:hAnsi="Arial" w:cs="Arial"/>
                <w:bCs/>
                <w:color w:val="000000"/>
                <w:sz w:val="20"/>
                <w:szCs w:val="20"/>
              </w:rPr>
            </w:pPr>
          </w:p>
        </w:tc>
        <w:tc>
          <w:tcPr>
            <w:tcW w:w="1021"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694"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087"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088"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086"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086"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086"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jc w:val="right"/>
              <w:rPr>
                <w:rFonts w:ascii="Arial" w:hAnsi="Arial" w:cs="Arial"/>
                <w:color w:val="000000"/>
                <w:sz w:val="20"/>
                <w:szCs w:val="20"/>
              </w:rPr>
            </w:pPr>
          </w:p>
        </w:tc>
        <w:tc>
          <w:tcPr>
            <w:tcW w:w="1086"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jc w:val="right"/>
              <w:rPr>
                <w:rFonts w:ascii="Arial" w:hAnsi="Arial" w:cs="Arial"/>
                <w:color w:val="000000"/>
                <w:sz w:val="20"/>
                <w:szCs w:val="20"/>
              </w:rPr>
            </w:pPr>
          </w:p>
        </w:tc>
      </w:tr>
      <w:tr w:rsidR="00F757CC" w:rsidRPr="00F757CC" w:rsidTr="00850383">
        <w:trPr>
          <w:trHeight w:val="300"/>
        </w:trPr>
        <w:tc>
          <w:tcPr>
            <w:tcW w:w="334" w:type="dxa"/>
            <w:tcBorders>
              <w:top w:val="nil"/>
              <w:left w:val="nil"/>
              <w:bottom w:val="nil"/>
              <w:right w:val="nil"/>
            </w:tcBorders>
            <w:shd w:val="clear" w:color="auto" w:fill="auto"/>
            <w:noWrap/>
            <w:vAlign w:val="bottom"/>
            <w:hideMark/>
          </w:tcPr>
          <w:p w:rsidR="00F757CC" w:rsidRPr="00F3112C" w:rsidRDefault="00F757CC" w:rsidP="00F757CC">
            <w:pPr>
              <w:spacing w:before="0" w:line="240" w:lineRule="auto"/>
              <w:rPr>
                <w:rFonts w:ascii="Arial" w:hAnsi="Arial" w:cs="Arial"/>
                <w:bCs/>
                <w:color w:val="000000"/>
                <w:sz w:val="20"/>
                <w:szCs w:val="20"/>
              </w:rPr>
            </w:pPr>
          </w:p>
        </w:tc>
        <w:tc>
          <w:tcPr>
            <w:tcW w:w="2715" w:type="dxa"/>
            <w:gridSpan w:val="2"/>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b/>
                <w:bCs/>
                <w:color w:val="000000"/>
                <w:sz w:val="20"/>
                <w:szCs w:val="20"/>
              </w:rPr>
            </w:pPr>
            <w:r w:rsidRPr="00F757CC">
              <w:rPr>
                <w:rFonts w:ascii="Arial" w:hAnsi="Arial" w:cs="Arial"/>
                <w:b/>
                <w:bCs/>
                <w:color w:val="000000"/>
                <w:sz w:val="20"/>
                <w:szCs w:val="20"/>
              </w:rPr>
              <w:t>(d) Liquidity risk</w:t>
            </w:r>
          </w:p>
        </w:tc>
        <w:tc>
          <w:tcPr>
            <w:tcW w:w="1087"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088"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086"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086"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rPr>
                <w:rFonts w:ascii="Arial" w:hAnsi="Arial" w:cs="Arial"/>
                <w:color w:val="000000"/>
                <w:sz w:val="20"/>
                <w:szCs w:val="20"/>
              </w:rPr>
            </w:pPr>
          </w:p>
        </w:tc>
        <w:tc>
          <w:tcPr>
            <w:tcW w:w="1086"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jc w:val="right"/>
              <w:rPr>
                <w:rFonts w:ascii="Arial" w:hAnsi="Arial" w:cs="Arial"/>
                <w:color w:val="000000"/>
                <w:sz w:val="20"/>
                <w:szCs w:val="20"/>
              </w:rPr>
            </w:pPr>
          </w:p>
        </w:tc>
        <w:tc>
          <w:tcPr>
            <w:tcW w:w="1086" w:type="dxa"/>
            <w:tcBorders>
              <w:top w:val="nil"/>
              <w:left w:val="nil"/>
              <w:bottom w:val="nil"/>
              <w:right w:val="nil"/>
            </w:tcBorders>
            <w:shd w:val="clear" w:color="auto" w:fill="auto"/>
            <w:noWrap/>
            <w:vAlign w:val="bottom"/>
            <w:hideMark/>
          </w:tcPr>
          <w:p w:rsidR="00F757CC" w:rsidRPr="00F757CC" w:rsidRDefault="00F757CC" w:rsidP="00F757CC">
            <w:pPr>
              <w:spacing w:before="0" w:line="240" w:lineRule="auto"/>
              <w:jc w:val="right"/>
              <w:rPr>
                <w:rFonts w:ascii="Arial" w:hAnsi="Arial" w:cs="Arial"/>
                <w:color w:val="000000"/>
                <w:sz w:val="20"/>
                <w:szCs w:val="20"/>
              </w:rPr>
            </w:pPr>
          </w:p>
        </w:tc>
      </w:tr>
      <w:tr w:rsidR="00B56C26" w:rsidRPr="00F757CC" w:rsidTr="00850383">
        <w:trPr>
          <w:trHeight w:val="3256"/>
        </w:trPr>
        <w:tc>
          <w:tcPr>
            <w:tcW w:w="334" w:type="dxa"/>
            <w:tcBorders>
              <w:top w:val="nil"/>
              <w:left w:val="nil"/>
              <w:right w:val="nil"/>
            </w:tcBorders>
            <w:shd w:val="clear" w:color="auto" w:fill="auto"/>
            <w:noWrap/>
            <w:vAlign w:val="bottom"/>
            <w:hideMark/>
          </w:tcPr>
          <w:p w:rsidR="00B56C26" w:rsidRPr="00F3112C" w:rsidRDefault="00B56C26" w:rsidP="00F757CC">
            <w:pPr>
              <w:spacing w:before="0" w:line="240" w:lineRule="auto"/>
              <w:rPr>
                <w:rFonts w:ascii="Arial" w:hAnsi="Arial" w:cs="Arial"/>
                <w:bCs/>
                <w:color w:val="000000"/>
                <w:sz w:val="20"/>
                <w:szCs w:val="20"/>
              </w:rPr>
            </w:pPr>
          </w:p>
        </w:tc>
        <w:tc>
          <w:tcPr>
            <w:tcW w:w="9234" w:type="dxa"/>
            <w:gridSpan w:val="8"/>
            <w:tcBorders>
              <w:top w:val="nil"/>
              <w:left w:val="nil"/>
              <w:right w:val="nil"/>
            </w:tcBorders>
            <w:shd w:val="clear" w:color="auto" w:fill="auto"/>
            <w:noWrap/>
            <w:vAlign w:val="bottom"/>
            <w:hideMark/>
          </w:tcPr>
          <w:p w:rsidR="00B56C26" w:rsidRPr="00572E3F" w:rsidRDefault="00B56C26" w:rsidP="001027FD">
            <w:pPr>
              <w:spacing w:before="120" w:after="120"/>
              <w:rPr>
                <w:rFonts w:ascii="Arial" w:hAnsi="Arial" w:cs="Arial"/>
                <w:bCs/>
                <w:color w:val="000000"/>
                <w:sz w:val="20"/>
                <w:szCs w:val="20"/>
              </w:rPr>
            </w:pPr>
            <w:r w:rsidRPr="00572E3F">
              <w:rPr>
                <w:rFonts w:ascii="Arial" w:hAnsi="Arial" w:cs="Arial"/>
                <w:bCs/>
                <w:color w:val="000000"/>
                <w:sz w:val="20"/>
                <w:szCs w:val="20"/>
              </w:rPr>
              <w:t xml:space="preserve">Liquidity risk refers to the situation where </w:t>
            </w:r>
            <w:r w:rsidRPr="001027FD">
              <w:rPr>
                <w:rFonts w:ascii="Arial" w:hAnsi="Arial" w:cs="Arial"/>
                <w:color w:val="000000"/>
                <w:sz w:val="20"/>
                <w:szCs w:val="20"/>
              </w:rPr>
              <w:t>the</w:t>
            </w:r>
            <w:r w:rsidRPr="00572E3F">
              <w:rPr>
                <w:rFonts w:ascii="Arial" w:hAnsi="Arial" w:cs="Arial"/>
                <w:bCs/>
                <w:color w:val="000000"/>
                <w:sz w:val="20"/>
                <w:szCs w:val="20"/>
              </w:rPr>
              <w:t xml:space="preserve"> Authority may encounter difficulty in meeting obligations associated with financial liabilities that are settled by delivering cash or another financial asset.</w:t>
            </w:r>
          </w:p>
          <w:p w:rsidR="00B56C26" w:rsidRPr="00572E3F" w:rsidRDefault="00B56C26" w:rsidP="001027FD">
            <w:pPr>
              <w:spacing w:before="120" w:after="120"/>
              <w:rPr>
                <w:rFonts w:ascii="Arial" w:hAnsi="Arial" w:cs="Arial"/>
                <w:bCs/>
                <w:color w:val="000000"/>
                <w:sz w:val="20"/>
                <w:szCs w:val="20"/>
              </w:rPr>
            </w:pPr>
            <w:r w:rsidRPr="00572E3F">
              <w:rPr>
                <w:rFonts w:ascii="Arial" w:hAnsi="Arial" w:cs="Arial"/>
                <w:bCs/>
                <w:color w:val="000000"/>
                <w:sz w:val="20"/>
                <w:szCs w:val="20"/>
              </w:rPr>
              <w:t>The Authority is exposed to liquidity risk through its trading in the normal course of business.</w:t>
            </w:r>
          </w:p>
          <w:p w:rsidR="00B56C26" w:rsidRPr="00572E3F" w:rsidRDefault="00B56C26" w:rsidP="001027FD">
            <w:pPr>
              <w:spacing w:before="120" w:after="120"/>
              <w:rPr>
                <w:rFonts w:ascii="Arial" w:hAnsi="Arial" w:cs="Arial"/>
                <w:bCs/>
                <w:color w:val="000000"/>
                <w:sz w:val="20"/>
                <w:szCs w:val="20"/>
              </w:rPr>
            </w:pPr>
            <w:r w:rsidRPr="00572E3F">
              <w:rPr>
                <w:rFonts w:ascii="Arial" w:hAnsi="Arial" w:cs="Arial"/>
                <w:bCs/>
                <w:color w:val="000000"/>
                <w:sz w:val="20"/>
                <w:szCs w:val="20"/>
              </w:rPr>
              <w:t xml:space="preserve">The Authority manages liquidity risk </w:t>
            </w:r>
            <w:proofErr w:type="gramStart"/>
            <w:r w:rsidRPr="00572E3F">
              <w:rPr>
                <w:rFonts w:ascii="Arial" w:hAnsi="Arial" w:cs="Arial"/>
                <w:bCs/>
                <w:color w:val="000000"/>
                <w:sz w:val="20"/>
                <w:szCs w:val="20"/>
              </w:rPr>
              <w:t>through the use of</w:t>
            </w:r>
            <w:proofErr w:type="gramEnd"/>
            <w:r w:rsidRPr="00572E3F">
              <w:rPr>
                <w:rFonts w:ascii="Arial" w:hAnsi="Arial" w:cs="Arial"/>
                <w:bCs/>
                <w:color w:val="000000"/>
                <w:sz w:val="20"/>
                <w:szCs w:val="20"/>
              </w:rPr>
              <w:t xml:space="preserve"> a liquidity management strategy. This strategy aims to reduce the exposure to liquidity risk by </w:t>
            </w:r>
            <w:r w:rsidRPr="001027FD">
              <w:rPr>
                <w:rFonts w:ascii="Arial" w:hAnsi="Arial" w:cs="Arial"/>
                <w:color w:val="000000"/>
                <w:sz w:val="20"/>
                <w:szCs w:val="20"/>
              </w:rPr>
              <w:t>ensuring</w:t>
            </w:r>
            <w:r w:rsidRPr="00572E3F">
              <w:rPr>
                <w:rFonts w:ascii="Arial" w:hAnsi="Arial" w:cs="Arial"/>
                <w:bCs/>
                <w:color w:val="000000"/>
                <w:sz w:val="20"/>
                <w:szCs w:val="20"/>
              </w:rPr>
              <w:t xml:space="preserve"> the Authority has sufficient funds available to meet employee and supplier obligations as they fall due. This is achieved by ensuring the minimum levels of cash are held within the various bank accounts </w:t>
            </w:r>
            <w:proofErr w:type="gramStart"/>
            <w:r w:rsidRPr="00572E3F">
              <w:rPr>
                <w:rFonts w:ascii="Arial" w:hAnsi="Arial" w:cs="Arial"/>
                <w:bCs/>
                <w:color w:val="000000"/>
                <w:sz w:val="20"/>
                <w:szCs w:val="20"/>
              </w:rPr>
              <w:t>so as to</w:t>
            </w:r>
            <w:proofErr w:type="gramEnd"/>
            <w:r w:rsidRPr="00572E3F">
              <w:rPr>
                <w:rFonts w:ascii="Arial" w:hAnsi="Arial" w:cs="Arial"/>
                <w:bCs/>
                <w:color w:val="000000"/>
                <w:sz w:val="20"/>
                <w:szCs w:val="20"/>
              </w:rPr>
              <w:t xml:space="preserve"> match the expected duration of the various employee and supplier liabilities.</w:t>
            </w:r>
          </w:p>
          <w:p w:rsidR="00B56C26" w:rsidRPr="00572E3F" w:rsidRDefault="00B56C26" w:rsidP="001027FD">
            <w:pPr>
              <w:spacing w:before="120" w:after="120"/>
              <w:rPr>
                <w:rFonts w:ascii="Arial" w:hAnsi="Arial" w:cs="Arial"/>
                <w:bCs/>
                <w:color w:val="000000"/>
                <w:sz w:val="20"/>
                <w:szCs w:val="20"/>
              </w:rPr>
            </w:pPr>
            <w:r w:rsidRPr="00572E3F">
              <w:rPr>
                <w:rFonts w:ascii="Arial" w:hAnsi="Arial" w:cs="Arial"/>
                <w:bCs/>
                <w:color w:val="000000"/>
                <w:sz w:val="20"/>
                <w:szCs w:val="20"/>
              </w:rPr>
              <w:t xml:space="preserve">The following table sets out the liquidity risk of financial liabilities held by the Authority. It represents the contractual maturity of financial liabilities, </w:t>
            </w:r>
            <w:r w:rsidRPr="001027FD">
              <w:rPr>
                <w:rFonts w:ascii="Arial" w:hAnsi="Arial" w:cs="Arial"/>
                <w:color w:val="000000"/>
                <w:sz w:val="20"/>
                <w:szCs w:val="20"/>
              </w:rPr>
              <w:t>calculated</w:t>
            </w:r>
            <w:r w:rsidRPr="00572E3F">
              <w:rPr>
                <w:rFonts w:ascii="Arial" w:hAnsi="Arial" w:cs="Arial"/>
                <w:bCs/>
                <w:color w:val="000000"/>
                <w:sz w:val="20"/>
                <w:szCs w:val="20"/>
              </w:rPr>
              <w:t xml:space="preserve"> based on undiscounted cash flows relating to the liabilities at reporting date.</w:t>
            </w:r>
          </w:p>
        </w:tc>
      </w:tr>
    </w:tbl>
    <w:p w:rsidR="001D23A9" w:rsidRDefault="001D23A9">
      <w:r>
        <w:br w:type="page"/>
      </w:r>
    </w:p>
    <w:tbl>
      <w:tblPr>
        <w:tblW w:w="4952" w:type="pct"/>
        <w:tblInd w:w="93" w:type="dxa"/>
        <w:tblLayout w:type="fixed"/>
        <w:tblCellMar>
          <w:left w:w="57" w:type="dxa"/>
        </w:tblCellMar>
        <w:tblLook w:val="04A0" w:firstRow="1" w:lastRow="0" w:firstColumn="1" w:lastColumn="0" w:noHBand="0" w:noVBand="1"/>
      </w:tblPr>
      <w:tblGrid>
        <w:gridCol w:w="392"/>
        <w:gridCol w:w="338"/>
        <w:gridCol w:w="3276"/>
        <w:gridCol w:w="353"/>
        <w:gridCol w:w="766"/>
        <w:gridCol w:w="1118"/>
        <w:gridCol w:w="1118"/>
        <w:gridCol w:w="1118"/>
        <w:gridCol w:w="1118"/>
      </w:tblGrid>
      <w:tr w:rsidR="00850383" w:rsidRPr="00D21CE7" w:rsidTr="00850383">
        <w:trPr>
          <w:trHeight w:val="300"/>
        </w:trPr>
        <w:tc>
          <w:tcPr>
            <w:tcW w:w="9597" w:type="dxa"/>
            <w:gridSpan w:val="9"/>
            <w:tcBorders>
              <w:top w:val="nil"/>
              <w:left w:val="nil"/>
              <w:bottom w:val="nil"/>
              <w:right w:val="nil"/>
            </w:tcBorders>
            <w:shd w:val="clear" w:color="auto" w:fill="auto"/>
            <w:noWrap/>
            <w:vAlign w:val="bottom"/>
            <w:hideMark/>
          </w:tcPr>
          <w:p w:rsidR="00850383" w:rsidRPr="00D21CE7" w:rsidRDefault="00850383" w:rsidP="00850383">
            <w:pPr>
              <w:pStyle w:val="FinF3continuation"/>
              <w:tabs>
                <w:tab w:val="left" w:pos="333"/>
              </w:tabs>
            </w:pPr>
            <w:r w:rsidRPr="00D21CE7">
              <w:lastRenderedPageBreak/>
              <w:t>21</w:t>
            </w:r>
            <w:r>
              <w:tab/>
            </w:r>
            <w:r w:rsidRPr="00D21CE7">
              <w:t>Financial Instruments</w:t>
            </w:r>
            <w:r>
              <w:t>,</w:t>
            </w:r>
            <w:r w:rsidRPr="00D21CE7">
              <w:t xml:space="preserve"> (d) Liquidity risk</w:t>
            </w:r>
            <w:r w:rsidR="004526D5">
              <w:t xml:space="preserve"> (cont’</w:t>
            </w:r>
            <w:r w:rsidRPr="00D21CE7">
              <w:t>d)</w:t>
            </w:r>
          </w:p>
        </w:tc>
      </w:tr>
      <w:tr w:rsidR="00D21CE7" w:rsidRPr="00D21CE7" w:rsidTr="005C2A68">
        <w:trPr>
          <w:trHeight w:val="397"/>
        </w:trPr>
        <w:tc>
          <w:tcPr>
            <w:tcW w:w="392" w:type="dxa"/>
            <w:tcBorders>
              <w:top w:val="nil"/>
              <w:left w:val="nil"/>
              <w:bottom w:val="nil"/>
              <w:right w:val="nil"/>
            </w:tcBorders>
            <w:shd w:val="clear" w:color="auto" w:fill="auto"/>
            <w:noWrap/>
            <w:vAlign w:val="center"/>
            <w:hideMark/>
          </w:tcPr>
          <w:p w:rsidR="00D21CE7" w:rsidRPr="00D21CE7" w:rsidRDefault="00D21CE7" w:rsidP="005C2A68">
            <w:pPr>
              <w:spacing w:before="60" w:after="60" w:line="240" w:lineRule="auto"/>
              <w:jc w:val="center"/>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center"/>
            <w:hideMark/>
          </w:tcPr>
          <w:p w:rsidR="00D21CE7" w:rsidRPr="00D21CE7" w:rsidRDefault="00D21CE7" w:rsidP="005C2A68">
            <w:pPr>
              <w:spacing w:before="60" w:after="60" w:line="240" w:lineRule="auto"/>
              <w:jc w:val="center"/>
              <w:rPr>
                <w:rFonts w:ascii="Arial" w:hAnsi="Arial" w:cs="Arial"/>
                <w:color w:val="000000"/>
                <w:sz w:val="20"/>
                <w:szCs w:val="20"/>
              </w:rPr>
            </w:pPr>
          </w:p>
        </w:tc>
        <w:tc>
          <w:tcPr>
            <w:tcW w:w="3629" w:type="dxa"/>
            <w:gridSpan w:val="2"/>
            <w:tcBorders>
              <w:top w:val="nil"/>
              <w:left w:val="nil"/>
              <w:bottom w:val="nil"/>
              <w:right w:val="nil"/>
            </w:tcBorders>
            <w:shd w:val="clear" w:color="auto" w:fill="auto"/>
            <w:noWrap/>
            <w:vAlign w:val="center"/>
            <w:hideMark/>
          </w:tcPr>
          <w:p w:rsidR="00D21CE7" w:rsidRPr="00D21CE7" w:rsidRDefault="00D21CE7" w:rsidP="005C2A68">
            <w:pPr>
              <w:spacing w:before="60" w:after="60" w:line="240" w:lineRule="auto"/>
              <w:jc w:val="center"/>
              <w:rPr>
                <w:rFonts w:ascii="Arial" w:hAnsi="Arial" w:cs="Arial"/>
                <w:sz w:val="20"/>
                <w:szCs w:val="20"/>
              </w:rPr>
            </w:pPr>
          </w:p>
        </w:tc>
        <w:tc>
          <w:tcPr>
            <w:tcW w:w="766" w:type="dxa"/>
            <w:tcBorders>
              <w:top w:val="nil"/>
              <w:left w:val="nil"/>
              <w:bottom w:val="nil"/>
              <w:right w:val="nil"/>
            </w:tcBorders>
            <w:shd w:val="clear" w:color="auto" w:fill="auto"/>
            <w:noWrap/>
            <w:vAlign w:val="center"/>
            <w:hideMark/>
          </w:tcPr>
          <w:p w:rsidR="00D21CE7" w:rsidRPr="00D21CE7" w:rsidRDefault="00D21CE7" w:rsidP="005C2A68">
            <w:pPr>
              <w:spacing w:before="60" w:after="60" w:line="240" w:lineRule="auto"/>
              <w:jc w:val="center"/>
              <w:rPr>
                <w:rFonts w:ascii="Arial" w:hAnsi="Arial" w:cs="Arial"/>
                <w:sz w:val="20"/>
                <w:szCs w:val="20"/>
              </w:rPr>
            </w:pPr>
          </w:p>
        </w:tc>
        <w:tc>
          <w:tcPr>
            <w:tcW w:w="4472" w:type="dxa"/>
            <w:gridSpan w:val="4"/>
            <w:tcBorders>
              <w:top w:val="nil"/>
              <w:left w:val="nil"/>
              <w:bottom w:val="nil"/>
              <w:right w:val="nil"/>
            </w:tcBorders>
            <w:shd w:val="clear" w:color="000000" w:fill="D9D9D9"/>
            <w:noWrap/>
            <w:vAlign w:val="center"/>
            <w:hideMark/>
          </w:tcPr>
          <w:p w:rsidR="00D21CE7" w:rsidRPr="00D21CE7" w:rsidRDefault="00D21CE7" w:rsidP="005C2A68">
            <w:pPr>
              <w:spacing w:before="60" w:after="60" w:line="240" w:lineRule="auto"/>
              <w:jc w:val="center"/>
              <w:rPr>
                <w:rFonts w:ascii="Arial" w:hAnsi="Arial" w:cs="Arial"/>
                <w:b/>
                <w:bCs/>
                <w:sz w:val="20"/>
                <w:szCs w:val="20"/>
              </w:rPr>
            </w:pPr>
            <w:r w:rsidRPr="00D21CE7">
              <w:rPr>
                <w:rFonts w:ascii="Arial" w:hAnsi="Arial" w:cs="Arial"/>
                <w:b/>
                <w:bCs/>
                <w:sz w:val="20"/>
                <w:szCs w:val="20"/>
              </w:rPr>
              <w:t>2014 Payable in</w:t>
            </w:r>
          </w:p>
        </w:tc>
      </w:tr>
      <w:tr w:rsidR="00D21CE7" w:rsidRPr="00D21CE7" w:rsidTr="00B56C26">
        <w:trPr>
          <w:trHeight w:val="34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62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sz w:val="20"/>
                <w:szCs w:val="20"/>
              </w:rPr>
            </w:pPr>
          </w:p>
        </w:tc>
        <w:tc>
          <w:tcPr>
            <w:tcW w:w="76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b/>
                <w:bCs/>
                <w:sz w:val="20"/>
                <w:szCs w:val="20"/>
              </w:rPr>
            </w:pPr>
            <w:r w:rsidRPr="00D21CE7">
              <w:rPr>
                <w:rFonts w:ascii="Arial" w:hAnsi="Arial" w:cs="Arial"/>
                <w:b/>
                <w:bCs/>
                <w:sz w:val="20"/>
                <w:szCs w:val="20"/>
              </w:rPr>
              <w:t>&lt;</w:t>
            </w:r>
            <w:r>
              <w:rPr>
                <w:rFonts w:ascii="Arial" w:hAnsi="Arial" w:cs="Arial"/>
                <w:b/>
                <w:bCs/>
                <w:sz w:val="20"/>
                <w:szCs w:val="20"/>
              </w:rPr>
              <w:t xml:space="preserve"> </w:t>
            </w:r>
            <w:r w:rsidRPr="00D21CE7">
              <w:rPr>
                <w:rFonts w:ascii="Arial" w:hAnsi="Arial" w:cs="Arial"/>
                <w:b/>
                <w:bCs/>
                <w:sz w:val="20"/>
                <w:szCs w:val="20"/>
              </w:rPr>
              <w:t>1 year</w:t>
            </w: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b/>
                <w:bCs/>
                <w:sz w:val="20"/>
                <w:szCs w:val="20"/>
              </w:rPr>
            </w:pPr>
            <w:r>
              <w:rPr>
                <w:rFonts w:ascii="Arial" w:hAnsi="Arial" w:cs="Arial"/>
                <w:b/>
                <w:bCs/>
                <w:sz w:val="20"/>
                <w:szCs w:val="20"/>
              </w:rPr>
              <w:t>1–</w:t>
            </w:r>
            <w:r w:rsidRPr="00D21CE7">
              <w:rPr>
                <w:rFonts w:ascii="Arial" w:hAnsi="Arial" w:cs="Arial"/>
                <w:b/>
                <w:bCs/>
                <w:sz w:val="20"/>
                <w:szCs w:val="20"/>
              </w:rPr>
              <w:t>5 years</w:t>
            </w: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b/>
                <w:bCs/>
                <w:sz w:val="20"/>
                <w:szCs w:val="20"/>
              </w:rPr>
            </w:pPr>
            <w:r w:rsidRPr="00D21CE7">
              <w:rPr>
                <w:rFonts w:ascii="Arial" w:hAnsi="Arial" w:cs="Arial"/>
                <w:b/>
                <w:bCs/>
                <w:sz w:val="20"/>
                <w:szCs w:val="20"/>
              </w:rPr>
              <w:t>&gt; 5 years</w:t>
            </w: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Total</w:t>
            </w:r>
          </w:p>
        </w:tc>
      </w:tr>
      <w:tr w:rsidR="00D21CE7" w:rsidRPr="00D21CE7" w:rsidTr="00B56C26">
        <w:trPr>
          <w:trHeight w:val="34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single" w:sz="4" w:space="0" w:color="auto"/>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r w:rsidRPr="00D21CE7">
              <w:rPr>
                <w:rFonts w:ascii="Arial" w:hAnsi="Arial" w:cs="Arial"/>
                <w:color w:val="000000"/>
                <w:sz w:val="20"/>
                <w:szCs w:val="20"/>
              </w:rPr>
              <w:t> </w:t>
            </w:r>
          </w:p>
        </w:tc>
        <w:tc>
          <w:tcPr>
            <w:tcW w:w="3629" w:type="dxa"/>
            <w:gridSpan w:val="2"/>
            <w:tcBorders>
              <w:top w:val="nil"/>
              <w:left w:val="nil"/>
              <w:bottom w:val="single" w:sz="4" w:space="0" w:color="auto"/>
              <w:right w:val="nil"/>
            </w:tcBorders>
            <w:shd w:val="clear" w:color="auto" w:fill="auto"/>
            <w:noWrap/>
            <w:vAlign w:val="bottom"/>
            <w:hideMark/>
          </w:tcPr>
          <w:p w:rsidR="00D21CE7" w:rsidRPr="00D21CE7" w:rsidRDefault="00D21CE7" w:rsidP="00D21CE7">
            <w:pPr>
              <w:spacing w:before="0" w:line="240" w:lineRule="auto"/>
              <w:rPr>
                <w:rFonts w:ascii="Arial" w:hAnsi="Arial" w:cs="Arial"/>
                <w:sz w:val="20"/>
                <w:szCs w:val="20"/>
              </w:rPr>
            </w:pPr>
            <w:r w:rsidRPr="00D21CE7">
              <w:rPr>
                <w:rFonts w:ascii="Arial" w:hAnsi="Arial" w:cs="Arial"/>
                <w:sz w:val="20"/>
                <w:szCs w:val="20"/>
              </w:rPr>
              <w:t> </w:t>
            </w:r>
          </w:p>
        </w:tc>
        <w:tc>
          <w:tcPr>
            <w:tcW w:w="766" w:type="dxa"/>
            <w:tcBorders>
              <w:top w:val="nil"/>
              <w:left w:val="nil"/>
              <w:bottom w:val="single" w:sz="4" w:space="0" w:color="auto"/>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b/>
                <w:bCs/>
                <w:sz w:val="20"/>
                <w:szCs w:val="20"/>
              </w:rPr>
            </w:pPr>
            <w:r w:rsidRPr="00D21CE7">
              <w:rPr>
                <w:rFonts w:ascii="Arial" w:hAnsi="Arial" w:cs="Arial"/>
                <w:b/>
                <w:bCs/>
                <w:sz w:val="20"/>
                <w:szCs w:val="20"/>
              </w:rPr>
              <w:t>Notes</w:t>
            </w:r>
          </w:p>
        </w:tc>
        <w:tc>
          <w:tcPr>
            <w:tcW w:w="1118" w:type="dxa"/>
            <w:tcBorders>
              <w:top w:val="nil"/>
              <w:left w:val="nil"/>
              <w:bottom w:val="single" w:sz="4" w:space="0" w:color="auto"/>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$'000 </w:t>
            </w:r>
          </w:p>
        </w:tc>
        <w:tc>
          <w:tcPr>
            <w:tcW w:w="1118" w:type="dxa"/>
            <w:tcBorders>
              <w:top w:val="nil"/>
              <w:left w:val="nil"/>
              <w:bottom w:val="single" w:sz="4" w:space="0" w:color="auto"/>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$'000 </w:t>
            </w:r>
          </w:p>
        </w:tc>
        <w:tc>
          <w:tcPr>
            <w:tcW w:w="1118" w:type="dxa"/>
            <w:tcBorders>
              <w:top w:val="nil"/>
              <w:left w:val="nil"/>
              <w:bottom w:val="single" w:sz="4" w:space="0" w:color="auto"/>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$'000 </w:t>
            </w:r>
          </w:p>
        </w:tc>
        <w:tc>
          <w:tcPr>
            <w:tcW w:w="1118" w:type="dxa"/>
            <w:tcBorders>
              <w:top w:val="nil"/>
              <w:left w:val="nil"/>
              <w:bottom w:val="single" w:sz="4" w:space="0" w:color="auto"/>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$'000 </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967" w:type="dxa"/>
            <w:gridSpan w:val="3"/>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r w:rsidRPr="00D21CE7">
              <w:rPr>
                <w:rFonts w:ascii="Arial" w:hAnsi="Arial" w:cs="Arial"/>
                <w:b/>
                <w:bCs/>
                <w:color w:val="000000"/>
                <w:sz w:val="20"/>
                <w:szCs w:val="20"/>
              </w:rPr>
              <w:t>Financial Liabilities</w:t>
            </w:r>
          </w:p>
        </w:tc>
        <w:tc>
          <w:tcPr>
            <w:tcW w:w="766"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62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r w:rsidRPr="00D21CE7">
              <w:rPr>
                <w:rFonts w:ascii="Arial" w:hAnsi="Arial" w:cs="Arial"/>
                <w:color w:val="000000"/>
                <w:sz w:val="20"/>
                <w:szCs w:val="20"/>
              </w:rPr>
              <w:t>Payables</w:t>
            </w:r>
          </w:p>
        </w:tc>
        <w:tc>
          <w:tcPr>
            <w:tcW w:w="766"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i/>
                <w:iCs/>
                <w:color w:val="000000"/>
                <w:sz w:val="20"/>
                <w:szCs w:val="20"/>
              </w:rPr>
            </w:pPr>
            <w:r w:rsidRPr="00D21CE7">
              <w:rPr>
                <w:rFonts w:ascii="Arial" w:hAnsi="Arial" w:cs="Arial"/>
                <w:i/>
                <w:iCs/>
                <w:color w:val="000000"/>
                <w:sz w:val="20"/>
                <w:szCs w:val="20"/>
              </w:rPr>
              <w:t>16</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3,564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 </w:t>
            </w:r>
            <w:r w:rsidR="00FA5556">
              <w:rPr>
                <w:rFonts w:ascii="Arial" w:hAnsi="Arial" w:cs="Arial"/>
                <w:color w:val="000000"/>
                <w:sz w:val="20"/>
                <w:szCs w:val="20"/>
              </w:rPr>
              <w:t>–</w:t>
            </w:r>
            <w:r w:rsidRPr="00D21CE7">
              <w:rPr>
                <w:rFonts w:ascii="Arial" w:hAnsi="Arial" w:cs="Arial"/>
                <w:color w:val="000000"/>
                <w:sz w:val="20"/>
                <w:szCs w:val="20"/>
              </w:rPr>
              <w:t xml:space="preserve">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 </w:t>
            </w:r>
            <w:r w:rsidR="00FA5556">
              <w:rPr>
                <w:rFonts w:ascii="Arial" w:hAnsi="Arial" w:cs="Arial"/>
                <w:color w:val="000000"/>
                <w:sz w:val="20"/>
                <w:szCs w:val="20"/>
              </w:rPr>
              <w:t>–</w:t>
            </w:r>
            <w:r w:rsidRPr="00D21CE7">
              <w:rPr>
                <w:rFonts w:ascii="Arial" w:hAnsi="Arial" w:cs="Arial"/>
                <w:color w:val="000000"/>
                <w:sz w:val="20"/>
                <w:szCs w:val="20"/>
              </w:rPr>
              <w:t xml:space="preserve">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3,564 </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967" w:type="dxa"/>
            <w:gridSpan w:val="3"/>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r w:rsidRPr="00D21CE7">
              <w:rPr>
                <w:rFonts w:ascii="Arial" w:hAnsi="Arial" w:cs="Arial"/>
                <w:b/>
                <w:bCs/>
                <w:color w:val="000000"/>
                <w:sz w:val="20"/>
                <w:szCs w:val="20"/>
              </w:rPr>
              <w:t>Total</w:t>
            </w:r>
          </w:p>
        </w:tc>
        <w:tc>
          <w:tcPr>
            <w:tcW w:w="76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color w:val="000000"/>
                <w:sz w:val="20"/>
                <w:szCs w:val="20"/>
              </w:rPr>
            </w:pPr>
          </w:p>
        </w:tc>
        <w:tc>
          <w:tcPr>
            <w:tcW w:w="1118" w:type="dxa"/>
            <w:tcBorders>
              <w:top w:val="single" w:sz="4" w:space="0" w:color="auto"/>
              <w:left w:val="nil"/>
              <w:bottom w:val="double" w:sz="6" w:space="0" w:color="auto"/>
              <w:right w:val="nil"/>
            </w:tcBorders>
            <w:shd w:val="clear" w:color="000000" w:fill="D9D9D9"/>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3,564 </w:t>
            </w:r>
          </w:p>
        </w:tc>
        <w:tc>
          <w:tcPr>
            <w:tcW w:w="1118" w:type="dxa"/>
            <w:tcBorders>
              <w:top w:val="single" w:sz="4" w:space="0" w:color="auto"/>
              <w:left w:val="nil"/>
              <w:bottom w:val="double" w:sz="6" w:space="0" w:color="auto"/>
              <w:right w:val="nil"/>
            </w:tcBorders>
            <w:shd w:val="clear" w:color="000000" w:fill="D9D9D9"/>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 </w:t>
            </w:r>
            <w:r w:rsidR="00FA5556">
              <w:rPr>
                <w:rFonts w:ascii="Arial" w:hAnsi="Arial" w:cs="Arial"/>
                <w:b/>
                <w:bCs/>
                <w:color w:val="000000"/>
                <w:sz w:val="20"/>
                <w:szCs w:val="20"/>
              </w:rPr>
              <w:t>–</w:t>
            </w:r>
            <w:r w:rsidRPr="00D21CE7">
              <w:rPr>
                <w:rFonts w:ascii="Arial" w:hAnsi="Arial" w:cs="Arial"/>
                <w:b/>
                <w:bCs/>
                <w:color w:val="000000"/>
                <w:sz w:val="20"/>
                <w:szCs w:val="20"/>
              </w:rPr>
              <w:t xml:space="preserve"> </w:t>
            </w:r>
          </w:p>
        </w:tc>
        <w:tc>
          <w:tcPr>
            <w:tcW w:w="1118" w:type="dxa"/>
            <w:tcBorders>
              <w:top w:val="single" w:sz="4" w:space="0" w:color="auto"/>
              <w:left w:val="nil"/>
              <w:bottom w:val="double" w:sz="6" w:space="0" w:color="auto"/>
              <w:right w:val="nil"/>
            </w:tcBorders>
            <w:shd w:val="clear" w:color="000000" w:fill="D9D9D9"/>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 </w:t>
            </w:r>
            <w:r w:rsidR="00FA5556">
              <w:rPr>
                <w:rFonts w:ascii="Arial" w:hAnsi="Arial" w:cs="Arial"/>
                <w:b/>
                <w:bCs/>
                <w:color w:val="000000"/>
                <w:sz w:val="20"/>
                <w:szCs w:val="20"/>
              </w:rPr>
              <w:t>–</w:t>
            </w:r>
            <w:r w:rsidRPr="00D21CE7">
              <w:rPr>
                <w:rFonts w:ascii="Arial" w:hAnsi="Arial" w:cs="Arial"/>
                <w:b/>
                <w:bCs/>
                <w:color w:val="000000"/>
                <w:sz w:val="20"/>
                <w:szCs w:val="20"/>
              </w:rPr>
              <w:t xml:space="preserve"> </w:t>
            </w:r>
          </w:p>
        </w:tc>
        <w:tc>
          <w:tcPr>
            <w:tcW w:w="1118" w:type="dxa"/>
            <w:tcBorders>
              <w:top w:val="single" w:sz="4" w:space="0" w:color="auto"/>
              <w:left w:val="nil"/>
              <w:bottom w:val="double" w:sz="6" w:space="0" w:color="auto"/>
              <w:right w:val="nil"/>
            </w:tcBorders>
            <w:shd w:val="clear" w:color="000000" w:fill="D9D9D9"/>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3,564 </w:t>
            </w:r>
          </w:p>
        </w:tc>
      </w:tr>
      <w:tr w:rsidR="00D21CE7" w:rsidRPr="00D21CE7" w:rsidTr="00D21CE7">
        <w:trPr>
          <w:trHeight w:val="15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62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ind w:firstLineChars="100" w:firstLine="200"/>
              <w:rPr>
                <w:rFonts w:ascii="Arial" w:hAnsi="Arial" w:cs="Arial"/>
                <w:color w:val="000000"/>
                <w:sz w:val="20"/>
                <w:szCs w:val="20"/>
              </w:rPr>
            </w:pPr>
          </w:p>
        </w:tc>
        <w:tc>
          <w:tcPr>
            <w:tcW w:w="76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color w:val="000000"/>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color w:val="000000"/>
                <w:sz w:val="20"/>
                <w:szCs w:val="20"/>
              </w:rPr>
            </w:pPr>
          </w:p>
        </w:tc>
      </w:tr>
      <w:tr w:rsidR="00D21CE7" w:rsidRPr="00D21CE7" w:rsidTr="005C2A68">
        <w:trPr>
          <w:trHeight w:val="397"/>
        </w:trPr>
        <w:tc>
          <w:tcPr>
            <w:tcW w:w="392"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rPr>
                <w:rFonts w:ascii="Arial" w:hAnsi="Arial" w:cs="Arial"/>
                <w:color w:val="000000"/>
                <w:sz w:val="20"/>
                <w:szCs w:val="20"/>
              </w:rPr>
            </w:pPr>
          </w:p>
        </w:tc>
        <w:tc>
          <w:tcPr>
            <w:tcW w:w="3629" w:type="dxa"/>
            <w:gridSpan w:val="2"/>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rPr>
                <w:rFonts w:ascii="Arial" w:hAnsi="Arial" w:cs="Arial"/>
                <w:sz w:val="20"/>
                <w:szCs w:val="20"/>
              </w:rPr>
            </w:pPr>
          </w:p>
        </w:tc>
        <w:tc>
          <w:tcPr>
            <w:tcW w:w="766"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rPr>
                <w:rFonts w:ascii="Arial" w:hAnsi="Arial" w:cs="Arial"/>
                <w:sz w:val="20"/>
                <w:szCs w:val="20"/>
              </w:rPr>
            </w:pPr>
          </w:p>
        </w:tc>
        <w:tc>
          <w:tcPr>
            <w:tcW w:w="4472" w:type="dxa"/>
            <w:gridSpan w:val="4"/>
            <w:tcBorders>
              <w:top w:val="nil"/>
              <w:left w:val="nil"/>
              <w:bottom w:val="nil"/>
              <w:right w:val="nil"/>
            </w:tcBorders>
            <w:shd w:val="clear" w:color="auto" w:fill="auto"/>
            <w:noWrap/>
            <w:vAlign w:val="center"/>
            <w:hideMark/>
          </w:tcPr>
          <w:p w:rsidR="00D21CE7" w:rsidRPr="00D21CE7" w:rsidRDefault="00D21CE7" w:rsidP="00B56C26">
            <w:pPr>
              <w:spacing w:before="40" w:line="240" w:lineRule="auto"/>
              <w:jc w:val="center"/>
              <w:rPr>
                <w:rFonts w:ascii="Arial" w:hAnsi="Arial" w:cs="Arial"/>
                <w:b/>
                <w:bCs/>
                <w:sz w:val="20"/>
                <w:szCs w:val="20"/>
              </w:rPr>
            </w:pPr>
            <w:r w:rsidRPr="00D21CE7">
              <w:rPr>
                <w:rFonts w:ascii="Arial" w:hAnsi="Arial" w:cs="Arial"/>
                <w:b/>
                <w:bCs/>
                <w:sz w:val="20"/>
                <w:szCs w:val="20"/>
              </w:rPr>
              <w:t>2013 Payable in</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rPr>
                <w:rFonts w:ascii="Arial" w:hAnsi="Arial" w:cs="Arial"/>
                <w:color w:val="000000"/>
                <w:sz w:val="20"/>
                <w:szCs w:val="20"/>
              </w:rPr>
            </w:pPr>
          </w:p>
        </w:tc>
        <w:tc>
          <w:tcPr>
            <w:tcW w:w="3629" w:type="dxa"/>
            <w:gridSpan w:val="2"/>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rPr>
                <w:rFonts w:ascii="Arial" w:hAnsi="Arial" w:cs="Arial"/>
                <w:sz w:val="20"/>
                <w:szCs w:val="20"/>
              </w:rPr>
            </w:pPr>
          </w:p>
        </w:tc>
        <w:tc>
          <w:tcPr>
            <w:tcW w:w="766"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rPr>
                <w:rFonts w:ascii="Arial" w:hAnsi="Arial" w:cs="Arial"/>
                <w:b/>
                <w:bCs/>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jc w:val="right"/>
              <w:rPr>
                <w:rFonts w:ascii="Arial" w:hAnsi="Arial" w:cs="Arial"/>
                <w:b/>
                <w:bCs/>
                <w:sz w:val="20"/>
                <w:szCs w:val="20"/>
              </w:rPr>
            </w:pPr>
            <w:r w:rsidRPr="00D21CE7">
              <w:rPr>
                <w:rFonts w:ascii="Arial" w:hAnsi="Arial" w:cs="Arial"/>
                <w:b/>
                <w:bCs/>
                <w:sz w:val="20"/>
                <w:szCs w:val="20"/>
              </w:rPr>
              <w:t>&lt;</w:t>
            </w:r>
            <w:r>
              <w:rPr>
                <w:rFonts w:ascii="Arial" w:hAnsi="Arial" w:cs="Arial"/>
                <w:b/>
                <w:bCs/>
                <w:sz w:val="20"/>
                <w:szCs w:val="20"/>
              </w:rPr>
              <w:t xml:space="preserve"> </w:t>
            </w:r>
            <w:r w:rsidRPr="00D21CE7">
              <w:rPr>
                <w:rFonts w:ascii="Arial" w:hAnsi="Arial" w:cs="Arial"/>
                <w:b/>
                <w:bCs/>
                <w:sz w:val="20"/>
                <w:szCs w:val="20"/>
              </w:rPr>
              <w:t>1 year</w:t>
            </w:r>
          </w:p>
        </w:tc>
        <w:tc>
          <w:tcPr>
            <w:tcW w:w="1118"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jc w:val="right"/>
              <w:rPr>
                <w:rFonts w:ascii="Arial" w:hAnsi="Arial" w:cs="Arial"/>
                <w:b/>
                <w:bCs/>
                <w:sz w:val="20"/>
                <w:szCs w:val="20"/>
              </w:rPr>
            </w:pPr>
            <w:r>
              <w:rPr>
                <w:rFonts w:ascii="Arial" w:hAnsi="Arial" w:cs="Arial"/>
                <w:b/>
                <w:bCs/>
                <w:sz w:val="20"/>
                <w:szCs w:val="20"/>
              </w:rPr>
              <w:t>1–</w:t>
            </w:r>
            <w:r w:rsidRPr="00D21CE7">
              <w:rPr>
                <w:rFonts w:ascii="Arial" w:hAnsi="Arial" w:cs="Arial"/>
                <w:b/>
                <w:bCs/>
                <w:sz w:val="20"/>
                <w:szCs w:val="20"/>
              </w:rPr>
              <w:t>5 years</w:t>
            </w:r>
          </w:p>
        </w:tc>
        <w:tc>
          <w:tcPr>
            <w:tcW w:w="1118"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jc w:val="right"/>
              <w:rPr>
                <w:rFonts w:ascii="Arial" w:hAnsi="Arial" w:cs="Arial"/>
                <w:b/>
                <w:bCs/>
                <w:sz w:val="20"/>
                <w:szCs w:val="20"/>
              </w:rPr>
            </w:pPr>
            <w:r w:rsidRPr="00D21CE7">
              <w:rPr>
                <w:rFonts w:ascii="Arial" w:hAnsi="Arial" w:cs="Arial"/>
                <w:b/>
                <w:bCs/>
                <w:sz w:val="20"/>
                <w:szCs w:val="20"/>
              </w:rPr>
              <w:t>&gt; 5 years</w:t>
            </w:r>
          </w:p>
        </w:tc>
        <w:tc>
          <w:tcPr>
            <w:tcW w:w="1118"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jc w:val="right"/>
              <w:rPr>
                <w:rFonts w:ascii="Arial" w:hAnsi="Arial" w:cs="Arial"/>
                <w:b/>
                <w:bCs/>
                <w:color w:val="000000"/>
                <w:sz w:val="20"/>
                <w:szCs w:val="20"/>
              </w:rPr>
            </w:pPr>
            <w:r w:rsidRPr="00D21CE7">
              <w:rPr>
                <w:rFonts w:ascii="Arial" w:hAnsi="Arial" w:cs="Arial"/>
                <w:b/>
                <w:bCs/>
                <w:color w:val="000000"/>
                <w:sz w:val="20"/>
                <w:szCs w:val="20"/>
              </w:rPr>
              <w:t>Total</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B56C26">
            <w:pPr>
              <w:spacing w:before="40" w:line="240" w:lineRule="auto"/>
              <w:rPr>
                <w:rFonts w:ascii="Arial" w:hAnsi="Arial" w:cs="Arial"/>
                <w:b/>
                <w:bCs/>
                <w:color w:val="000000"/>
                <w:sz w:val="20"/>
                <w:szCs w:val="20"/>
              </w:rPr>
            </w:pPr>
          </w:p>
        </w:tc>
        <w:tc>
          <w:tcPr>
            <w:tcW w:w="338" w:type="dxa"/>
            <w:tcBorders>
              <w:top w:val="nil"/>
              <w:left w:val="nil"/>
              <w:bottom w:val="single" w:sz="4" w:space="0" w:color="auto"/>
              <w:right w:val="nil"/>
            </w:tcBorders>
            <w:shd w:val="clear" w:color="auto" w:fill="auto"/>
            <w:noWrap/>
            <w:vAlign w:val="bottom"/>
            <w:hideMark/>
          </w:tcPr>
          <w:p w:rsidR="00D21CE7" w:rsidRPr="00D21CE7" w:rsidRDefault="00D21CE7" w:rsidP="00B56C26">
            <w:pPr>
              <w:spacing w:before="40" w:line="240" w:lineRule="auto"/>
              <w:rPr>
                <w:rFonts w:ascii="Arial" w:hAnsi="Arial" w:cs="Arial"/>
                <w:color w:val="000000"/>
                <w:sz w:val="20"/>
                <w:szCs w:val="20"/>
              </w:rPr>
            </w:pPr>
            <w:r w:rsidRPr="00D21CE7">
              <w:rPr>
                <w:rFonts w:ascii="Arial" w:hAnsi="Arial" w:cs="Arial"/>
                <w:color w:val="000000"/>
                <w:sz w:val="20"/>
                <w:szCs w:val="20"/>
              </w:rPr>
              <w:t> </w:t>
            </w:r>
          </w:p>
        </w:tc>
        <w:tc>
          <w:tcPr>
            <w:tcW w:w="3629" w:type="dxa"/>
            <w:gridSpan w:val="2"/>
            <w:tcBorders>
              <w:top w:val="nil"/>
              <w:left w:val="nil"/>
              <w:bottom w:val="single" w:sz="4" w:space="0" w:color="auto"/>
              <w:right w:val="nil"/>
            </w:tcBorders>
            <w:shd w:val="clear" w:color="auto" w:fill="auto"/>
            <w:noWrap/>
            <w:vAlign w:val="bottom"/>
            <w:hideMark/>
          </w:tcPr>
          <w:p w:rsidR="00D21CE7" w:rsidRPr="00D21CE7" w:rsidRDefault="00D21CE7" w:rsidP="00B56C26">
            <w:pPr>
              <w:spacing w:before="40" w:line="240" w:lineRule="auto"/>
              <w:rPr>
                <w:rFonts w:ascii="Arial" w:hAnsi="Arial" w:cs="Arial"/>
                <w:sz w:val="20"/>
                <w:szCs w:val="20"/>
              </w:rPr>
            </w:pPr>
            <w:r w:rsidRPr="00D21CE7">
              <w:rPr>
                <w:rFonts w:ascii="Arial" w:hAnsi="Arial" w:cs="Arial"/>
                <w:sz w:val="20"/>
                <w:szCs w:val="20"/>
              </w:rPr>
              <w:t> </w:t>
            </w:r>
          </w:p>
        </w:tc>
        <w:tc>
          <w:tcPr>
            <w:tcW w:w="766" w:type="dxa"/>
            <w:tcBorders>
              <w:top w:val="nil"/>
              <w:left w:val="nil"/>
              <w:bottom w:val="single" w:sz="4" w:space="0" w:color="auto"/>
              <w:right w:val="nil"/>
            </w:tcBorders>
            <w:shd w:val="clear" w:color="auto" w:fill="auto"/>
            <w:noWrap/>
            <w:vAlign w:val="center"/>
            <w:hideMark/>
          </w:tcPr>
          <w:p w:rsidR="00D21CE7" w:rsidRPr="00D21CE7" w:rsidRDefault="00D21CE7" w:rsidP="00B56C26">
            <w:pPr>
              <w:spacing w:before="40" w:line="240" w:lineRule="auto"/>
              <w:jc w:val="center"/>
              <w:rPr>
                <w:rFonts w:ascii="Arial" w:hAnsi="Arial" w:cs="Arial"/>
                <w:b/>
                <w:bCs/>
                <w:sz w:val="20"/>
                <w:szCs w:val="20"/>
              </w:rPr>
            </w:pPr>
            <w:r w:rsidRPr="00D21CE7">
              <w:rPr>
                <w:rFonts w:ascii="Arial" w:hAnsi="Arial" w:cs="Arial"/>
                <w:b/>
                <w:bCs/>
                <w:sz w:val="20"/>
                <w:szCs w:val="20"/>
              </w:rPr>
              <w:t>Notes</w:t>
            </w:r>
          </w:p>
        </w:tc>
        <w:tc>
          <w:tcPr>
            <w:tcW w:w="1118" w:type="dxa"/>
            <w:tcBorders>
              <w:top w:val="nil"/>
              <w:left w:val="nil"/>
              <w:bottom w:val="single" w:sz="4" w:space="0" w:color="auto"/>
              <w:right w:val="nil"/>
            </w:tcBorders>
            <w:shd w:val="clear" w:color="auto" w:fill="auto"/>
            <w:noWrap/>
            <w:vAlign w:val="bottom"/>
            <w:hideMark/>
          </w:tcPr>
          <w:p w:rsidR="00D21CE7" w:rsidRPr="00D21CE7" w:rsidRDefault="00D21CE7" w:rsidP="00B56C26">
            <w:pPr>
              <w:spacing w:before="4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$'000 </w:t>
            </w:r>
          </w:p>
        </w:tc>
        <w:tc>
          <w:tcPr>
            <w:tcW w:w="1118" w:type="dxa"/>
            <w:tcBorders>
              <w:top w:val="nil"/>
              <w:left w:val="nil"/>
              <w:bottom w:val="single" w:sz="4" w:space="0" w:color="auto"/>
              <w:right w:val="nil"/>
            </w:tcBorders>
            <w:shd w:val="clear" w:color="auto" w:fill="auto"/>
            <w:noWrap/>
            <w:vAlign w:val="bottom"/>
            <w:hideMark/>
          </w:tcPr>
          <w:p w:rsidR="00D21CE7" w:rsidRPr="00D21CE7" w:rsidRDefault="00D21CE7" w:rsidP="00B56C26">
            <w:pPr>
              <w:spacing w:before="4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$'000 </w:t>
            </w:r>
          </w:p>
        </w:tc>
        <w:tc>
          <w:tcPr>
            <w:tcW w:w="1118" w:type="dxa"/>
            <w:tcBorders>
              <w:top w:val="nil"/>
              <w:left w:val="nil"/>
              <w:bottom w:val="single" w:sz="4" w:space="0" w:color="auto"/>
              <w:right w:val="nil"/>
            </w:tcBorders>
            <w:shd w:val="clear" w:color="auto" w:fill="auto"/>
            <w:noWrap/>
            <w:vAlign w:val="bottom"/>
            <w:hideMark/>
          </w:tcPr>
          <w:p w:rsidR="00D21CE7" w:rsidRPr="00D21CE7" w:rsidRDefault="00D21CE7" w:rsidP="00B56C26">
            <w:pPr>
              <w:spacing w:before="4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$'000 </w:t>
            </w:r>
          </w:p>
        </w:tc>
        <w:tc>
          <w:tcPr>
            <w:tcW w:w="1118" w:type="dxa"/>
            <w:tcBorders>
              <w:top w:val="nil"/>
              <w:left w:val="nil"/>
              <w:bottom w:val="single" w:sz="4" w:space="0" w:color="auto"/>
              <w:right w:val="nil"/>
            </w:tcBorders>
            <w:shd w:val="clear" w:color="auto" w:fill="auto"/>
            <w:noWrap/>
            <w:vAlign w:val="bottom"/>
            <w:hideMark/>
          </w:tcPr>
          <w:p w:rsidR="00D21CE7" w:rsidRPr="00D21CE7" w:rsidRDefault="00D21CE7" w:rsidP="00B56C26">
            <w:pPr>
              <w:spacing w:before="4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$'000 </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967" w:type="dxa"/>
            <w:gridSpan w:val="3"/>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r w:rsidRPr="00D21CE7">
              <w:rPr>
                <w:rFonts w:ascii="Arial" w:hAnsi="Arial" w:cs="Arial"/>
                <w:b/>
                <w:bCs/>
                <w:color w:val="000000"/>
                <w:sz w:val="20"/>
                <w:szCs w:val="20"/>
              </w:rPr>
              <w:t>Financial Liabilities</w:t>
            </w:r>
          </w:p>
        </w:tc>
        <w:tc>
          <w:tcPr>
            <w:tcW w:w="766"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62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r w:rsidRPr="00D21CE7">
              <w:rPr>
                <w:rFonts w:ascii="Arial" w:hAnsi="Arial" w:cs="Arial"/>
                <w:color w:val="000000"/>
                <w:sz w:val="20"/>
                <w:szCs w:val="20"/>
              </w:rPr>
              <w:t>Payables</w:t>
            </w:r>
          </w:p>
        </w:tc>
        <w:tc>
          <w:tcPr>
            <w:tcW w:w="766"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i/>
                <w:iCs/>
                <w:color w:val="000000"/>
                <w:sz w:val="20"/>
                <w:szCs w:val="20"/>
              </w:rPr>
            </w:pPr>
            <w:r w:rsidRPr="00D21CE7">
              <w:rPr>
                <w:rFonts w:ascii="Arial" w:hAnsi="Arial" w:cs="Arial"/>
                <w:i/>
                <w:iCs/>
                <w:color w:val="000000"/>
                <w:sz w:val="20"/>
                <w:szCs w:val="20"/>
              </w:rPr>
              <w:t>16</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3,742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 </w:t>
            </w:r>
            <w:r w:rsidR="00FA5556">
              <w:rPr>
                <w:rFonts w:ascii="Arial" w:hAnsi="Arial" w:cs="Arial"/>
                <w:color w:val="000000"/>
                <w:sz w:val="20"/>
                <w:szCs w:val="20"/>
              </w:rPr>
              <w:t>–</w:t>
            </w:r>
            <w:r w:rsidRPr="00D21CE7">
              <w:rPr>
                <w:rFonts w:ascii="Arial" w:hAnsi="Arial" w:cs="Arial"/>
                <w:color w:val="000000"/>
                <w:sz w:val="20"/>
                <w:szCs w:val="20"/>
              </w:rPr>
              <w:t xml:space="preserve">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 </w:t>
            </w:r>
            <w:r w:rsidR="00FA5556">
              <w:rPr>
                <w:rFonts w:ascii="Arial" w:hAnsi="Arial" w:cs="Arial"/>
                <w:color w:val="000000"/>
                <w:sz w:val="20"/>
                <w:szCs w:val="20"/>
              </w:rPr>
              <w:t>–</w:t>
            </w:r>
            <w:r w:rsidRPr="00D21CE7">
              <w:rPr>
                <w:rFonts w:ascii="Arial" w:hAnsi="Arial" w:cs="Arial"/>
                <w:color w:val="000000"/>
                <w:sz w:val="20"/>
                <w:szCs w:val="20"/>
              </w:rPr>
              <w:t xml:space="preserve">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3,742 </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967" w:type="dxa"/>
            <w:gridSpan w:val="3"/>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r w:rsidRPr="00D21CE7">
              <w:rPr>
                <w:rFonts w:ascii="Arial" w:hAnsi="Arial" w:cs="Arial"/>
                <w:b/>
                <w:bCs/>
                <w:color w:val="000000"/>
                <w:sz w:val="20"/>
                <w:szCs w:val="20"/>
              </w:rPr>
              <w:t>Total</w:t>
            </w:r>
          </w:p>
        </w:tc>
        <w:tc>
          <w:tcPr>
            <w:tcW w:w="76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color w:val="000000"/>
                <w:sz w:val="20"/>
                <w:szCs w:val="20"/>
              </w:rPr>
            </w:pPr>
          </w:p>
        </w:tc>
        <w:tc>
          <w:tcPr>
            <w:tcW w:w="1118" w:type="dxa"/>
            <w:tcBorders>
              <w:top w:val="single" w:sz="4" w:space="0" w:color="auto"/>
              <w:left w:val="nil"/>
              <w:bottom w:val="double" w:sz="6" w:space="0" w:color="auto"/>
              <w:right w:val="nil"/>
            </w:tcBorders>
            <w:shd w:val="clear" w:color="000000" w:fill="FFFFFF"/>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3,742 </w:t>
            </w:r>
          </w:p>
        </w:tc>
        <w:tc>
          <w:tcPr>
            <w:tcW w:w="1118" w:type="dxa"/>
            <w:tcBorders>
              <w:top w:val="single" w:sz="4" w:space="0" w:color="auto"/>
              <w:left w:val="nil"/>
              <w:bottom w:val="double" w:sz="6" w:space="0" w:color="auto"/>
              <w:right w:val="nil"/>
            </w:tcBorders>
            <w:shd w:val="clear" w:color="000000" w:fill="FFFFFF"/>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 </w:t>
            </w:r>
            <w:r w:rsidR="00FA5556">
              <w:rPr>
                <w:rFonts w:ascii="Arial" w:hAnsi="Arial" w:cs="Arial"/>
                <w:b/>
                <w:bCs/>
                <w:color w:val="000000"/>
                <w:sz w:val="20"/>
                <w:szCs w:val="20"/>
              </w:rPr>
              <w:t>–</w:t>
            </w:r>
            <w:r w:rsidRPr="00D21CE7">
              <w:rPr>
                <w:rFonts w:ascii="Arial" w:hAnsi="Arial" w:cs="Arial"/>
                <w:b/>
                <w:bCs/>
                <w:color w:val="000000"/>
                <w:sz w:val="20"/>
                <w:szCs w:val="20"/>
              </w:rPr>
              <w:t xml:space="preserve"> </w:t>
            </w:r>
          </w:p>
        </w:tc>
        <w:tc>
          <w:tcPr>
            <w:tcW w:w="1118" w:type="dxa"/>
            <w:tcBorders>
              <w:top w:val="single" w:sz="4" w:space="0" w:color="auto"/>
              <w:left w:val="nil"/>
              <w:bottom w:val="double" w:sz="6" w:space="0" w:color="auto"/>
              <w:right w:val="nil"/>
            </w:tcBorders>
            <w:shd w:val="clear" w:color="000000" w:fill="FFFFFF"/>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 </w:t>
            </w:r>
            <w:r w:rsidR="00FA5556">
              <w:rPr>
                <w:rFonts w:ascii="Arial" w:hAnsi="Arial" w:cs="Arial"/>
                <w:b/>
                <w:bCs/>
                <w:color w:val="000000"/>
                <w:sz w:val="20"/>
                <w:szCs w:val="20"/>
              </w:rPr>
              <w:t>–</w:t>
            </w:r>
            <w:r w:rsidRPr="00D21CE7">
              <w:rPr>
                <w:rFonts w:ascii="Arial" w:hAnsi="Arial" w:cs="Arial"/>
                <w:b/>
                <w:bCs/>
                <w:color w:val="000000"/>
                <w:sz w:val="20"/>
                <w:szCs w:val="20"/>
              </w:rPr>
              <w:t xml:space="preserve"> </w:t>
            </w:r>
          </w:p>
        </w:tc>
        <w:tc>
          <w:tcPr>
            <w:tcW w:w="1118" w:type="dxa"/>
            <w:tcBorders>
              <w:top w:val="single" w:sz="4" w:space="0" w:color="auto"/>
              <w:left w:val="nil"/>
              <w:bottom w:val="double" w:sz="6" w:space="0" w:color="auto"/>
              <w:right w:val="nil"/>
            </w:tcBorders>
            <w:shd w:val="clear" w:color="000000" w:fill="FFFFFF"/>
            <w:noWrap/>
            <w:vAlign w:val="bottom"/>
            <w:hideMark/>
          </w:tcPr>
          <w:p w:rsidR="00D21CE7" w:rsidRPr="00D21CE7" w:rsidRDefault="00D21CE7" w:rsidP="00D21CE7">
            <w:pPr>
              <w:spacing w:before="0" w:line="240" w:lineRule="auto"/>
              <w:jc w:val="right"/>
              <w:rPr>
                <w:rFonts w:ascii="Arial" w:hAnsi="Arial" w:cs="Arial"/>
                <w:b/>
                <w:bCs/>
                <w:color w:val="000000"/>
                <w:sz w:val="20"/>
                <w:szCs w:val="20"/>
              </w:rPr>
            </w:pPr>
            <w:r w:rsidRPr="00D21CE7">
              <w:rPr>
                <w:rFonts w:ascii="Arial" w:hAnsi="Arial" w:cs="Arial"/>
                <w:b/>
                <w:bCs/>
                <w:color w:val="000000"/>
                <w:sz w:val="20"/>
                <w:szCs w:val="20"/>
              </w:rPr>
              <w:t xml:space="preserve">3,742 </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9205" w:type="dxa"/>
            <w:gridSpan w:val="8"/>
            <w:tcBorders>
              <w:top w:val="nil"/>
              <w:left w:val="nil"/>
              <w:bottom w:val="nil"/>
              <w:right w:val="nil"/>
            </w:tcBorders>
            <w:shd w:val="clear" w:color="auto" w:fill="auto"/>
            <w:noWrap/>
            <w:vAlign w:val="bottom"/>
            <w:hideMark/>
          </w:tcPr>
          <w:p w:rsidR="00D21CE7" w:rsidRPr="00D21CE7" w:rsidRDefault="00D21CE7" w:rsidP="00D21CE7">
            <w:pPr>
              <w:spacing w:before="240" w:line="240" w:lineRule="auto"/>
              <w:rPr>
                <w:rFonts w:ascii="Arial" w:hAnsi="Arial" w:cs="Arial"/>
                <w:color w:val="000000"/>
                <w:sz w:val="20"/>
                <w:szCs w:val="20"/>
              </w:rPr>
            </w:pPr>
            <w:r w:rsidRPr="00D21CE7">
              <w:rPr>
                <w:rFonts w:ascii="Arial" w:hAnsi="Arial" w:cs="Arial"/>
                <w:b/>
                <w:bCs/>
                <w:color w:val="000000"/>
                <w:sz w:val="20"/>
                <w:szCs w:val="20"/>
              </w:rPr>
              <w:t>(e) Market Risk</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9205" w:type="dxa"/>
            <w:gridSpan w:val="8"/>
            <w:tcBorders>
              <w:top w:val="nil"/>
              <w:left w:val="nil"/>
              <w:bottom w:val="nil"/>
              <w:right w:val="nil"/>
            </w:tcBorders>
            <w:shd w:val="clear" w:color="auto" w:fill="auto"/>
            <w:noWrap/>
            <w:vAlign w:val="bottom"/>
            <w:hideMark/>
          </w:tcPr>
          <w:p w:rsidR="00D21CE7" w:rsidRPr="00D21CE7" w:rsidRDefault="00D21CE7" w:rsidP="00D21CE7">
            <w:pPr>
              <w:spacing w:before="120" w:after="120"/>
              <w:rPr>
                <w:rFonts w:ascii="Arial" w:hAnsi="Arial" w:cs="Arial"/>
                <w:color w:val="000000"/>
                <w:sz w:val="20"/>
                <w:szCs w:val="20"/>
              </w:rPr>
            </w:pPr>
            <w:r w:rsidRPr="00D21CE7">
              <w:rPr>
                <w:rFonts w:ascii="Arial" w:hAnsi="Arial" w:cs="Arial"/>
                <w:color w:val="000000"/>
                <w:sz w:val="20"/>
                <w:szCs w:val="20"/>
              </w:rPr>
              <w:t>The Authority does not trade in foreign currency and is not materially exposed to commodity price changes. The Authority is exposed to interest rate risk through its cash deposited in interest bearing accounts. The Authority does not undertake any hedging in relation to interest risk and manages its risk as per the liquidity risk management strategy articulated in the Authority's Investment Policy.</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9205" w:type="dxa"/>
            <w:gridSpan w:val="8"/>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r w:rsidRPr="00D21CE7">
              <w:rPr>
                <w:rFonts w:ascii="Arial" w:hAnsi="Arial" w:cs="Arial"/>
                <w:b/>
                <w:bCs/>
                <w:color w:val="000000"/>
                <w:sz w:val="20"/>
                <w:szCs w:val="20"/>
              </w:rPr>
              <w:t>(f) Interest Rate Sensitivity Analysis</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9205" w:type="dxa"/>
            <w:gridSpan w:val="8"/>
            <w:tcBorders>
              <w:top w:val="nil"/>
              <w:left w:val="nil"/>
              <w:bottom w:val="nil"/>
              <w:right w:val="nil"/>
            </w:tcBorders>
            <w:shd w:val="clear" w:color="auto" w:fill="auto"/>
            <w:noWrap/>
            <w:vAlign w:val="bottom"/>
            <w:hideMark/>
          </w:tcPr>
          <w:p w:rsidR="00D21CE7" w:rsidRPr="00D21CE7" w:rsidRDefault="00D21CE7" w:rsidP="00D21CE7">
            <w:pPr>
              <w:spacing w:before="120" w:after="120"/>
              <w:rPr>
                <w:rFonts w:ascii="Arial" w:hAnsi="Arial" w:cs="Arial"/>
                <w:color w:val="000000"/>
                <w:sz w:val="20"/>
                <w:szCs w:val="20"/>
              </w:rPr>
            </w:pPr>
            <w:r w:rsidRPr="00D21CE7">
              <w:rPr>
                <w:rFonts w:ascii="Arial" w:hAnsi="Arial" w:cs="Arial"/>
                <w:color w:val="000000"/>
                <w:sz w:val="20"/>
                <w:szCs w:val="20"/>
              </w:rPr>
              <w:t>The following interest rate sensitivity analysis is based on a report similar to that provided to management, depicting the outcome on net income if interest rates would change by +/</w:t>
            </w:r>
            <w:r w:rsidR="00FA5556">
              <w:rPr>
                <w:rFonts w:ascii="Arial" w:hAnsi="Arial" w:cs="Arial"/>
                <w:color w:val="000000"/>
                <w:sz w:val="20"/>
                <w:szCs w:val="20"/>
              </w:rPr>
              <w:t>–</w:t>
            </w:r>
            <w:r w:rsidRPr="00D21CE7">
              <w:rPr>
                <w:rFonts w:ascii="Arial" w:hAnsi="Arial" w:cs="Arial"/>
                <w:color w:val="000000"/>
                <w:sz w:val="20"/>
                <w:szCs w:val="20"/>
              </w:rPr>
              <w:t xml:space="preserve"> 1% from the year-end rates applicable to the Authority's financial assets and liabilities. With all other variables held constant, the Authority would have a surplus and equity increase</w:t>
            </w:r>
            <w:proofErr w:type="gramStart"/>
            <w:r w:rsidRPr="00D21CE7">
              <w:rPr>
                <w:rFonts w:ascii="Arial" w:hAnsi="Arial" w:cs="Arial"/>
                <w:color w:val="000000"/>
                <w:sz w:val="20"/>
                <w:szCs w:val="20"/>
              </w:rPr>
              <w:t>/(</w:t>
            </w:r>
            <w:proofErr w:type="gramEnd"/>
            <w:r w:rsidRPr="00D21CE7">
              <w:rPr>
                <w:rFonts w:ascii="Arial" w:hAnsi="Arial" w:cs="Arial"/>
                <w:color w:val="000000"/>
                <w:sz w:val="20"/>
                <w:szCs w:val="20"/>
              </w:rPr>
              <w:t>decreas</w:t>
            </w:r>
            <w:r>
              <w:rPr>
                <w:rFonts w:ascii="Arial" w:hAnsi="Arial" w:cs="Arial"/>
                <w:color w:val="000000"/>
                <w:sz w:val="20"/>
                <w:szCs w:val="20"/>
              </w:rPr>
              <w:t xml:space="preserve">e) of $125,000 (2013:$125,000). </w:t>
            </w:r>
            <w:r w:rsidRPr="00D21CE7">
              <w:rPr>
                <w:rFonts w:ascii="Arial" w:hAnsi="Arial" w:cs="Arial"/>
                <w:color w:val="000000"/>
                <w:sz w:val="20"/>
                <w:szCs w:val="20"/>
              </w:rPr>
              <w:t>This is mainly attributable to the Authority's exposure to variable interest rates on its cash invested.</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614"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r w:rsidRPr="00D21CE7">
              <w:rPr>
                <w:rFonts w:ascii="Arial" w:hAnsi="Arial" w:cs="Arial"/>
                <w:b/>
                <w:bCs/>
                <w:color w:val="000000"/>
                <w:sz w:val="20"/>
                <w:szCs w:val="20"/>
              </w:rPr>
              <w:t>Financial Instruments</w:t>
            </w: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Carrying</w:t>
            </w:r>
          </w:p>
        </w:tc>
        <w:tc>
          <w:tcPr>
            <w:tcW w:w="4472" w:type="dxa"/>
            <w:gridSpan w:val="4"/>
            <w:tcBorders>
              <w:top w:val="nil"/>
              <w:left w:val="nil"/>
              <w:bottom w:val="nil"/>
              <w:right w:val="nil"/>
            </w:tcBorders>
            <w:shd w:val="clear" w:color="000000" w:fill="D9D9D9"/>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2014 Interest rate risk</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27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Amount</w:t>
            </w:r>
          </w:p>
        </w:tc>
        <w:tc>
          <w:tcPr>
            <w:tcW w:w="2236" w:type="dxa"/>
            <w:gridSpan w:val="2"/>
            <w:tcBorders>
              <w:top w:val="nil"/>
              <w:left w:val="nil"/>
              <w:bottom w:val="nil"/>
              <w:right w:val="nil"/>
            </w:tcBorders>
            <w:shd w:val="clear" w:color="auto" w:fill="auto"/>
            <w:noWrap/>
            <w:vAlign w:val="bottom"/>
            <w:hideMark/>
          </w:tcPr>
          <w:p w:rsidR="00D21CE7" w:rsidRPr="00D21CE7" w:rsidRDefault="00FA5556" w:rsidP="00D21CE7">
            <w:pPr>
              <w:spacing w:before="0" w:line="240" w:lineRule="auto"/>
              <w:jc w:val="center"/>
              <w:rPr>
                <w:rFonts w:ascii="Arial" w:hAnsi="Arial" w:cs="Arial"/>
                <w:b/>
                <w:bCs/>
                <w:sz w:val="20"/>
                <w:szCs w:val="20"/>
              </w:rPr>
            </w:pPr>
            <w:r>
              <w:rPr>
                <w:rFonts w:ascii="Arial" w:hAnsi="Arial" w:cs="Arial"/>
                <w:b/>
                <w:bCs/>
                <w:sz w:val="20"/>
                <w:szCs w:val="20"/>
              </w:rPr>
              <w:t>–</w:t>
            </w:r>
            <w:r w:rsidR="00D21CE7" w:rsidRPr="00D21CE7">
              <w:rPr>
                <w:rFonts w:ascii="Arial" w:hAnsi="Arial" w:cs="Arial"/>
                <w:b/>
                <w:bCs/>
                <w:sz w:val="20"/>
                <w:szCs w:val="20"/>
              </w:rPr>
              <w:t>1%</w:t>
            </w:r>
          </w:p>
        </w:tc>
        <w:tc>
          <w:tcPr>
            <w:tcW w:w="2236"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center"/>
              <w:rPr>
                <w:rFonts w:ascii="Arial" w:hAnsi="Arial" w:cs="Arial"/>
                <w:b/>
                <w:bCs/>
                <w:sz w:val="20"/>
                <w:szCs w:val="20"/>
              </w:rPr>
            </w:pPr>
            <w:r w:rsidRPr="00D21CE7">
              <w:rPr>
                <w:rFonts w:ascii="Arial" w:hAnsi="Arial" w:cs="Arial"/>
                <w:b/>
                <w:bCs/>
                <w:sz w:val="20"/>
                <w:szCs w:val="20"/>
              </w:rPr>
              <w:t>+1%</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27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Profit</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Equity</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Profit</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Equity</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27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r w:rsidRPr="00D21CE7">
              <w:rPr>
                <w:rFonts w:ascii="Arial" w:hAnsi="Arial" w:cs="Arial"/>
                <w:color w:val="000000"/>
                <w:sz w:val="20"/>
                <w:szCs w:val="20"/>
              </w:rPr>
              <w:t>Cash</w:t>
            </w: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12,467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color w:val="000000"/>
                <w:sz w:val="20"/>
                <w:szCs w:val="20"/>
              </w:rPr>
            </w:pPr>
            <w:r w:rsidRPr="00D21CE7">
              <w:rPr>
                <w:rFonts w:ascii="Arial" w:hAnsi="Arial" w:cs="Arial"/>
                <w:color w:val="000000"/>
                <w:sz w:val="20"/>
                <w:szCs w:val="20"/>
              </w:rPr>
              <w:t>(125)</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color w:val="000000"/>
                <w:sz w:val="20"/>
                <w:szCs w:val="20"/>
              </w:rPr>
            </w:pPr>
            <w:r w:rsidRPr="00D21CE7">
              <w:rPr>
                <w:rFonts w:ascii="Arial" w:hAnsi="Arial" w:cs="Arial"/>
                <w:color w:val="000000"/>
                <w:sz w:val="20"/>
                <w:szCs w:val="20"/>
              </w:rPr>
              <w:t>(125)</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color w:val="000000"/>
                <w:sz w:val="20"/>
                <w:szCs w:val="20"/>
              </w:rPr>
            </w:pPr>
            <w:r w:rsidRPr="00D21CE7">
              <w:rPr>
                <w:rFonts w:ascii="Arial" w:hAnsi="Arial" w:cs="Arial"/>
                <w:color w:val="000000"/>
                <w:sz w:val="20"/>
                <w:szCs w:val="20"/>
              </w:rPr>
              <w:t xml:space="preserve">125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color w:val="000000"/>
                <w:sz w:val="20"/>
                <w:szCs w:val="20"/>
              </w:rPr>
            </w:pPr>
            <w:r w:rsidRPr="00D21CE7">
              <w:rPr>
                <w:rFonts w:ascii="Arial" w:hAnsi="Arial" w:cs="Arial"/>
                <w:color w:val="000000"/>
                <w:sz w:val="20"/>
                <w:szCs w:val="20"/>
              </w:rPr>
              <w:t xml:space="preserve">125 </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614"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r w:rsidRPr="00D21CE7">
              <w:rPr>
                <w:rFonts w:ascii="Arial" w:hAnsi="Arial" w:cs="Arial"/>
                <w:b/>
                <w:bCs/>
                <w:color w:val="000000"/>
                <w:sz w:val="20"/>
                <w:szCs w:val="20"/>
              </w:rPr>
              <w:t>Potential Impact</w:t>
            </w: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single" w:sz="4" w:space="0" w:color="auto"/>
              <w:left w:val="nil"/>
              <w:bottom w:val="double" w:sz="6" w:space="0" w:color="auto"/>
              <w:right w:val="nil"/>
            </w:tcBorders>
            <w:shd w:val="clear" w:color="000000" w:fill="D9D9D9"/>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(125)</w:t>
            </w:r>
          </w:p>
        </w:tc>
        <w:tc>
          <w:tcPr>
            <w:tcW w:w="1118" w:type="dxa"/>
            <w:tcBorders>
              <w:top w:val="single" w:sz="4" w:space="0" w:color="auto"/>
              <w:left w:val="nil"/>
              <w:bottom w:val="double" w:sz="6" w:space="0" w:color="auto"/>
              <w:right w:val="nil"/>
            </w:tcBorders>
            <w:shd w:val="clear" w:color="000000" w:fill="D9D9D9"/>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(125)</w:t>
            </w:r>
          </w:p>
        </w:tc>
        <w:tc>
          <w:tcPr>
            <w:tcW w:w="1118" w:type="dxa"/>
            <w:tcBorders>
              <w:top w:val="single" w:sz="4" w:space="0" w:color="auto"/>
              <w:left w:val="nil"/>
              <w:bottom w:val="double" w:sz="6" w:space="0" w:color="auto"/>
              <w:right w:val="nil"/>
            </w:tcBorders>
            <w:shd w:val="clear" w:color="000000" w:fill="D9D9D9"/>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 xml:space="preserve">125 </w:t>
            </w:r>
          </w:p>
        </w:tc>
        <w:tc>
          <w:tcPr>
            <w:tcW w:w="1118" w:type="dxa"/>
            <w:tcBorders>
              <w:top w:val="single" w:sz="4" w:space="0" w:color="auto"/>
              <w:left w:val="nil"/>
              <w:bottom w:val="double" w:sz="6" w:space="0" w:color="auto"/>
              <w:right w:val="nil"/>
            </w:tcBorders>
            <w:shd w:val="clear" w:color="000000" w:fill="D9D9D9"/>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 xml:space="preserve">125 </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27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sz w:val="20"/>
                <w:szCs w:val="20"/>
              </w:rPr>
            </w:pPr>
          </w:p>
        </w:tc>
        <w:tc>
          <w:tcPr>
            <w:tcW w:w="111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color w:val="000000"/>
                <w:sz w:val="20"/>
                <w:szCs w:val="20"/>
              </w:rPr>
            </w:pP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614"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r w:rsidRPr="00D21CE7">
              <w:rPr>
                <w:rFonts w:ascii="Arial" w:hAnsi="Arial" w:cs="Arial"/>
                <w:b/>
                <w:bCs/>
                <w:color w:val="000000"/>
                <w:sz w:val="20"/>
                <w:szCs w:val="20"/>
              </w:rPr>
              <w:t>Financial Instruments</w:t>
            </w: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Carrying</w:t>
            </w:r>
          </w:p>
        </w:tc>
        <w:tc>
          <w:tcPr>
            <w:tcW w:w="4472" w:type="dxa"/>
            <w:gridSpan w:val="4"/>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2013 Interest rate risk</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27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Amount</w:t>
            </w:r>
          </w:p>
        </w:tc>
        <w:tc>
          <w:tcPr>
            <w:tcW w:w="2236" w:type="dxa"/>
            <w:gridSpan w:val="2"/>
            <w:tcBorders>
              <w:top w:val="nil"/>
              <w:left w:val="nil"/>
              <w:bottom w:val="nil"/>
              <w:right w:val="nil"/>
            </w:tcBorders>
            <w:shd w:val="clear" w:color="auto" w:fill="auto"/>
            <w:noWrap/>
            <w:vAlign w:val="bottom"/>
            <w:hideMark/>
          </w:tcPr>
          <w:p w:rsidR="00D21CE7" w:rsidRPr="00D21CE7" w:rsidRDefault="00FA5556" w:rsidP="00D21CE7">
            <w:pPr>
              <w:spacing w:before="0" w:line="240" w:lineRule="auto"/>
              <w:jc w:val="center"/>
              <w:rPr>
                <w:rFonts w:ascii="Arial" w:hAnsi="Arial" w:cs="Arial"/>
                <w:b/>
                <w:bCs/>
                <w:sz w:val="20"/>
                <w:szCs w:val="20"/>
              </w:rPr>
            </w:pPr>
            <w:r>
              <w:rPr>
                <w:rFonts w:ascii="Arial" w:hAnsi="Arial" w:cs="Arial"/>
                <w:b/>
                <w:bCs/>
                <w:sz w:val="20"/>
                <w:szCs w:val="20"/>
              </w:rPr>
              <w:t>–</w:t>
            </w:r>
            <w:r w:rsidR="00D21CE7" w:rsidRPr="00D21CE7">
              <w:rPr>
                <w:rFonts w:ascii="Arial" w:hAnsi="Arial" w:cs="Arial"/>
                <w:b/>
                <w:bCs/>
                <w:sz w:val="20"/>
                <w:szCs w:val="20"/>
              </w:rPr>
              <w:t>1%</w:t>
            </w:r>
          </w:p>
        </w:tc>
        <w:tc>
          <w:tcPr>
            <w:tcW w:w="2236"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center"/>
              <w:rPr>
                <w:rFonts w:ascii="Arial" w:hAnsi="Arial" w:cs="Arial"/>
                <w:b/>
                <w:bCs/>
                <w:sz w:val="20"/>
                <w:szCs w:val="20"/>
              </w:rPr>
            </w:pPr>
            <w:r w:rsidRPr="00D21CE7">
              <w:rPr>
                <w:rFonts w:ascii="Arial" w:hAnsi="Arial" w:cs="Arial"/>
                <w:b/>
                <w:bCs/>
                <w:sz w:val="20"/>
                <w:szCs w:val="20"/>
              </w:rPr>
              <w:t>+1%</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27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Profit</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Equity</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Profit</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Equity</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38"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3276"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r w:rsidRPr="00D21CE7">
              <w:rPr>
                <w:rFonts w:ascii="Arial" w:hAnsi="Arial" w:cs="Arial"/>
                <w:color w:val="000000"/>
                <w:sz w:val="20"/>
                <w:szCs w:val="20"/>
              </w:rPr>
              <w:t>Cash</w:t>
            </w: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jc w:val="right"/>
              <w:rPr>
                <w:rFonts w:ascii="Arial" w:hAnsi="Arial" w:cs="Arial"/>
                <w:color w:val="000000"/>
                <w:sz w:val="20"/>
                <w:szCs w:val="20"/>
              </w:rPr>
            </w:pPr>
            <w:r w:rsidRPr="00D21CE7">
              <w:rPr>
                <w:rFonts w:ascii="Arial" w:hAnsi="Arial" w:cs="Arial"/>
                <w:color w:val="000000"/>
                <w:sz w:val="20"/>
                <w:szCs w:val="20"/>
              </w:rPr>
              <w:t xml:space="preserve">12,505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color w:val="000000"/>
                <w:sz w:val="20"/>
                <w:szCs w:val="20"/>
              </w:rPr>
            </w:pPr>
            <w:r w:rsidRPr="00D21CE7">
              <w:rPr>
                <w:rFonts w:ascii="Arial" w:hAnsi="Arial" w:cs="Arial"/>
                <w:color w:val="000000"/>
                <w:sz w:val="20"/>
                <w:szCs w:val="20"/>
              </w:rPr>
              <w:t>(125)</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color w:val="000000"/>
                <w:sz w:val="20"/>
                <w:szCs w:val="20"/>
              </w:rPr>
            </w:pPr>
            <w:r w:rsidRPr="00D21CE7">
              <w:rPr>
                <w:rFonts w:ascii="Arial" w:hAnsi="Arial" w:cs="Arial"/>
                <w:color w:val="000000"/>
                <w:sz w:val="20"/>
                <w:szCs w:val="20"/>
              </w:rPr>
              <w:t>(125)</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color w:val="000000"/>
                <w:sz w:val="20"/>
                <w:szCs w:val="20"/>
              </w:rPr>
            </w:pPr>
            <w:r w:rsidRPr="00D21CE7">
              <w:rPr>
                <w:rFonts w:ascii="Arial" w:hAnsi="Arial" w:cs="Arial"/>
                <w:color w:val="000000"/>
                <w:sz w:val="20"/>
                <w:szCs w:val="20"/>
              </w:rPr>
              <w:t xml:space="preserve">125 </w:t>
            </w:r>
          </w:p>
        </w:tc>
        <w:tc>
          <w:tcPr>
            <w:tcW w:w="1118" w:type="dxa"/>
            <w:tcBorders>
              <w:top w:val="nil"/>
              <w:left w:val="nil"/>
              <w:bottom w:val="nil"/>
              <w:right w:val="nil"/>
            </w:tcBorders>
            <w:shd w:val="clear" w:color="auto" w:fill="auto"/>
            <w:noWrap/>
            <w:vAlign w:val="center"/>
            <w:hideMark/>
          </w:tcPr>
          <w:p w:rsidR="00D21CE7" w:rsidRPr="00D21CE7" w:rsidRDefault="00D21CE7" w:rsidP="00D21CE7">
            <w:pPr>
              <w:spacing w:before="0" w:line="240" w:lineRule="auto"/>
              <w:jc w:val="center"/>
              <w:rPr>
                <w:rFonts w:ascii="Arial" w:hAnsi="Arial" w:cs="Arial"/>
                <w:color w:val="000000"/>
                <w:sz w:val="20"/>
                <w:szCs w:val="20"/>
              </w:rPr>
            </w:pPr>
            <w:r w:rsidRPr="00D21CE7">
              <w:rPr>
                <w:rFonts w:ascii="Arial" w:hAnsi="Arial" w:cs="Arial"/>
                <w:color w:val="000000"/>
                <w:sz w:val="20"/>
                <w:szCs w:val="20"/>
              </w:rPr>
              <w:t xml:space="preserve">125 </w:t>
            </w:r>
          </w:p>
        </w:tc>
      </w:tr>
      <w:tr w:rsidR="00D21CE7" w:rsidRPr="00D21CE7" w:rsidTr="00D21CE7">
        <w:trPr>
          <w:trHeight w:val="300"/>
        </w:trPr>
        <w:tc>
          <w:tcPr>
            <w:tcW w:w="392" w:type="dxa"/>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p>
        </w:tc>
        <w:tc>
          <w:tcPr>
            <w:tcW w:w="3614"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b/>
                <w:bCs/>
                <w:color w:val="000000"/>
                <w:sz w:val="20"/>
                <w:szCs w:val="20"/>
              </w:rPr>
            </w:pPr>
            <w:r w:rsidRPr="00D21CE7">
              <w:rPr>
                <w:rFonts w:ascii="Arial" w:hAnsi="Arial" w:cs="Arial"/>
                <w:b/>
                <w:bCs/>
                <w:color w:val="000000"/>
                <w:sz w:val="20"/>
                <w:szCs w:val="20"/>
              </w:rPr>
              <w:t>Potential Impact</w:t>
            </w:r>
          </w:p>
        </w:tc>
        <w:tc>
          <w:tcPr>
            <w:tcW w:w="1119" w:type="dxa"/>
            <w:gridSpan w:val="2"/>
            <w:tcBorders>
              <w:top w:val="nil"/>
              <w:left w:val="nil"/>
              <w:bottom w:val="nil"/>
              <w:right w:val="nil"/>
            </w:tcBorders>
            <w:shd w:val="clear" w:color="auto" w:fill="auto"/>
            <w:noWrap/>
            <w:vAlign w:val="bottom"/>
            <w:hideMark/>
          </w:tcPr>
          <w:p w:rsidR="00D21CE7" w:rsidRPr="00D21CE7" w:rsidRDefault="00D21CE7" w:rsidP="00D21CE7">
            <w:pPr>
              <w:spacing w:before="0" w:line="240" w:lineRule="auto"/>
              <w:rPr>
                <w:rFonts w:ascii="Arial" w:hAnsi="Arial" w:cs="Arial"/>
                <w:color w:val="000000"/>
                <w:sz w:val="20"/>
                <w:szCs w:val="20"/>
              </w:rPr>
            </w:pPr>
          </w:p>
        </w:tc>
        <w:tc>
          <w:tcPr>
            <w:tcW w:w="1118" w:type="dxa"/>
            <w:tcBorders>
              <w:top w:val="single" w:sz="4" w:space="0" w:color="auto"/>
              <w:left w:val="nil"/>
              <w:bottom w:val="double" w:sz="6" w:space="0" w:color="auto"/>
              <w:right w:val="nil"/>
            </w:tcBorders>
            <w:shd w:val="clear" w:color="000000" w:fill="FFFFFF"/>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(125)</w:t>
            </w:r>
          </w:p>
        </w:tc>
        <w:tc>
          <w:tcPr>
            <w:tcW w:w="1118" w:type="dxa"/>
            <w:tcBorders>
              <w:top w:val="single" w:sz="4" w:space="0" w:color="auto"/>
              <w:left w:val="nil"/>
              <w:bottom w:val="double" w:sz="6" w:space="0" w:color="auto"/>
              <w:right w:val="nil"/>
            </w:tcBorders>
            <w:shd w:val="clear" w:color="000000" w:fill="FFFFFF"/>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(125)</w:t>
            </w:r>
          </w:p>
        </w:tc>
        <w:tc>
          <w:tcPr>
            <w:tcW w:w="1118" w:type="dxa"/>
            <w:tcBorders>
              <w:top w:val="single" w:sz="4" w:space="0" w:color="auto"/>
              <w:left w:val="nil"/>
              <w:bottom w:val="double" w:sz="6" w:space="0" w:color="auto"/>
              <w:right w:val="nil"/>
            </w:tcBorders>
            <w:shd w:val="clear" w:color="000000" w:fill="FFFFFF"/>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 xml:space="preserve">125 </w:t>
            </w:r>
          </w:p>
        </w:tc>
        <w:tc>
          <w:tcPr>
            <w:tcW w:w="1118" w:type="dxa"/>
            <w:tcBorders>
              <w:top w:val="single" w:sz="4" w:space="0" w:color="auto"/>
              <w:left w:val="nil"/>
              <w:bottom w:val="double" w:sz="6" w:space="0" w:color="auto"/>
              <w:right w:val="nil"/>
            </w:tcBorders>
            <w:shd w:val="clear" w:color="000000" w:fill="FFFFFF"/>
            <w:noWrap/>
            <w:vAlign w:val="bottom"/>
            <w:hideMark/>
          </w:tcPr>
          <w:p w:rsidR="00D21CE7" w:rsidRPr="00D21CE7" w:rsidRDefault="00D21CE7" w:rsidP="00D21CE7">
            <w:pPr>
              <w:spacing w:before="0" w:line="240" w:lineRule="auto"/>
              <w:jc w:val="center"/>
              <w:rPr>
                <w:rFonts w:ascii="Arial" w:hAnsi="Arial" w:cs="Arial"/>
                <w:b/>
                <w:bCs/>
                <w:color w:val="000000"/>
                <w:sz w:val="20"/>
                <w:szCs w:val="20"/>
              </w:rPr>
            </w:pPr>
            <w:r w:rsidRPr="00D21CE7">
              <w:rPr>
                <w:rFonts w:ascii="Arial" w:hAnsi="Arial" w:cs="Arial"/>
                <w:b/>
                <w:bCs/>
                <w:color w:val="000000"/>
                <w:sz w:val="20"/>
                <w:szCs w:val="20"/>
              </w:rPr>
              <w:t xml:space="preserve">125 </w:t>
            </w:r>
          </w:p>
        </w:tc>
      </w:tr>
      <w:tr w:rsidR="005C2A68" w:rsidRPr="00D21CE7" w:rsidTr="005C2A68">
        <w:trPr>
          <w:trHeight w:val="1193"/>
        </w:trPr>
        <w:tc>
          <w:tcPr>
            <w:tcW w:w="392" w:type="dxa"/>
            <w:tcBorders>
              <w:top w:val="nil"/>
              <w:left w:val="nil"/>
              <w:right w:val="nil"/>
            </w:tcBorders>
            <w:shd w:val="clear" w:color="auto" w:fill="auto"/>
            <w:noWrap/>
            <w:vAlign w:val="bottom"/>
            <w:hideMark/>
          </w:tcPr>
          <w:p w:rsidR="005C2A68" w:rsidRPr="00D21CE7" w:rsidRDefault="005C2A68" w:rsidP="00D21CE7">
            <w:pPr>
              <w:spacing w:before="0" w:line="240" w:lineRule="auto"/>
              <w:rPr>
                <w:rFonts w:ascii="Arial" w:hAnsi="Arial" w:cs="Arial"/>
                <w:b/>
                <w:bCs/>
                <w:color w:val="000000"/>
                <w:sz w:val="20"/>
                <w:szCs w:val="20"/>
              </w:rPr>
            </w:pPr>
          </w:p>
        </w:tc>
        <w:tc>
          <w:tcPr>
            <w:tcW w:w="9205" w:type="dxa"/>
            <w:gridSpan w:val="8"/>
            <w:tcBorders>
              <w:top w:val="nil"/>
              <w:left w:val="nil"/>
              <w:right w:val="nil"/>
            </w:tcBorders>
            <w:shd w:val="clear" w:color="auto" w:fill="auto"/>
            <w:noWrap/>
            <w:vAlign w:val="bottom"/>
            <w:hideMark/>
          </w:tcPr>
          <w:p w:rsidR="005C2A68" w:rsidRPr="00D21CE7" w:rsidRDefault="005C2A68" w:rsidP="00D21CE7">
            <w:pPr>
              <w:spacing w:before="240" w:line="240" w:lineRule="auto"/>
              <w:rPr>
                <w:rFonts w:ascii="Arial" w:hAnsi="Arial" w:cs="Arial"/>
                <w:color w:val="000000"/>
                <w:sz w:val="20"/>
                <w:szCs w:val="20"/>
              </w:rPr>
            </w:pPr>
            <w:r w:rsidRPr="00D21CE7">
              <w:rPr>
                <w:rFonts w:ascii="Arial" w:hAnsi="Arial" w:cs="Arial"/>
                <w:color w:val="000000"/>
                <w:sz w:val="20"/>
                <w:szCs w:val="20"/>
              </w:rPr>
              <w:t>The Authority does not recognise any financial assets or financial liabilities at fair value.</w:t>
            </w:r>
          </w:p>
          <w:p w:rsidR="005C2A68" w:rsidRPr="00D21CE7" w:rsidRDefault="005C2A68" w:rsidP="00D21CE7">
            <w:pPr>
              <w:spacing w:before="120" w:after="120"/>
              <w:rPr>
                <w:rFonts w:ascii="Arial" w:hAnsi="Arial" w:cs="Arial"/>
                <w:color w:val="000000"/>
                <w:sz w:val="20"/>
                <w:szCs w:val="20"/>
              </w:rPr>
            </w:pPr>
            <w:r w:rsidRPr="00D21CE7">
              <w:rPr>
                <w:rFonts w:ascii="Arial" w:hAnsi="Arial" w:cs="Arial"/>
                <w:color w:val="000000"/>
                <w:sz w:val="20"/>
                <w:szCs w:val="20"/>
              </w:rPr>
              <w:t>The fair value of trade receivables and payables is assumed to approximate the value of the original transaction, less any allowance for impairment.</w:t>
            </w:r>
          </w:p>
        </w:tc>
      </w:tr>
    </w:tbl>
    <w:p w:rsidR="001D23A9" w:rsidRDefault="001D23A9">
      <w:r>
        <w:br w:type="page"/>
      </w:r>
    </w:p>
    <w:tbl>
      <w:tblPr>
        <w:tblW w:w="4952" w:type="pct"/>
        <w:tblInd w:w="93" w:type="dxa"/>
        <w:tblLayout w:type="fixed"/>
        <w:tblCellMar>
          <w:left w:w="57" w:type="dxa"/>
        </w:tblCellMar>
        <w:tblLook w:val="04A0" w:firstRow="1" w:lastRow="0" w:firstColumn="1" w:lastColumn="0" w:noHBand="0" w:noVBand="1"/>
      </w:tblPr>
      <w:tblGrid>
        <w:gridCol w:w="439"/>
        <w:gridCol w:w="236"/>
        <w:gridCol w:w="6536"/>
        <w:gridCol w:w="1193"/>
        <w:gridCol w:w="1193"/>
      </w:tblGrid>
      <w:tr w:rsidR="00850383" w:rsidRPr="009336E9" w:rsidTr="00340F31">
        <w:trPr>
          <w:trHeight w:val="300"/>
        </w:trPr>
        <w:tc>
          <w:tcPr>
            <w:tcW w:w="7211" w:type="dxa"/>
            <w:gridSpan w:val="3"/>
            <w:tcBorders>
              <w:top w:val="nil"/>
              <w:left w:val="nil"/>
              <w:bottom w:val="nil"/>
              <w:right w:val="nil"/>
            </w:tcBorders>
            <w:shd w:val="clear" w:color="auto" w:fill="auto"/>
            <w:noWrap/>
            <w:vAlign w:val="bottom"/>
            <w:hideMark/>
          </w:tcPr>
          <w:p w:rsidR="00850383" w:rsidRPr="00850383" w:rsidRDefault="00850383" w:rsidP="00850383">
            <w:pPr>
              <w:pStyle w:val="FinF3continuation"/>
              <w:tabs>
                <w:tab w:val="left" w:pos="323"/>
              </w:tabs>
              <w:rPr>
                <w:rFonts w:ascii="Arial" w:hAnsi="Arial" w:cs="Arial"/>
                <w:bCs/>
                <w:color w:val="000000"/>
              </w:rPr>
            </w:pPr>
            <w:bookmarkStart w:id="119" w:name="Note22"/>
            <w:bookmarkEnd w:id="119"/>
            <w:r w:rsidRPr="00850383">
              <w:lastRenderedPageBreak/>
              <w:t>22</w:t>
            </w:r>
            <w:r w:rsidRPr="00850383">
              <w:tab/>
              <w:t>Remuneration</w:t>
            </w:r>
            <w:r w:rsidRPr="00850383">
              <w:rPr>
                <w:rFonts w:ascii="Arial" w:hAnsi="Arial" w:cs="Arial"/>
                <w:bCs/>
                <w:color w:val="000000"/>
              </w:rPr>
              <w:t xml:space="preserve"> of Authority Members</w:t>
            </w:r>
          </w:p>
        </w:tc>
        <w:tc>
          <w:tcPr>
            <w:tcW w:w="1193" w:type="dxa"/>
            <w:tcBorders>
              <w:top w:val="nil"/>
              <w:left w:val="nil"/>
              <w:bottom w:val="nil"/>
              <w:right w:val="nil"/>
            </w:tcBorders>
            <w:shd w:val="clear" w:color="auto" w:fill="auto"/>
            <w:noWrap/>
            <w:vAlign w:val="bottom"/>
            <w:hideMark/>
          </w:tcPr>
          <w:p w:rsidR="00850383" w:rsidRPr="009336E9" w:rsidRDefault="00850383" w:rsidP="009336E9">
            <w:pPr>
              <w:spacing w:before="0" w:line="240" w:lineRule="auto"/>
              <w:rPr>
                <w:rFonts w:ascii="Arial" w:hAnsi="Arial" w:cs="Arial"/>
                <w:color w:val="000000"/>
                <w:sz w:val="20"/>
                <w:szCs w:val="20"/>
              </w:rPr>
            </w:pPr>
          </w:p>
        </w:tc>
        <w:tc>
          <w:tcPr>
            <w:tcW w:w="1193" w:type="dxa"/>
            <w:tcBorders>
              <w:top w:val="nil"/>
              <w:left w:val="nil"/>
              <w:bottom w:val="nil"/>
              <w:right w:val="nil"/>
            </w:tcBorders>
            <w:shd w:val="clear" w:color="auto" w:fill="auto"/>
            <w:noWrap/>
            <w:vAlign w:val="bottom"/>
            <w:hideMark/>
          </w:tcPr>
          <w:p w:rsidR="00850383" w:rsidRPr="009336E9" w:rsidRDefault="00850383" w:rsidP="009336E9">
            <w:pPr>
              <w:spacing w:before="0" w:line="240" w:lineRule="auto"/>
              <w:rPr>
                <w:rFonts w:ascii="Arial" w:hAnsi="Arial" w:cs="Arial"/>
                <w:color w:val="000000"/>
                <w:sz w:val="20"/>
                <w:szCs w:val="20"/>
              </w:rPr>
            </w:pP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9336E9">
            <w:pPr>
              <w:spacing w:before="0"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9336E9">
            <w:pPr>
              <w:spacing w:before="0"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9336E9">
            <w:pPr>
              <w:spacing w:before="0" w:line="240" w:lineRule="auto"/>
              <w:rPr>
                <w:rFonts w:ascii="Arial" w:hAnsi="Arial" w:cs="Arial"/>
                <w:color w:val="000000"/>
                <w:sz w:val="20"/>
                <w:szCs w:val="20"/>
              </w:rPr>
            </w:pPr>
          </w:p>
        </w:tc>
        <w:tc>
          <w:tcPr>
            <w:tcW w:w="1193" w:type="dxa"/>
            <w:tcBorders>
              <w:top w:val="nil"/>
              <w:left w:val="nil"/>
              <w:bottom w:val="nil"/>
              <w:right w:val="nil"/>
            </w:tcBorders>
            <w:shd w:val="clear" w:color="000000" w:fill="D9D9D9"/>
            <w:noWrap/>
            <w:vAlign w:val="bottom"/>
            <w:hideMark/>
          </w:tcPr>
          <w:p w:rsidR="009336E9" w:rsidRPr="009336E9" w:rsidRDefault="009336E9" w:rsidP="009336E9">
            <w:pPr>
              <w:spacing w:before="0" w:line="240" w:lineRule="auto"/>
              <w:jc w:val="right"/>
              <w:rPr>
                <w:rFonts w:ascii="Arial" w:hAnsi="Arial" w:cs="Arial"/>
                <w:b/>
                <w:bCs/>
                <w:color w:val="000000"/>
                <w:sz w:val="20"/>
                <w:szCs w:val="20"/>
              </w:rPr>
            </w:pPr>
            <w:r w:rsidRPr="009336E9">
              <w:rPr>
                <w:rFonts w:ascii="Arial" w:hAnsi="Arial" w:cs="Arial"/>
                <w:b/>
                <w:bCs/>
                <w:color w:val="000000"/>
                <w:sz w:val="20"/>
                <w:szCs w:val="20"/>
              </w:rPr>
              <w:t>2014</w:t>
            </w:r>
          </w:p>
        </w:tc>
        <w:tc>
          <w:tcPr>
            <w:tcW w:w="1193" w:type="dxa"/>
            <w:tcBorders>
              <w:top w:val="nil"/>
              <w:left w:val="nil"/>
              <w:bottom w:val="nil"/>
              <w:right w:val="nil"/>
            </w:tcBorders>
            <w:shd w:val="clear" w:color="auto" w:fill="auto"/>
            <w:noWrap/>
            <w:vAlign w:val="bottom"/>
            <w:hideMark/>
          </w:tcPr>
          <w:p w:rsidR="009336E9" w:rsidRPr="009336E9" w:rsidRDefault="009336E9" w:rsidP="009336E9">
            <w:pPr>
              <w:spacing w:before="0" w:line="240" w:lineRule="auto"/>
              <w:jc w:val="right"/>
              <w:rPr>
                <w:rFonts w:ascii="Arial" w:hAnsi="Arial" w:cs="Arial"/>
                <w:b/>
                <w:bCs/>
                <w:color w:val="000000"/>
                <w:sz w:val="20"/>
                <w:szCs w:val="20"/>
              </w:rPr>
            </w:pPr>
            <w:r w:rsidRPr="009336E9">
              <w:rPr>
                <w:rFonts w:ascii="Arial" w:hAnsi="Arial" w:cs="Arial"/>
                <w:b/>
                <w:bCs/>
                <w:color w:val="000000"/>
                <w:sz w:val="20"/>
                <w:szCs w:val="20"/>
              </w:rPr>
              <w:t>2013</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9336E9">
            <w:pPr>
              <w:spacing w:before="0" w:line="240" w:lineRule="auto"/>
              <w:rPr>
                <w:rFonts w:ascii="Arial" w:hAnsi="Arial" w:cs="Arial"/>
                <w:bCs/>
                <w:color w:val="000000"/>
                <w:sz w:val="20"/>
                <w:szCs w:val="20"/>
              </w:rPr>
            </w:pPr>
          </w:p>
        </w:tc>
        <w:tc>
          <w:tcPr>
            <w:tcW w:w="6772" w:type="dxa"/>
            <w:gridSpan w:val="2"/>
            <w:tcBorders>
              <w:top w:val="nil"/>
              <w:left w:val="nil"/>
              <w:bottom w:val="nil"/>
              <w:right w:val="nil"/>
            </w:tcBorders>
            <w:shd w:val="clear" w:color="auto" w:fill="auto"/>
            <w:noWrap/>
            <w:vAlign w:val="bottom"/>
            <w:hideMark/>
          </w:tcPr>
          <w:p w:rsidR="009336E9" w:rsidRPr="009336E9" w:rsidRDefault="009336E9" w:rsidP="001027FD">
            <w:pPr>
              <w:spacing w:before="360"/>
              <w:rPr>
                <w:rFonts w:ascii="Arial" w:hAnsi="Arial" w:cs="Arial"/>
                <w:color w:val="000000"/>
                <w:sz w:val="20"/>
                <w:szCs w:val="20"/>
              </w:rPr>
            </w:pPr>
            <w:r w:rsidRPr="009336E9">
              <w:rPr>
                <w:rFonts w:ascii="Arial" w:hAnsi="Arial" w:cs="Arial"/>
                <w:color w:val="000000"/>
                <w:sz w:val="20"/>
                <w:szCs w:val="20"/>
              </w:rPr>
              <w:t>The Authority is comprised of the following members as at 30 June 2014:</w:t>
            </w:r>
          </w:p>
        </w:tc>
        <w:tc>
          <w:tcPr>
            <w:tcW w:w="1193" w:type="dxa"/>
            <w:tcBorders>
              <w:top w:val="nil"/>
              <w:left w:val="nil"/>
              <w:bottom w:val="nil"/>
              <w:right w:val="nil"/>
            </w:tcBorders>
            <w:shd w:val="clear" w:color="000000" w:fill="D9D9D9"/>
            <w:noWrap/>
            <w:vAlign w:val="bottom"/>
            <w:hideMark/>
          </w:tcPr>
          <w:p w:rsidR="009336E9" w:rsidRPr="009336E9" w:rsidRDefault="009336E9" w:rsidP="009336E9">
            <w:pPr>
              <w:spacing w:before="0" w:line="240" w:lineRule="auto"/>
              <w:jc w:val="right"/>
              <w:rPr>
                <w:rFonts w:ascii="Arial" w:hAnsi="Arial" w:cs="Arial"/>
                <w:b/>
                <w:bCs/>
                <w:color w:val="000000"/>
                <w:sz w:val="20"/>
                <w:szCs w:val="20"/>
              </w:rPr>
            </w:pPr>
            <w:r w:rsidRPr="009336E9">
              <w:rPr>
                <w:rFonts w:ascii="Arial" w:hAnsi="Arial" w:cs="Arial"/>
                <w:b/>
                <w:bCs/>
                <w:color w:val="000000"/>
                <w:sz w:val="20"/>
                <w:szCs w:val="20"/>
              </w:rPr>
              <w:t xml:space="preserve">$'000 </w:t>
            </w:r>
          </w:p>
        </w:tc>
        <w:tc>
          <w:tcPr>
            <w:tcW w:w="1193" w:type="dxa"/>
            <w:tcBorders>
              <w:top w:val="nil"/>
              <w:left w:val="nil"/>
              <w:bottom w:val="nil"/>
              <w:right w:val="nil"/>
            </w:tcBorders>
            <w:shd w:val="clear" w:color="auto" w:fill="auto"/>
            <w:noWrap/>
            <w:vAlign w:val="bottom"/>
            <w:hideMark/>
          </w:tcPr>
          <w:p w:rsidR="009336E9" w:rsidRPr="009336E9" w:rsidRDefault="009336E9" w:rsidP="009336E9">
            <w:pPr>
              <w:spacing w:before="0" w:line="240" w:lineRule="auto"/>
              <w:jc w:val="right"/>
              <w:rPr>
                <w:rFonts w:ascii="Arial" w:hAnsi="Arial" w:cs="Arial"/>
                <w:b/>
                <w:bCs/>
                <w:color w:val="000000"/>
                <w:sz w:val="20"/>
                <w:szCs w:val="20"/>
              </w:rPr>
            </w:pPr>
            <w:r w:rsidRPr="009336E9">
              <w:rPr>
                <w:rFonts w:ascii="Arial" w:hAnsi="Arial" w:cs="Arial"/>
                <w:b/>
                <w:bCs/>
                <w:color w:val="000000"/>
                <w:sz w:val="20"/>
                <w:szCs w:val="20"/>
              </w:rPr>
              <w:t xml:space="preserve">$'000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Ms Leesa Jeffcoat (Chair)</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4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3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Ms Pam Betts</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2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Mr Matthew Campbell</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1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Mr Alan Finch</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3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3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Dr Paul Giles **</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4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1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 xml:space="preserve">Mr Daryl </w:t>
            </w:r>
            <w:proofErr w:type="spellStart"/>
            <w:r w:rsidRPr="009336E9">
              <w:rPr>
                <w:rFonts w:ascii="Arial" w:hAnsi="Arial" w:cs="Arial"/>
                <w:color w:val="000000"/>
                <w:sz w:val="20"/>
                <w:szCs w:val="20"/>
              </w:rPr>
              <w:t>Hanly</w:t>
            </w:r>
            <w:proofErr w:type="spellEnd"/>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3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4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Ms Margaret Leary</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4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4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Professor Robert Lingard</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3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3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Mr David Robertson ***</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2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3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Mr Kyle Thompson</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2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Mr Alan Waldron</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2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3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Ms Patricia Neate *</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 xml:space="preserve">Ms Samantha </w:t>
            </w:r>
            <w:proofErr w:type="spellStart"/>
            <w:r w:rsidRPr="009336E9">
              <w:rPr>
                <w:rFonts w:ascii="Arial" w:hAnsi="Arial" w:cs="Arial"/>
                <w:color w:val="000000"/>
                <w:sz w:val="20"/>
                <w:szCs w:val="20"/>
              </w:rPr>
              <w:t>Pidgeon</w:t>
            </w:r>
            <w:proofErr w:type="spellEnd"/>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Mr David Rogers *</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 xml:space="preserve">Mr Trevor </w:t>
            </w:r>
            <w:proofErr w:type="spellStart"/>
            <w:r w:rsidRPr="009336E9">
              <w:rPr>
                <w:rFonts w:ascii="Arial" w:hAnsi="Arial" w:cs="Arial"/>
                <w:color w:val="000000"/>
                <w:sz w:val="20"/>
                <w:szCs w:val="20"/>
              </w:rPr>
              <w:t>Schwenke</w:t>
            </w:r>
            <w:proofErr w:type="spellEnd"/>
            <w:r w:rsidRPr="009336E9">
              <w:rPr>
                <w:rFonts w:ascii="Arial" w:hAnsi="Arial" w:cs="Arial"/>
                <w:color w:val="000000"/>
                <w:sz w:val="20"/>
                <w:szCs w:val="20"/>
              </w:rPr>
              <w:t xml:space="preserve"> *</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Ms Patrea Walton</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Ms Gail Young *</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27"/>
        </w:trPr>
        <w:tc>
          <w:tcPr>
            <w:tcW w:w="439" w:type="dxa"/>
            <w:tcBorders>
              <w:top w:val="nil"/>
              <w:left w:val="nil"/>
              <w:bottom w:val="nil"/>
              <w:right w:val="nil"/>
            </w:tcBorders>
            <w:shd w:val="clear" w:color="auto" w:fill="auto"/>
            <w:noWrap/>
            <w:vAlign w:val="bottom"/>
            <w:hideMark/>
          </w:tcPr>
          <w:p w:rsidR="009336E9" w:rsidRPr="009336E9" w:rsidRDefault="009336E9" w:rsidP="009673AE">
            <w:pPr>
              <w:spacing w:before="360"/>
              <w:rPr>
                <w:rFonts w:ascii="Arial" w:hAnsi="Arial" w:cs="Arial"/>
                <w:color w:val="000000"/>
                <w:sz w:val="20"/>
                <w:szCs w:val="20"/>
              </w:rPr>
            </w:pPr>
          </w:p>
        </w:tc>
        <w:tc>
          <w:tcPr>
            <w:tcW w:w="6772" w:type="dxa"/>
            <w:gridSpan w:val="2"/>
            <w:tcBorders>
              <w:top w:val="nil"/>
              <w:left w:val="nil"/>
              <w:bottom w:val="nil"/>
              <w:right w:val="nil"/>
            </w:tcBorders>
            <w:shd w:val="clear" w:color="auto" w:fill="auto"/>
            <w:noWrap/>
            <w:vAlign w:val="bottom"/>
            <w:hideMark/>
          </w:tcPr>
          <w:p w:rsidR="009336E9" w:rsidRPr="009336E9" w:rsidRDefault="009336E9" w:rsidP="009673AE">
            <w:pPr>
              <w:spacing w:before="360"/>
              <w:rPr>
                <w:rFonts w:ascii="Arial" w:hAnsi="Arial" w:cs="Arial"/>
                <w:color w:val="000000"/>
                <w:sz w:val="20"/>
                <w:szCs w:val="20"/>
              </w:rPr>
            </w:pPr>
            <w:r w:rsidRPr="009336E9">
              <w:rPr>
                <w:rFonts w:ascii="Arial" w:hAnsi="Arial" w:cs="Arial"/>
                <w:color w:val="000000"/>
                <w:sz w:val="20"/>
                <w:szCs w:val="20"/>
              </w:rPr>
              <w:t>The following members resigned from the Authority:</w:t>
            </w:r>
          </w:p>
        </w:tc>
        <w:tc>
          <w:tcPr>
            <w:tcW w:w="1193" w:type="dxa"/>
            <w:tcBorders>
              <w:top w:val="nil"/>
              <w:left w:val="nil"/>
              <w:bottom w:val="nil"/>
              <w:right w:val="nil"/>
            </w:tcBorders>
            <w:shd w:val="clear" w:color="000000" w:fill="D9D9D9"/>
            <w:noWrap/>
            <w:vAlign w:val="bottom"/>
            <w:hideMark/>
          </w:tcPr>
          <w:p w:rsidR="009336E9" w:rsidRPr="009336E9" w:rsidRDefault="009336E9" w:rsidP="009336E9">
            <w:pPr>
              <w:spacing w:before="0" w:line="240" w:lineRule="auto"/>
              <w:jc w:val="right"/>
              <w:rPr>
                <w:rFonts w:ascii="Arial" w:hAnsi="Arial" w:cs="Arial"/>
                <w:color w:val="000000"/>
                <w:sz w:val="20"/>
                <w:szCs w:val="20"/>
              </w:rPr>
            </w:pPr>
            <w:r w:rsidRPr="009336E9">
              <w:rPr>
                <w:rFonts w:ascii="Arial" w:hAnsi="Arial" w:cs="Arial"/>
                <w:color w:val="000000"/>
                <w:sz w:val="20"/>
                <w:szCs w:val="20"/>
              </w:rPr>
              <w:t> </w:t>
            </w:r>
          </w:p>
        </w:tc>
        <w:tc>
          <w:tcPr>
            <w:tcW w:w="1193" w:type="dxa"/>
            <w:tcBorders>
              <w:top w:val="nil"/>
              <w:left w:val="nil"/>
              <w:bottom w:val="nil"/>
              <w:right w:val="nil"/>
            </w:tcBorders>
            <w:shd w:val="clear" w:color="auto" w:fill="auto"/>
            <w:noWrap/>
            <w:vAlign w:val="bottom"/>
            <w:hideMark/>
          </w:tcPr>
          <w:p w:rsidR="009336E9" w:rsidRPr="009336E9" w:rsidRDefault="009336E9" w:rsidP="009336E9">
            <w:pPr>
              <w:spacing w:before="0" w:line="240" w:lineRule="auto"/>
              <w:jc w:val="right"/>
              <w:rPr>
                <w:rFonts w:ascii="Arial" w:hAnsi="Arial" w:cs="Arial"/>
                <w:color w:val="000000"/>
                <w:sz w:val="20"/>
                <w:szCs w:val="20"/>
              </w:rPr>
            </w:pP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 xml:space="preserve">Mrs </w:t>
            </w:r>
            <w:proofErr w:type="spellStart"/>
            <w:r w:rsidRPr="009336E9">
              <w:rPr>
                <w:rFonts w:ascii="Arial" w:hAnsi="Arial" w:cs="Arial"/>
                <w:color w:val="000000"/>
                <w:sz w:val="20"/>
                <w:szCs w:val="20"/>
              </w:rPr>
              <w:t>Tsae</w:t>
            </w:r>
            <w:proofErr w:type="spellEnd"/>
            <w:r w:rsidRPr="009336E9">
              <w:rPr>
                <w:rFonts w:ascii="Arial" w:hAnsi="Arial" w:cs="Arial"/>
                <w:color w:val="000000"/>
                <w:sz w:val="20"/>
                <w:szCs w:val="20"/>
              </w:rPr>
              <w:t xml:space="preserve"> Wong (resigned October 2012)</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1 </w:t>
            </w:r>
          </w:p>
        </w:tc>
      </w:tr>
      <w:tr w:rsidR="009336E9" w:rsidRPr="009336E9" w:rsidTr="007F0F0F">
        <w:trPr>
          <w:trHeight w:val="8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Mr Bob McHugh (Chair) (resigned June 2013)</w:t>
            </w:r>
          </w:p>
        </w:tc>
        <w:tc>
          <w:tcPr>
            <w:tcW w:w="1193" w:type="dxa"/>
            <w:tcBorders>
              <w:top w:val="nil"/>
              <w:left w:val="nil"/>
              <w:bottom w:val="nil"/>
              <w:right w:val="nil"/>
            </w:tcBorders>
            <w:shd w:val="clear" w:color="000000" w:fill="D9D9D9"/>
            <w:noWrap/>
            <w:vAlign w:val="bottom"/>
            <w:hideMark/>
          </w:tcPr>
          <w:p w:rsidR="009336E9" w:rsidRPr="009336E9" w:rsidRDefault="005038D3" w:rsidP="00B56C26">
            <w:pPr>
              <w:spacing w:before="60" w:afterLines="20" w:after="48" w:line="240" w:lineRule="auto"/>
              <w:jc w:val="right"/>
              <w:rPr>
                <w:rFonts w:ascii="Arial" w:hAnsi="Arial" w:cs="Arial"/>
                <w:color w:val="000000"/>
                <w:sz w:val="20"/>
                <w:szCs w:val="20"/>
              </w:rPr>
            </w:pPr>
            <w:r>
              <w:rPr>
                <w:rFonts w:ascii="Arial" w:hAnsi="Arial" w:cs="Arial"/>
                <w:color w:val="000000"/>
                <w:sz w:val="20"/>
                <w:szCs w:val="20"/>
              </w:rPr>
              <w:t xml:space="preserve"> </w:t>
            </w:r>
            <w:r w:rsidR="00FA5556">
              <w:rPr>
                <w:rFonts w:ascii="Arial" w:hAnsi="Arial" w:cs="Arial"/>
                <w:color w:val="000000"/>
                <w:sz w:val="20"/>
                <w:szCs w:val="20"/>
              </w:rPr>
              <w:t>–</w:t>
            </w:r>
            <w:r w:rsidR="009336E9"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5038D3" w:rsidP="00B56C26">
            <w:pPr>
              <w:spacing w:before="60" w:afterLines="20" w:after="48" w:line="240" w:lineRule="auto"/>
              <w:jc w:val="right"/>
              <w:rPr>
                <w:rFonts w:ascii="Arial" w:hAnsi="Arial" w:cs="Arial"/>
                <w:color w:val="000000"/>
                <w:sz w:val="20"/>
                <w:szCs w:val="20"/>
              </w:rPr>
            </w:pPr>
            <w:r>
              <w:rPr>
                <w:rFonts w:ascii="Arial" w:hAnsi="Arial" w:cs="Arial"/>
                <w:color w:val="000000"/>
                <w:sz w:val="20"/>
                <w:szCs w:val="20"/>
              </w:rPr>
              <w:t xml:space="preserve"> </w:t>
            </w:r>
            <w:r w:rsidR="009336E9" w:rsidRPr="009336E9">
              <w:rPr>
                <w:rFonts w:ascii="Arial" w:hAnsi="Arial" w:cs="Arial"/>
                <w:color w:val="000000"/>
                <w:sz w:val="20"/>
                <w:szCs w:val="20"/>
              </w:rPr>
              <w:t xml:space="preserve">11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bCs/>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Ms Maria De Ponte (resigned June 2013)</w:t>
            </w:r>
          </w:p>
        </w:tc>
        <w:tc>
          <w:tcPr>
            <w:tcW w:w="1193" w:type="dxa"/>
            <w:tcBorders>
              <w:top w:val="nil"/>
              <w:left w:val="nil"/>
              <w:bottom w:val="nil"/>
              <w:right w:val="nil"/>
            </w:tcBorders>
            <w:shd w:val="clear" w:color="000000" w:fill="D9D9D9"/>
            <w:noWrap/>
            <w:vAlign w:val="bottom"/>
            <w:hideMark/>
          </w:tcPr>
          <w:p w:rsidR="009336E9" w:rsidRPr="009336E9" w:rsidRDefault="005038D3" w:rsidP="00B56C26">
            <w:pPr>
              <w:spacing w:before="60" w:afterLines="20" w:after="48" w:line="240" w:lineRule="auto"/>
              <w:jc w:val="right"/>
              <w:rPr>
                <w:rFonts w:ascii="Arial" w:hAnsi="Arial" w:cs="Arial"/>
                <w:color w:val="000000"/>
                <w:sz w:val="20"/>
                <w:szCs w:val="20"/>
              </w:rPr>
            </w:pPr>
            <w:r>
              <w:rPr>
                <w:rFonts w:ascii="Arial" w:hAnsi="Arial" w:cs="Arial"/>
                <w:color w:val="000000"/>
                <w:sz w:val="20"/>
                <w:szCs w:val="20"/>
              </w:rPr>
              <w:t xml:space="preserve"> </w:t>
            </w:r>
            <w:r w:rsidR="00FA5556">
              <w:rPr>
                <w:rFonts w:ascii="Arial" w:hAnsi="Arial" w:cs="Arial"/>
                <w:color w:val="000000"/>
                <w:sz w:val="20"/>
                <w:szCs w:val="20"/>
              </w:rPr>
              <w:t>–</w:t>
            </w:r>
            <w:r w:rsidR="009336E9"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5038D3" w:rsidP="00B56C26">
            <w:pPr>
              <w:spacing w:before="60" w:afterLines="20" w:after="48" w:line="240" w:lineRule="auto"/>
              <w:jc w:val="right"/>
              <w:rPr>
                <w:rFonts w:ascii="Arial" w:hAnsi="Arial" w:cs="Arial"/>
                <w:color w:val="000000"/>
                <w:sz w:val="20"/>
                <w:szCs w:val="20"/>
              </w:rPr>
            </w:pPr>
            <w:r>
              <w:rPr>
                <w:rFonts w:ascii="Arial" w:hAnsi="Arial" w:cs="Arial"/>
                <w:color w:val="000000"/>
                <w:sz w:val="20"/>
                <w:szCs w:val="20"/>
              </w:rPr>
              <w:t xml:space="preserve"> </w:t>
            </w:r>
            <w:r w:rsidR="009336E9" w:rsidRPr="009336E9">
              <w:rPr>
                <w:rFonts w:ascii="Arial" w:hAnsi="Arial" w:cs="Arial"/>
                <w:color w:val="000000"/>
                <w:sz w:val="20"/>
                <w:szCs w:val="20"/>
              </w:rPr>
              <w:t xml:space="preserve">4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Professor Claire Wyatt</w:t>
            </w:r>
            <w:r w:rsidR="00FA5556">
              <w:rPr>
                <w:rFonts w:ascii="Arial" w:hAnsi="Arial" w:cs="Arial"/>
                <w:color w:val="000000"/>
                <w:sz w:val="20"/>
                <w:szCs w:val="20"/>
              </w:rPr>
              <w:t>-</w:t>
            </w:r>
            <w:r w:rsidRPr="009336E9">
              <w:rPr>
                <w:rFonts w:ascii="Arial" w:hAnsi="Arial" w:cs="Arial"/>
                <w:color w:val="000000"/>
                <w:sz w:val="20"/>
                <w:szCs w:val="20"/>
              </w:rPr>
              <w:t>Smith (resigned July 2013)</w:t>
            </w:r>
          </w:p>
        </w:tc>
        <w:tc>
          <w:tcPr>
            <w:tcW w:w="1193" w:type="dxa"/>
            <w:tcBorders>
              <w:top w:val="nil"/>
              <w:left w:val="nil"/>
              <w:bottom w:val="nil"/>
              <w:right w:val="nil"/>
            </w:tcBorders>
            <w:shd w:val="clear" w:color="000000" w:fill="D9D9D9"/>
            <w:noWrap/>
            <w:vAlign w:val="bottom"/>
            <w:hideMark/>
          </w:tcPr>
          <w:p w:rsidR="009336E9" w:rsidRPr="009336E9" w:rsidRDefault="005038D3" w:rsidP="00B56C26">
            <w:pPr>
              <w:spacing w:before="60" w:afterLines="20" w:after="48" w:line="240" w:lineRule="auto"/>
              <w:jc w:val="right"/>
              <w:rPr>
                <w:rFonts w:ascii="Arial" w:hAnsi="Arial" w:cs="Arial"/>
                <w:color w:val="000000"/>
                <w:sz w:val="20"/>
                <w:szCs w:val="20"/>
              </w:rPr>
            </w:pPr>
            <w:r>
              <w:rPr>
                <w:rFonts w:ascii="Arial" w:hAnsi="Arial" w:cs="Arial"/>
                <w:color w:val="000000"/>
                <w:sz w:val="20"/>
                <w:szCs w:val="20"/>
              </w:rPr>
              <w:t xml:space="preserve"> </w:t>
            </w:r>
            <w:r w:rsidR="00FA5556">
              <w:rPr>
                <w:rFonts w:ascii="Arial" w:hAnsi="Arial" w:cs="Arial"/>
                <w:color w:val="000000"/>
                <w:sz w:val="20"/>
                <w:szCs w:val="20"/>
              </w:rPr>
              <w:t>–</w:t>
            </w:r>
            <w:r w:rsidR="009336E9"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5038D3" w:rsidP="00B56C26">
            <w:pPr>
              <w:spacing w:before="60" w:afterLines="20" w:after="48" w:line="240" w:lineRule="auto"/>
              <w:jc w:val="right"/>
              <w:rPr>
                <w:rFonts w:ascii="Arial" w:hAnsi="Arial" w:cs="Arial"/>
                <w:color w:val="000000"/>
                <w:sz w:val="20"/>
                <w:szCs w:val="20"/>
              </w:rPr>
            </w:pPr>
            <w:r>
              <w:rPr>
                <w:rFonts w:ascii="Arial" w:hAnsi="Arial" w:cs="Arial"/>
                <w:color w:val="000000"/>
                <w:sz w:val="20"/>
                <w:szCs w:val="20"/>
              </w:rPr>
              <w:t xml:space="preserve"> </w:t>
            </w:r>
            <w:r w:rsidR="009336E9" w:rsidRPr="009336E9">
              <w:rPr>
                <w:rFonts w:ascii="Arial" w:hAnsi="Arial" w:cs="Arial"/>
                <w:color w:val="000000"/>
                <w:sz w:val="20"/>
                <w:szCs w:val="20"/>
              </w:rPr>
              <w:t xml:space="preserve">3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Dr Suzanne Innes * (resigned October 2012)</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5038D3"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 xml:space="preserve">Ms Elizabeth </w:t>
            </w:r>
            <w:proofErr w:type="spellStart"/>
            <w:r w:rsidRPr="009336E9">
              <w:rPr>
                <w:rFonts w:ascii="Arial" w:hAnsi="Arial" w:cs="Arial"/>
                <w:color w:val="000000"/>
                <w:sz w:val="20"/>
                <w:szCs w:val="20"/>
              </w:rPr>
              <w:t>Kapsch</w:t>
            </w:r>
            <w:proofErr w:type="spellEnd"/>
            <w:r w:rsidRPr="009336E9">
              <w:rPr>
                <w:rFonts w:ascii="Arial" w:hAnsi="Arial" w:cs="Arial"/>
                <w:color w:val="000000"/>
                <w:sz w:val="20"/>
                <w:szCs w:val="20"/>
              </w:rPr>
              <w:t xml:space="preserve"> * (resigned July 2013)</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rPr>
                <w:rFonts w:ascii="Arial" w:hAnsi="Arial" w:cs="Arial"/>
                <w:color w:val="000000"/>
                <w:sz w:val="20"/>
                <w:szCs w:val="20"/>
              </w:rPr>
            </w:pPr>
            <w:r w:rsidRPr="009336E9">
              <w:rPr>
                <w:rFonts w:ascii="Arial" w:hAnsi="Arial" w:cs="Arial"/>
                <w:color w:val="000000"/>
                <w:sz w:val="20"/>
                <w:szCs w:val="20"/>
              </w:rPr>
              <w:t>Ms Deidre Stein * (resigned October 2013)</w:t>
            </w:r>
          </w:p>
        </w:tc>
        <w:tc>
          <w:tcPr>
            <w:tcW w:w="1193" w:type="dxa"/>
            <w:tcBorders>
              <w:top w:val="nil"/>
              <w:left w:val="nil"/>
              <w:bottom w:val="nil"/>
              <w:right w:val="nil"/>
            </w:tcBorders>
            <w:shd w:val="clear" w:color="000000" w:fill="D9D9D9"/>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c>
          <w:tcPr>
            <w:tcW w:w="1193" w:type="dxa"/>
            <w:tcBorders>
              <w:top w:val="nil"/>
              <w:left w:val="nil"/>
              <w:bottom w:val="nil"/>
              <w:right w:val="nil"/>
            </w:tcBorders>
            <w:shd w:val="clear" w:color="auto" w:fill="auto"/>
            <w:noWrap/>
            <w:vAlign w:val="bottom"/>
            <w:hideMark/>
          </w:tcPr>
          <w:p w:rsidR="009336E9" w:rsidRPr="009336E9" w:rsidRDefault="009336E9" w:rsidP="00B56C26">
            <w:pPr>
              <w:spacing w:before="60" w:afterLines="20" w:after="48" w:line="240" w:lineRule="auto"/>
              <w:jc w:val="right"/>
              <w:rPr>
                <w:rFonts w:ascii="Arial" w:hAnsi="Arial" w:cs="Arial"/>
                <w:color w:val="000000"/>
                <w:sz w:val="20"/>
                <w:szCs w:val="20"/>
              </w:rPr>
            </w:pPr>
            <w:r w:rsidRPr="009336E9">
              <w:rPr>
                <w:rFonts w:ascii="Arial" w:hAnsi="Arial" w:cs="Arial"/>
                <w:color w:val="000000"/>
                <w:sz w:val="20"/>
                <w:szCs w:val="20"/>
              </w:rPr>
              <w:t xml:space="preserve"> </w:t>
            </w:r>
            <w:r w:rsidR="00FA5556">
              <w:rPr>
                <w:rFonts w:ascii="Arial" w:hAnsi="Arial" w:cs="Arial"/>
                <w:color w:val="000000"/>
                <w:sz w:val="20"/>
                <w:szCs w:val="20"/>
              </w:rPr>
              <w:t>–</w:t>
            </w:r>
            <w:r w:rsidRPr="009336E9">
              <w:rPr>
                <w:rFonts w:ascii="Arial" w:hAnsi="Arial" w:cs="Arial"/>
                <w:color w:val="000000"/>
                <w:sz w:val="20"/>
                <w:szCs w:val="20"/>
              </w:rPr>
              <w:t xml:space="preserve"> </w:t>
            </w:r>
          </w:p>
        </w:tc>
      </w:tr>
      <w:tr w:rsidR="009336E9" w:rsidRPr="009336E9" w:rsidTr="007F0F0F">
        <w:trPr>
          <w:trHeight w:val="300"/>
        </w:trPr>
        <w:tc>
          <w:tcPr>
            <w:tcW w:w="439" w:type="dxa"/>
            <w:tcBorders>
              <w:top w:val="nil"/>
              <w:left w:val="nil"/>
              <w:bottom w:val="nil"/>
              <w:right w:val="nil"/>
            </w:tcBorders>
            <w:shd w:val="clear" w:color="auto" w:fill="auto"/>
            <w:noWrap/>
            <w:vAlign w:val="bottom"/>
            <w:hideMark/>
          </w:tcPr>
          <w:p w:rsidR="009336E9" w:rsidRPr="009336E9" w:rsidRDefault="009336E9" w:rsidP="00B56C26">
            <w:pPr>
              <w:spacing w:before="60" w:line="240" w:lineRule="auto"/>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9336E9" w:rsidRPr="009336E9" w:rsidRDefault="009336E9" w:rsidP="00B56C26">
            <w:pPr>
              <w:spacing w:before="60" w:line="240" w:lineRule="auto"/>
              <w:jc w:val="center"/>
              <w:rPr>
                <w:rFonts w:ascii="Arial" w:hAnsi="Arial" w:cs="Arial"/>
                <w:sz w:val="20"/>
                <w:szCs w:val="20"/>
              </w:rPr>
            </w:pPr>
          </w:p>
        </w:tc>
        <w:tc>
          <w:tcPr>
            <w:tcW w:w="6536" w:type="dxa"/>
            <w:tcBorders>
              <w:top w:val="nil"/>
              <w:left w:val="nil"/>
              <w:bottom w:val="nil"/>
              <w:right w:val="nil"/>
            </w:tcBorders>
            <w:shd w:val="clear" w:color="auto" w:fill="auto"/>
            <w:noWrap/>
            <w:vAlign w:val="bottom"/>
            <w:hideMark/>
          </w:tcPr>
          <w:p w:rsidR="009336E9" w:rsidRPr="009336E9" w:rsidRDefault="009336E9" w:rsidP="00B56C26">
            <w:pPr>
              <w:spacing w:before="60" w:line="240" w:lineRule="auto"/>
              <w:rPr>
                <w:rFonts w:ascii="Arial" w:hAnsi="Arial" w:cs="Arial"/>
                <w:sz w:val="20"/>
                <w:szCs w:val="20"/>
              </w:rPr>
            </w:pPr>
          </w:p>
        </w:tc>
        <w:tc>
          <w:tcPr>
            <w:tcW w:w="1193" w:type="dxa"/>
            <w:tcBorders>
              <w:top w:val="single" w:sz="4" w:space="0" w:color="auto"/>
              <w:left w:val="nil"/>
              <w:bottom w:val="double" w:sz="6" w:space="0" w:color="auto"/>
              <w:right w:val="nil"/>
            </w:tcBorders>
            <w:shd w:val="clear" w:color="000000" w:fill="D9D9D9"/>
            <w:noWrap/>
            <w:vAlign w:val="bottom"/>
            <w:hideMark/>
          </w:tcPr>
          <w:p w:rsidR="009336E9" w:rsidRPr="009336E9" w:rsidRDefault="009336E9" w:rsidP="00B56C26">
            <w:pPr>
              <w:spacing w:before="60" w:line="240" w:lineRule="auto"/>
              <w:jc w:val="right"/>
              <w:rPr>
                <w:rFonts w:ascii="Arial" w:hAnsi="Arial" w:cs="Arial"/>
                <w:b/>
                <w:bCs/>
                <w:color w:val="000000"/>
                <w:sz w:val="20"/>
                <w:szCs w:val="20"/>
              </w:rPr>
            </w:pPr>
            <w:r w:rsidRPr="009336E9">
              <w:rPr>
                <w:rFonts w:ascii="Arial" w:hAnsi="Arial" w:cs="Arial"/>
                <w:b/>
                <w:bCs/>
                <w:color w:val="000000"/>
                <w:sz w:val="20"/>
                <w:szCs w:val="20"/>
              </w:rPr>
              <w:t xml:space="preserve">30 </w:t>
            </w:r>
          </w:p>
        </w:tc>
        <w:tc>
          <w:tcPr>
            <w:tcW w:w="1193" w:type="dxa"/>
            <w:tcBorders>
              <w:top w:val="single" w:sz="4" w:space="0" w:color="auto"/>
              <w:left w:val="nil"/>
              <w:bottom w:val="double" w:sz="6" w:space="0" w:color="auto"/>
              <w:right w:val="nil"/>
            </w:tcBorders>
            <w:shd w:val="clear" w:color="auto" w:fill="auto"/>
            <w:noWrap/>
            <w:vAlign w:val="bottom"/>
            <w:hideMark/>
          </w:tcPr>
          <w:p w:rsidR="009336E9" w:rsidRPr="009336E9" w:rsidRDefault="009336E9" w:rsidP="00B56C26">
            <w:pPr>
              <w:spacing w:before="60" w:line="240" w:lineRule="auto"/>
              <w:jc w:val="right"/>
              <w:rPr>
                <w:rFonts w:ascii="Arial" w:hAnsi="Arial" w:cs="Arial"/>
                <w:b/>
                <w:bCs/>
                <w:color w:val="000000"/>
                <w:sz w:val="20"/>
                <w:szCs w:val="20"/>
              </w:rPr>
            </w:pPr>
            <w:r w:rsidRPr="009336E9">
              <w:rPr>
                <w:rFonts w:ascii="Arial" w:hAnsi="Arial" w:cs="Arial"/>
                <w:b/>
                <w:bCs/>
                <w:color w:val="000000"/>
                <w:sz w:val="20"/>
                <w:szCs w:val="20"/>
              </w:rPr>
              <w:t xml:space="preserve">43 </w:t>
            </w:r>
          </w:p>
        </w:tc>
      </w:tr>
      <w:tr w:rsidR="009336E9" w:rsidRPr="009336E9" w:rsidTr="007F0F0F">
        <w:trPr>
          <w:trHeight w:val="300"/>
        </w:trPr>
        <w:tc>
          <w:tcPr>
            <w:tcW w:w="439" w:type="dxa"/>
            <w:tcBorders>
              <w:top w:val="nil"/>
              <w:left w:val="nil"/>
              <w:bottom w:val="nil"/>
              <w:right w:val="nil"/>
            </w:tcBorders>
            <w:shd w:val="clear" w:color="auto" w:fill="auto"/>
            <w:noWrap/>
            <w:hideMark/>
          </w:tcPr>
          <w:p w:rsidR="009336E9" w:rsidRPr="005038D3" w:rsidRDefault="009336E9" w:rsidP="005038D3">
            <w:pPr>
              <w:spacing w:before="120" w:after="120"/>
              <w:rPr>
                <w:rFonts w:ascii="Arial" w:hAnsi="Arial" w:cs="Arial"/>
                <w:color w:val="000000"/>
                <w:sz w:val="20"/>
                <w:szCs w:val="20"/>
              </w:rPr>
            </w:pPr>
          </w:p>
        </w:tc>
        <w:tc>
          <w:tcPr>
            <w:tcW w:w="9158" w:type="dxa"/>
            <w:gridSpan w:val="4"/>
            <w:tcBorders>
              <w:top w:val="nil"/>
              <w:left w:val="nil"/>
              <w:bottom w:val="nil"/>
              <w:right w:val="nil"/>
            </w:tcBorders>
            <w:shd w:val="clear" w:color="auto" w:fill="auto"/>
            <w:noWrap/>
            <w:hideMark/>
          </w:tcPr>
          <w:p w:rsidR="009336E9" w:rsidRPr="005038D3" w:rsidRDefault="009336E9" w:rsidP="00B56C26">
            <w:pPr>
              <w:spacing w:before="120" w:after="60"/>
              <w:rPr>
                <w:rFonts w:ascii="Arial" w:hAnsi="Arial" w:cs="Arial"/>
                <w:color w:val="000000"/>
                <w:sz w:val="20"/>
                <w:szCs w:val="20"/>
              </w:rPr>
            </w:pPr>
            <w:r w:rsidRPr="005038D3">
              <w:rPr>
                <w:rFonts w:ascii="Arial" w:hAnsi="Arial" w:cs="Arial"/>
                <w:color w:val="000000"/>
                <w:sz w:val="20"/>
                <w:szCs w:val="20"/>
              </w:rPr>
              <w:t xml:space="preserve">Authority remuneration includes fees of $28,401 and superannuation of $2,009 </w:t>
            </w:r>
            <w:r w:rsidR="000231F8">
              <w:rPr>
                <w:rFonts w:ascii="Arial" w:hAnsi="Arial" w:cs="Arial"/>
                <w:color w:val="000000"/>
                <w:sz w:val="20"/>
                <w:szCs w:val="20"/>
              </w:rPr>
              <w:br/>
            </w:r>
            <w:r w:rsidRPr="005038D3">
              <w:rPr>
                <w:rFonts w:ascii="Arial" w:hAnsi="Arial" w:cs="Arial"/>
                <w:color w:val="000000"/>
                <w:sz w:val="20"/>
                <w:szCs w:val="20"/>
              </w:rPr>
              <w:t xml:space="preserve">(2013: fees of $39,238 and </w:t>
            </w:r>
            <w:r w:rsidR="005038D3" w:rsidRPr="005038D3">
              <w:rPr>
                <w:rFonts w:ascii="Arial" w:hAnsi="Arial" w:cs="Arial"/>
                <w:color w:val="000000"/>
                <w:sz w:val="20"/>
                <w:szCs w:val="20"/>
              </w:rPr>
              <w:t>superannuation of $3,159).</w:t>
            </w:r>
          </w:p>
        </w:tc>
      </w:tr>
      <w:tr w:rsidR="009336E9" w:rsidRPr="009336E9" w:rsidTr="007F0F0F">
        <w:trPr>
          <w:trHeight w:val="142"/>
        </w:trPr>
        <w:tc>
          <w:tcPr>
            <w:tcW w:w="439" w:type="dxa"/>
            <w:tcBorders>
              <w:top w:val="nil"/>
              <w:left w:val="nil"/>
              <w:bottom w:val="nil"/>
              <w:right w:val="nil"/>
            </w:tcBorders>
            <w:shd w:val="clear" w:color="auto" w:fill="auto"/>
            <w:noWrap/>
            <w:hideMark/>
          </w:tcPr>
          <w:p w:rsidR="009336E9" w:rsidRPr="005038D3" w:rsidRDefault="005038D3" w:rsidP="003B42B3">
            <w:pPr>
              <w:spacing w:before="120" w:after="120"/>
              <w:jc w:val="right"/>
              <w:rPr>
                <w:rFonts w:ascii="Arial" w:hAnsi="Arial" w:cs="Arial"/>
                <w:color w:val="000000"/>
                <w:sz w:val="20"/>
                <w:szCs w:val="20"/>
              </w:rPr>
            </w:pPr>
            <w:r w:rsidRPr="005038D3">
              <w:rPr>
                <w:rFonts w:ascii="Arial" w:hAnsi="Arial" w:cs="Arial"/>
                <w:color w:val="000000"/>
                <w:sz w:val="20"/>
                <w:szCs w:val="20"/>
              </w:rPr>
              <w:t>*</w:t>
            </w:r>
          </w:p>
        </w:tc>
        <w:tc>
          <w:tcPr>
            <w:tcW w:w="9158" w:type="dxa"/>
            <w:gridSpan w:val="4"/>
            <w:tcBorders>
              <w:top w:val="nil"/>
              <w:left w:val="nil"/>
              <w:bottom w:val="nil"/>
              <w:right w:val="nil"/>
            </w:tcBorders>
            <w:shd w:val="clear" w:color="auto" w:fill="auto"/>
            <w:noWrap/>
            <w:hideMark/>
          </w:tcPr>
          <w:p w:rsidR="009336E9" w:rsidRPr="005038D3" w:rsidRDefault="009336E9" w:rsidP="00B56C26">
            <w:pPr>
              <w:spacing w:before="120" w:after="60"/>
              <w:rPr>
                <w:rFonts w:ascii="Arial" w:hAnsi="Arial" w:cs="Arial"/>
                <w:color w:val="000000"/>
                <w:sz w:val="20"/>
                <w:szCs w:val="20"/>
              </w:rPr>
            </w:pPr>
            <w:r w:rsidRPr="005038D3">
              <w:rPr>
                <w:rFonts w:ascii="Arial" w:hAnsi="Arial" w:cs="Arial"/>
                <w:color w:val="000000"/>
                <w:sz w:val="20"/>
                <w:szCs w:val="20"/>
              </w:rPr>
              <w:t xml:space="preserve">Authority members employed by the Department of Education, Training and Employment are not entitled to </w:t>
            </w:r>
            <w:r w:rsidR="005038D3" w:rsidRPr="005038D3">
              <w:rPr>
                <w:rFonts w:ascii="Arial" w:hAnsi="Arial" w:cs="Arial"/>
                <w:color w:val="000000"/>
                <w:sz w:val="20"/>
                <w:szCs w:val="20"/>
              </w:rPr>
              <w:t>remuneration.</w:t>
            </w:r>
          </w:p>
        </w:tc>
      </w:tr>
      <w:tr w:rsidR="005038D3" w:rsidRPr="009336E9" w:rsidTr="007F0F0F">
        <w:trPr>
          <w:trHeight w:val="300"/>
        </w:trPr>
        <w:tc>
          <w:tcPr>
            <w:tcW w:w="439" w:type="dxa"/>
            <w:tcBorders>
              <w:top w:val="nil"/>
              <w:left w:val="nil"/>
              <w:bottom w:val="nil"/>
              <w:right w:val="nil"/>
            </w:tcBorders>
            <w:shd w:val="clear" w:color="auto" w:fill="auto"/>
            <w:noWrap/>
            <w:hideMark/>
          </w:tcPr>
          <w:p w:rsidR="005038D3" w:rsidRPr="005038D3" w:rsidRDefault="005038D3" w:rsidP="003B42B3">
            <w:pPr>
              <w:spacing w:before="120" w:after="120"/>
              <w:jc w:val="right"/>
              <w:rPr>
                <w:rFonts w:ascii="Arial" w:hAnsi="Arial" w:cs="Arial"/>
                <w:color w:val="000000"/>
                <w:sz w:val="20"/>
                <w:szCs w:val="20"/>
              </w:rPr>
            </w:pPr>
            <w:r w:rsidRPr="005038D3">
              <w:rPr>
                <w:rFonts w:ascii="Arial" w:hAnsi="Arial" w:cs="Arial"/>
                <w:color w:val="000000"/>
                <w:sz w:val="20"/>
                <w:szCs w:val="20"/>
              </w:rPr>
              <w:t>**</w:t>
            </w:r>
          </w:p>
        </w:tc>
        <w:tc>
          <w:tcPr>
            <w:tcW w:w="9158" w:type="dxa"/>
            <w:gridSpan w:val="4"/>
            <w:tcBorders>
              <w:top w:val="nil"/>
              <w:left w:val="nil"/>
              <w:bottom w:val="nil"/>
              <w:right w:val="nil"/>
            </w:tcBorders>
            <w:shd w:val="clear" w:color="auto" w:fill="auto"/>
            <w:noWrap/>
            <w:hideMark/>
          </w:tcPr>
          <w:p w:rsidR="005038D3" w:rsidRPr="009336E9" w:rsidRDefault="005038D3" w:rsidP="00B56C26">
            <w:pPr>
              <w:spacing w:before="120" w:after="60"/>
              <w:rPr>
                <w:rFonts w:ascii="Arial" w:hAnsi="Arial" w:cs="Arial"/>
                <w:color w:val="000000"/>
                <w:sz w:val="20"/>
                <w:szCs w:val="20"/>
              </w:rPr>
            </w:pPr>
            <w:r w:rsidRPr="005038D3">
              <w:rPr>
                <w:rFonts w:ascii="Arial" w:hAnsi="Arial" w:cs="Arial"/>
                <w:color w:val="000000"/>
                <w:sz w:val="20"/>
                <w:szCs w:val="20"/>
              </w:rPr>
              <w:t>Fees paid to Queensland Independent Education Union.</w:t>
            </w:r>
          </w:p>
        </w:tc>
      </w:tr>
      <w:tr w:rsidR="005038D3" w:rsidRPr="009336E9" w:rsidTr="007F0F0F">
        <w:trPr>
          <w:trHeight w:val="300"/>
        </w:trPr>
        <w:tc>
          <w:tcPr>
            <w:tcW w:w="439" w:type="dxa"/>
            <w:tcBorders>
              <w:top w:val="nil"/>
              <w:left w:val="nil"/>
              <w:bottom w:val="nil"/>
              <w:right w:val="nil"/>
            </w:tcBorders>
            <w:shd w:val="clear" w:color="auto" w:fill="auto"/>
            <w:noWrap/>
            <w:hideMark/>
          </w:tcPr>
          <w:p w:rsidR="005038D3" w:rsidRPr="005038D3" w:rsidRDefault="005038D3" w:rsidP="003B42B3">
            <w:pPr>
              <w:spacing w:before="120" w:after="120"/>
              <w:jc w:val="right"/>
              <w:rPr>
                <w:rFonts w:ascii="Arial" w:hAnsi="Arial" w:cs="Arial"/>
                <w:color w:val="000000"/>
                <w:sz w:val="20"/>
                <w:szCs w:val="20"/>
              </w:rPr>
            </w:pPr>
            <w:r w:rsidRPr="005038D3">
              <w:rPr>
                <w:rFonts w:ascii="Arial" w:hAnsi="Arial" w:cs="Arial"/>
                <w:color w:val="000000"/>
                <w:sz w:val="20"/>
                <w:szCs w:val="20"/>
              </w:rPr>
              <w:t>***</w:t>
            </w:r>
          </w:p>
        </w:tc>
        <w:tc>
          <w:tcPr>
            <w:tcW w:w="9158" w:type="dxa"/>
            <w:gridSpan w:val="4"/>
            <w:tcBorders>
              <w:top w:val="nil"/>
              <w:left w:val="nil"/>
              <w:bottom w:val="nil"/>
              <w:right w:val="nil"/>
            </w:tcBorders>
            <w:shd w:val="clear" w:color="auto" w:fill="auto"/>
            <w:noWrap/>
            <w:hideMark/>
          </w:tcPr>
          <w:p w:rsidR="005038D3" w:rsidRPr="009336E9" w:rsidRDefault="005038D3" w:rsidP="00B56C26">
            <w:pPr>
              <w:spacing w:before="120" w:after="60"/>
              <w:rPr>
                <w:rFonts w:ascii="Arial" w:hAnsi="Arial" w:cs="Arial"/>
                <w:color w:val="000000"/>
                <w:sz w:val="20"/>
                <w:szCs w:val="20"/>
              </w:rPr>
            </w:pPr>
            <w:r w:rsidRPr="005038D3">
              <w:rPr>
                <w:rFonts w:ascii="Arial" w:hAnsi="Arial" w:cs="Arial"/>
                <w:color w:val="000000"/>
                <w:sz w:val="20"/>
                <w:szCs w:val="20"/>
              </w:rPr>
              <w:t>Fees paid to Independent Schools Queensland.</w:t>
            </w:r>
          </w:p>
        </w:tc>
      </w:tr>
    </w:tbl>
    <w:p w:rsidR="001D23A9" w:rsidRDefault="001D23A9">
      <w:r>
        <w:br w:type="page"/>
      </w:r>
    </w:p>
    <w:tbl>
      <w:tblPr>
        <w:tblW w:w="4952" w:type="pct"/>
        <w:tblInd w:w="93" w:type="dxa"/>
        <w:tblLook w:val="04A0" w:firstRow="1" w:lastRow="0" w:firstColumn="1" w:lastColumn="0" w:noHBand="0" w:noVBand="1"/>
      </w:tblPr>
      <w:tblGrid>
        <w:gridCol w:w="425"/>
        <w:gridCol w:w="9223"/>
      </w:tblGrid>
      <w:tr w:rsidR="001027FD" w:rsidRPr="009336E9" w:rsidTr="001027FD">
        <w:trPr>
          <w:trHeight w:val="300"/>
        </w:trPr>
        <w:tc>
          <w:tcPr>
            <w:tcW w:w="9648" w:type="dxa"/>
            <w:gridSpan w:val="2"/>
            <w:tcBorders>
              <w:top w:val="nil"/>
              <w:left w:val="nil"/>
              <w:bottom w:val="nil"/>
              <w:right w:val="nil"/>
            </w:tcBorders>
            <w:shd w:val="clear" w:color="auto" w:fill="auto"/>
            <w:noWrap/>
            <w:vAlign w:val="bottom"/>
            <w:hideMark/>
          </w:tcPr>
          <w:p w:rsidR="001027FD" w:rsidRPr="009336E9" w:rsidRDefault="001027FD" w:rsidP="00850383">
            <w:pPr>
              <w:pStyle w:val="FinF3continuation"/>
              <w:tabs>
                <w:tab w:val="left" w:pos="323"/>
              </w:tabs>
            </w:pPr>
            <w:bookmarkStart w:id="120" w:name="Note23"/>
            <w:bookmarkEnd w:id="120"/>
            <w:r w:rsidRPr="009336E9">
              <w:lastRenderedPageBreak/>
              <w:t>23</w:t>
            </w:r>
            <w:r w:rsidR="00850383">
              <w:tab/>
            </w:r>
            <w:r w:rsidRPr="009336E9">
              <w:t>Subsequent Event</w:t>
            </w:r>
          </w:p>
        </w:tc>
      </w:tr>
      <w:tr w:rsidR="00B56C26" w:rsidRPr="009336E9" w:rsidTr="00B56C26">
        <w:trPr>
          <w:trHeight w:val="2292"/>
        </w:trPr>
        <w:tc>
          <w:tcPr>
            <w:tcW w:w="425" w:type="dxa"/>
            <w:tcBorders>
              <w:top w:val="nil"/>
              <w:left w:val="nil"/>
              <w:right w:val="nil"/>
            </w:tcBorders>
            <w:shd w:val="clear" w:color="auto" w:fill="auto"/>
            <w:noWrap/>
            <w:vAlign w:val="bottom"/>
            <w:hideMark/>
          </w:tcPr>
          <w:p w:rsidR="00B56C26" w:rsidRPr="009336E9" w:rsidRDefault="00B56C26" w:rsidP="009336E9">
            <w:pPr>
              <w:spacing w:before="0" w:line="240" w:lineRule="auto"/>
              <w:rPr>
                <w:rFonts w:ascii="Arial" w:hAnsi="Arial" w:cs="Arial"/>
                <w:b/>
                <w:bCs/>
                <w:color w:val="000000"/>
                <w:sz w:val="20"/>
                <w:szCs w:val="20"/>
              </w:rPr>
            </w:pPr>
          </w:p>
        </w:tc>
        <w:tc>
          <w:tcPr>
            <w:tcW w:w="9223" w:type="dxa"/>
            <w:tcBorders>
              <w:top w:val="nil"/>
              <w:left w:val="nil"/>
              <w:right w:val="nil"/>
            </w:tcBorders>
            <w:shd w:val="clear" w:color="auto" w:fill="auto"/>
            <w:noWrap/>
            <w:vAlign w:val="bottom"/>
            <w:hideMark/>
          </w:tcPr>
          <w:p w:rsidR="00B56C26" w:rsidRPr="009336E9" w:rsidRDefault="00B56C26" w:rsidP="005038D3">
            <w:pPr>
              <w:spacing w:before="120" w:after="120"/>
              <w:rPr>
                <w:rFonts w:ascii="Arial" w:hAnsi="Arial" w:cs="Arial"/>
                <w:color w:val="000000"/>
                <w:sz w:val="20"/>
                <w:szCs w:val="20"/>
              </w:rPr>
            </w:pPr>
            <w:r w:rsidRPr="009336E9">
              <w:rPr>
                <w:rFonts w:ascii="Arial" w:hAnsi="Arial" w:cs="Arial"/>
                <w:color w:val="000000"/>
                <w:sz w:val="20"/>
                <w:szCs w:val="20"/>
              </w:rPr>
              <w:t>As disclosed in Note 2 of the financial statements, the Education (Queensland Curriculum and Assessment Authority) Act 2014 was assented to on 19 February 2014. Subsequent to 30 June 2014, the Queensland Curriculum and Assessment Authority (QCAA) replaced the Queensland Studies Authority (QSA) on 1 July 2014 as the statutory body responsible for providing kindergarten to Year 12 syllabuses and guidelines, and assessment, testing, reporting, certification and tertiary entrance services to Queensland schools.</w:t>
            </w:r>
          </w:p>
          <w:p w:rsidR="00B56C26" w:rsidRPr="009336E9" w:rsidRDefault="00B56C26" w:rsidP="005038D3">
            <w:pPr>
              <w:spacing w:before="120" w:after="120"/>
              <w:rPr>
                <w:rFonts w:ascii="Arial" w:hAnsi="Arial" w:cs="Arial"/>
                <w:color w:val="000000"/>
                <w:sz w:val="20"/>
                <w:szCs w:val="20"/>
              </w:rPr>
            </w:pPr>
            <w:proofErr w:type="gramStart"/>
            <w:r w:rsidRPr="009336E9">
              <w:rPr>
                <w:rFonts w:ascii="Arial" w:hAnsi="Arial" w:cs="Arial"/>
                <w:color w:val="000000"/>
                <w:sz w:val="20"/>
                <w:szCs w:val="20"/>
              </w:rPr>
              <w:t>There are no other events subsequent to balance date that have arisen that require adjustment or disclosure in these financial statements.</w:t>
            </w:r>
            <w:proofErr w:type="gramEnd"/>
          </w:p>
        </w:tc>
      </w:tr>
    </w:tbl>
    <w:p w:rsidR="00E37680" w:rsidRDefault="00E37680">
      <w:pPr>
        <w:sectPr w:rsidR="00E37680" w:rsidSect="00C602B1">
          <w:footerReference w:type="even" r:id="rId44"/>
          <w:type w:val="continuous"/>
          <w:pgSz w:w="11907" w:h="16840" w:code="9"/>
          <w:pgMar w:top="1134" w:right="1191" w:bottom="1418" w:left="1191" w:header="567" w:footer="680" w:gutter="0"/>
          <w:cols w:space="720"/>
          <w:formProt w:val="0"/>
          <w:noEndnote/>
          <w:docGrid w:linePitch="299"/>
        </w:sectPr>
      </w:pPr>
    </w:p>
    <w:p w:rsidR="00CA2CF2" w:rsidRDefault="005E43ED" w:rsidP="00797E13">
      <w:pPr>
        <w:pStyle w:val="Heading2Financials"/>
      </w:pPr>
      <w:bookmarkStart w:id="121" w:name="_Toc397589542"/>
      <w:bookmarkStart w:id="122" w:name="_Toc397589556"/>
      <w:r w:rsidRPr="00CA2CF2">
        <w:rPr>
          <w:noProof/>
        </w:rPr>
        <w:lastRenderedPageBreak/>
        <w:drawing>
          <wp:anchor distT="0" distB="0" distL="114300" distR="114300" simplePos="0" relativeHeight="251742208" behindDoc="0" locked="0" layoutInCell="1" allowOverlap="1" wp14:anchorId="232E1BC3" wp14:editId="3AEBDB3C">
            <wp:simplePos x="753035" y="717176"/>
            <wp:positionH relativeFrom="page">
              <wp:align>left</wp:align>
            </wp:positionH>
            <wp:positionV relativeFrom="page">
              <wp:align>top</wp:align>
            </wp:positionV>
            <wp:extent cx="7556400" cy="5752800"/>
            <wp:effectExtent l="0" t="0" r="6985" b="6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Statements 13-14 - no page numbers_Page_27.png"/>
                    <pic:cNvPicPr/>
                  </pic:nvPicPr>
                  <pic:blipFill rotWithShape="1">
                    <a:blip r:embed="rId45" cstate="email">
                      <a:extLst>
                        <a:ext uri="{28A0092B-C50C-407E-A947-70E740481C1C}">
                          <a14:useLocalDpi xmlns:a14="http://schemas.microsoft.com/office/drawing/2010/main" val="0"/>
                        </a:ext>
                      </a:extLst>
                    </a:blip>
                    <a:srcRect/>
                    <a:stretch/>
                  </pic:blipFill>
                  <pic:spPr bwMode="auto">
                    <a:xfrm>
                      <a:off x="0" y="0"/>
                      <a:ext cx="7556400" cy="57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CF2">
        <w:t>Certificate of the Queensland Studies Authority</w:t>
      </w:r>
      <w:bookmarkEnd w:id="121"/>
      <w:bookmarkEnd w:id="122"/>
    </w:p>
    <w:p w:rsidR="00B42A73" w:rsidRPr="00BE0F2F" w:rsidRDefault="00B42A73" w:rsidP="00BB7CAD">
      <w:r w:rsidRPr="00BE0F2F">
        <w:br w:type="page"/>
      </w:r>
    </w:p>
    <w:p w:rsidR="00BB7CAD" w:rsidRPr="00463918" w:rsidRDefault="00BB7CAD" w:rsidP="00797E13">
      <w:pPr>
        <w:pStyle w:val="Heading2Financials"/>
      </w:pPr>
      <w:bookmarkStart w:id="123" w:name="_Toc397589543"/>
      <w:bookmarkStart w:id="124" w:name="_Toc397589557"/>
      <w:r>
        <w:rPr>
          <w:noProof/>
        </w:rPr>
        <w:lastRenderedPageBreak/>
        <w:drawing>
          <wp:anchor distT="0" distB="0" distL="114300" distR="114300" simplePos="0" relativeHeight="251746304" behindDoc="0" locked="0" layoutInCell="1" allowOverlap="1" wp14:anchorId="05466D02" wp14:editId="79D0A1E4">
            <wp:simplePos x="0" y="0"/>
            <wp:positionH relativeFrom="page">
              <wp:posOffset>0</wp:posOffset>
            </wp:positionH>
            <wp:positionV relativeFrom="page">
              <wp:posOffset>0</wp:posOffset>
            </wp:positionV>
            <wp:extent cx="7552800" cy="96588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d cert &amp; audit report_Page_2.png"/>
                    <pic:cNvPicPr/>
                  </pic:nvPicPr>
                  <pic:blipFill rotWithShape="1">
                    <a:blip r:embed="rId46" cstate="email">
                      <a:extLst>
                        <a:ext uri="{28A0092B-C50C-407E-A947-70E740481C1C}">
                          <a14:useLocalDpi xmlns:a14="http://schemas.microsoft.com/office/drawing/2010/main" val="0"/>
                        </a:ext>
                      </a:extLst>
                    </a:blip>
                    <a:srcRect/>
                    <a:stretch/>
                  </pic:blipFill>
                  <pic:spPr bwMode="auto">
                    <a:xfrm>
                      <a:off x="0" y="0"/>
                      <a:ext cx="7552800" cy="96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3918">
        <w:t>Independent auditor’s report</w:t>
      </w:r>
      <w:bookmarkEnd w:id="123"/>
      <w:bookmarkEnd w:id="124"/>
    </w:p>
    <w:p w:rsidR="00BE0F2F" w:rsidRDefault="00BE0F2F" w:rsidP="00BB7CAD">
      <w:r>
        <w:br w:type="page"/>
      </w:r>
    </w:p>
    <w:p w:rsidR="00BE0F2F" w:rsidRDefault="005E43ED" w:rsidP="00BB7CAD">
      <w:r>
        <w:rPr>
          <w:noProof/>
        </w:rPr>
        <w:lastRenderedPageBreak/>
        <w:drawing>
          <wp:anchor distT="0" distB="0" distL="114300" distR="114300" simplePos="0" relativeHeight="251745280" behindDoc="0" locked="0" layoutInCell="1" allowOverlap="1" wp14:anchorId="53DFA28F" wp14:editId="456C3605">
            <wp:simplePos x="752475" y="809625"/>
            <wp:positionH relativeFrom="page">
              <wp:align>left</wp:align>
            </wp:positionH>
            <wp:positionV relativeFrom="page">
              <wp:align>top</wp:align>
            </wp:positionV>
            <wp:extent cx="7556400" cy="8906400"/>
            <wp:effectExtent l="0" t="0" r="698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d cert &amp; audit report_Page_3.png"/>
                    <pic:cNvPicPr/>
                  </pic:nvPicPr>
                  <pic:blipFill rotWithShape="1">
                    <a:blip r:embed="rId47" cstate="email">
                      <a:extLst>
                        <a:ext uri="{28A0092B-C50C-407E-A947-70E740481C1C}">
                          <a14:useLocalDpi xmlns:a14="http://schemas.microsoft.com/office/drawing/2010/main" val="0"/>
                        </a:ext>
                      </a:extLst>
                    </a:blip>
                    <a:srcRect/>
                    <a:stretch/>
                  </pic:blipFill>
                  <pic:spPr bwMode="auto">
                    <a:xfrm>
                      <a:off x="0" y="0"/>
                      <a:ext cx="7556400" cy="89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F2F">
        <w:br w:type="page"/>
      </w:r>
    </w:p>
    <w:p w:rsidR="00D9696D" w:rsidRPr="00861DCC" w:rsidRDefault="00D9696D" w:rsidP="00D9696D">
      <w:pPr>
        <w:pStyle w:val="Heading1"/>
        <w:pageBreakBefore/>
        <w:spacing w:before="0"/>
      </w:pPr>
      <w:bookmarkStart w:id="125" w:name="_Appendixes"/>
      <w:bookmarkStart w:id="126" w:name="_Toc397589544"/>
      <w:bookmarkEnd w:id="125"/>
      <w:r w:rsidRPr="00861DCC">
        <w:lastRenderedPageBreak/>
        <w:t>Appendixes</w:t>
      </w:r>
      <w:bookmarkEnd w:id="84"/>
      <w:bookmarkEnd w:id="85"/>
      <w:bookmarkEnd w:id="86"/>
      <w:bookmarkEnd w:id="87"/>
      <w:bookmarkEnd w:id="126"/>
    </w:p>
    <w:p w:rsidR="00E30EC3" w:rsidRDefault="00E30EC3" w:rsidP="00223699">
      <w:pPr>
        <w:pStyle w:val="H2Appendix"/>
        <w:spacing w:before="0"/>
        <w:sectPr w:rsidR="00E30EC3" w:rsidSect="00E37680">
          <w:headerReference w:type="even" r:id="rId48"/>
          <w:headerReference w:type="default" r:id="rId49"/>
          <w:footerReference w:type="even" r:id="rId50"/>
          <w:footerReference w:type="default" r:id="rId51"/>
          <w:pgSz w:w="11907" w:h="16840" w:code="9"/>
          <w:pgMar w:top="1134" w:right="1191" w:bottom="1418" w:left="1191" w:header="567" w:footer="680" w:gutter="0"/>
          <w:cols w:space="720"/>
          <w:formProt w:val="0"/>
          <w:noEndnote/>
          <w:docGrid w:linePitch="299"/>
        </w:sectPr>
      </w:pPr>
      <w:bookmarkStart w:id="127" w:name="_Ref363110885"/>
      <w:bookmarkStart w:id="128" w:name="_Ref363111740"/>
      <w:bookmarkStart w:id="129" w:name="_Toc365984784"/>
      <w:bookmarkStart w:id="130" w:name="_Toc300136548"/>
    </w:p>
    <w:p w:rsidR="003E09B1" w:rsidRPr="008F7332" w:rsidRDefault="003E09B1" w:rsidP="008F7332">
      <w:pPr>
        <w:pStyle w:val="H2Appendix"/>
      </w:pPr>
      <w:bookmarkStart w:id="131" w:name="_Toc397589545"/>
      <w:r w:rsidRPr="008F7332">
        <w:lastRenderedPageBreak/>
        <w:t>Committees of the Authority</w:t>
      </w:r>
      <w:bookmarkEnd w:id="127"/>
      <w:bookmarkEnd w:id="128"/>
      <w:bookmarkEnd w:id="129"/>
      <w:bookmarkEnd w:id="131"/>
    </w:p>
    <w:p w:rsidR="00C55D43" w:rsidRPr="008F7332" w:rsidRDefault="0036276F" w:rsidP="008F7332">
      <w:pPr>
        <w:pStyle w:val="BodyText"/>
      </w:pPr>
      <w:r w:rsidRPr="008F7332">
        <w:t>The Authority</w:t>
      </w:r>
      <w:r w:rsidR="003E09B1" w:rsidRPr="008F7332">
        <w:t xml:space="preserve"> established 10 commit</w:t>
      </w:r>
      <w:r w:rsidRPr="008F7332">
        <w:t xml:space="preserve">tees </w:t>
      </w:r>
      <w:r w:rsidR="00C55D43" w:rsidRPr="008F7332">
        <w:t>to work on specific areas</w:t>
      </w:r>
      <w:r w:rsidR="00CD06CF" w:rsidRPr="008F7332">
        <w:t xml:space="preserve">. </w:t>
      </w:r>
      <w:r w:rsidR="00C55D43" w:rsidRPr="008F7332">
        <w:t>Committee functions and membership are detailed below.</w:t>
      </w:r>
    </w:p>
    <w:p w:rsidR="00034EF2" w:rsidRPr="008F7332" w:rsidRDefault="00034EF2" w:rsidP="00D96A68">
      <w:pPr>
        <w:pStyle w:val="H3Appendix"/>
      </w:pPr>
      <w:bookmarkStart w:id="132" w:name="_Aboriginal_and_Torres"/>
      <w:bookmarkStart w:id="133" w:name="_Toc394926877"/>
      <w:bookmarkEnd w:id="132"/>
      <w:r w:rsidRPr="008F7332">
        <w:t>Aboriginal and Torres Strait Islander Education Committee</w:t>
      </w:r>
      <w:bookmarkEnd w:id="130"/>
      <w:bookmarkEnd w:id="133"/>
    </w:p>
    <w:p w:rsidR="00034EF2" w:rsidRPr="008F7332" w:rsidRDefault="00777784" w:rsidP="008F7332">
      <w:pPr>
        <w:pStyle w:val="Bodytextlead-in"/>
      </w:pPr>
      <w:r>
        <w:t>Functions were to</w:t>
      </w:r>
      <w:r w:rsidR="00034EF2" w:rsidRPr="008F7332">
        <w:t>:</w:t>
      </w:r>
    </w:p>
    <w:p w:rsidR="00034EF2" w:rsidRPr="008F7332" w:rsidRDefault="00034EF2" w:rsidP="008F7332">
      <w:pPr>
        <w:pStyle w:val="ListBullet0"/>
      </w:pPr>
      <w:r w:rsidRPr="008F7332">
        <w:t xml:space="preserve">provide advice and direction to the Authority and </w:t>
      </w:r>
      <w:r w:rsidR="00A83659" w:rsidRPr="008F7332">
        <w:t>CEO</w:t>
      </w:r>
      <w:r w:rsidRPr="008F7332">
        <w:t xml:space="preserve"> on</w:t>
      </w:r>
    </w:p>
    <w:p w:rsidR="00034EF2" w:rsidRPr="008F7332" w:rsidRDefault="00034EF2" w:rsidP="008F7332">
      <w:pPr>
        <w:pStyle w:val="ListBullet2"/>
      </w:pPr>
      <w:r w:rsidRPr="008F7332">
        <w:t>ensuring that the QSA’s products and services meet the educational needs of Aboriginal young people and Torres Strait Islander young people</w:t>
      </w:r>
    </w:p>
    <w:p w:rsidR="00034EF2" w:rsidRPr="008F7332" w:rsidRDefault="00034EF2" w:rsidP="008F7332">
      <w:pPr>
        <w:pStyle w:val="ListBullet2"/>
      </w:pPr>
      <w:r w:rsidRPr="008F7332">
        <w:t>syllabus development, assessment, testing and reporting issues (including new QSA initiatives) as they relate to the education of young Aboriginal and Torres Strait Islander people, and education about both Aboriginal peoples and Torres Strait Islander peoples</w:t>
      </w:r>
    </w:p>
    <w:p w:rsidR="00034EF2" w:rsidRPr="008F7332" w:rsidRDefault="00034EF2" w:rsidP="008F7332">
      <w:pPr>
        <w:pStyle w:val="ListBullet2"/>
      </w:pPr>
      <w:r w:rsidRPr="008F7332">
        <w:t>ensuring Indigenous representation on Authority committees and other consultative mechanisms</w:t>
      </w:r>
    </w:p>
    <w:p w:rsidR="00034EF2" w:rsidRPr="008F7332" w:rsidRDefault="00034EF2" w:rsidP="008F7332">
      <w:pPr>
        <w:pStyle w:val="ListBullet2"/>
      </w:pPr>
      <w:r w:rsidRPr="008F7332">
        <w:t>policy issues, particularly equity and social justice issues, as they relate to the education of Aboriginal young people and Torres Strait Islander young people</w:t>
      </w:r>
    </w:p>
    <w:p w:rsidR="00034EF2" w:rsidRPr="008F7332" w:rsidRDefault="00034EF2" w:rsidP="008F7332">
      <w:pPr>
        <w:pStyle w:val="ListBullet0"/>
      </w:pPr>
      <w:r w:rsidRPr="008F7332">
        <w:t>be the primary mechanism for the QSA to consult with Aboriginal and Torres Strait Islander communities on QSA matters</w:t>
      </w:r>
    </w:p>
    <w:p w:rsidR="00034EF2" w:rsidRPr="008F7332" w:rsidRDefault="00034EF2" w:rsidP="008F7332">
      <w:pPr>
        <w:pStyle w:val="ListBullet0"/>
      </w:pPr>
      <w:proofErr w:type="gramStart"/>
      <w:r w:rsidRPr="008F7332">
        <w:t>provide</w:t>
      </w:r>
      <w:proofErr w:type="gramEnd"/>
      <w:r w:rsidRPr="008F7332">
        <w:t xml:space="preserve"> a two-way communication forum for Indigenous perspectives on QSA activities, and as a communication between the QSA and Indigenous communities.</w:t>
      </w:r>
    </w:p>
    <w:p w:rsidR="00034EF2" w:rsidRPr="008F7332" w:rsidRDefault="00034EF2" w:rsidP="00777784">
      <w:pPr>
        <w:pStyle w:val="BodyText"/>
      </w:pPr>
      <w:r w:rsidRPr="008F7332">
        <w:t xml:space="preserve">Membership </w:t>
      </w:r>
      <w:r w:rsidR="00777784">
        <w:t>comprised</w:t>
      </w:r>
      <w:r w:rsidRPr="008F7332">
        <w:t>:</w:t>
      </w:r>
    </w:p>
    <w:p w:rsidR="00034EF2" w:rsidRPr="008F7332" w:rsidRDefault="00034EF2" w:rsidP="008F7332">
      <w:pPr>
        <w:pStyle w:val="ListBullet0"/>
      </w:pPr>
      <w:r w:rsidRPr="008F7332">
        <w:t>chair — Authority member with expertise in the education of Aboriginal young people and/or Torres</w:t>
      </w:r>
      <w:r w:rsidR="005F1162" w:rsidRPr="008F7332">
        <w:t> </w:t>
      </w:r>
      <w:r w:rsidRPr="008F7332">
        <w:t>Strait Islander young people</w:t>
      </w:r>
    </w:p>
    <w:p w:rsidR="00034EF2" w:rsidRPr="008F7332" w:rsidRDefault="00034EF2" w:rsidP="008F7332">
      <w:pPr>
        <w:pStyle w:val="ListBullet0"/>
      </w:pPr>
      <w:r w:rsidRPr="008F7332">
        <w:t>one parent nominee</w:t>
      </w:r>
    </w:p>
    <w:p w:rsidR="00034EF2" w:rsidRPr="008F7332" w:rsidRDefault="00034EF2" w:rsidP="008F7332">
      <w:pPr>
        <w:pStyle w:val="ListBullet0"/>
      </w:pPr>
      <w:r w:rsidRPr="008F7332">
        <w:t>one nominee of the Queensland Indigenous Education Consultative Committee</w:t>
      </w:r>
    </w:p>
    <w:p w:rsidR="00034EF2" w:rsidRPr="008F7332" w:rsidRDefault="00034EF2" w:rsidP="008F7332">
      <w:pPr>
        <w:pStyle w:val="ListBullet0"/>
      </w:pPr>
      <w:r w:rsidRPr="008F7332">
        <w:t>one senior officer from the Department of Education, Training and Employment (DETE) — education sector</w:t>
      </w:r>
    </w:p>
    <w:p w:rsidR="00034EF2" w:rsidRPr="008F7332" w:rsidRDefault="00034EF2" w:rsidP="008F7332">
      <w:pPr>
        <w:pStyle w:val="ListBullet0"/>
      </w:pPr>
      <w:r w:rsidRPr="008F7332">
        <w:t>one senior officer from DETE — training sector</w:t>
      </w:r>
    </w:p>
    <w:p w:rsidR="00034EF2" w:rsidRPr="008F7332" w:rsidRDefault="00034EF2" w:rsidP="008F7332">
      <w:pPr>
        <w:pStyle w:val="ListBullet0"/>
      </w:pPr>
      <w:r w:rsidRPr="008F7332">
        <w:t>one nominee of the Queensland Catholic Education Commission</w:t>
      </w:r>
    </w:p>
    <w:p w:rsidR="00034EF2" w:rsidRPr="008F7332" w:rsidRDefault="00034EF2" w:rsidP="008F7332">
      <w:pPr>
        <w:pStyle w:val="ListBullet0"/>
      </w:pPr>
      <w:r w:rsidRPr="008F7332">
        <w:t>one nominee of Independent Schools Queensland</w:t>
      </w:r>
    </w:p>
    <w:p w:rsidR="00034EF2" w:rsidRPr="008F7332" w:rsidRDefault="00034EF2" w:rsidP="008F7332">
      <w:pPr>
        <w:pStyle w:val="ListBullet0"/>
      </w:pPr>
      <w:r w:rsidRPr="008F7332">
        <w:t xml:space="preserve">one nominee of </w:t>
      </w:r>
      <w:r w:rsidR="002F5B22" w:rsidRPr="008F7332">
        <w:t>State Schools, DETE</w:t>
      </w:r>
    </w:p>
    <w:p w:rsidR="00034EF2" w:rsidRPr="008F7332" w:rsidRDefault="00034EF2" w:rsidP="008F7332">
      <w:pPr>
        <w:pStyle w:val="ListBullet0"/>
      </w:pPr>
      <w:r w:rsidRPr="008F7332">
        <w:t>one nominee of the Queensland Teachers’ Union</w:t>
      </w:r>
    </w:p>
    <w:p w:rsidR="00034EF2" w:rsidRPr="008F7332" w:rsidRDefault="00034EF2" w:rsidP="008F7332">
      <w:pPr>
        <w:pStyle w:val="ListBullet0"/>
      </w:pPr>
      <w:r w:rsidRPr="008F7332">
        <w:lastRenderedPageBreak/>
        <w:t>one nominee of the Independent Education Union of Australia — Queensland and Northern Territory Branch</w:t>
      </w:r>
    </w:p>
    <w:p w:rsidR="00034EF2" w:rsidRPr="008F7332" w:rsidRDefault="00034EF2" w:rsidP="008F7332">
      <w:pPr>
        <w:pStyle w:val="ListBullet0"/>
      </w:pPr>
      <w:r w:rsidRPr="008F7332">
        <w:t>four teachers representing each of the State, Catholic and Independent school sectors</w:t>
      </w:r>
      <w:r w:rsidRPr="008F7332">
        <w:br/>
        <w:t xml:space="preserve"> (preferably an early years teacher, a secondary teacher, a primary teacher and a school principal)</w:t>
      </w:r>
    </w:p>
    <w:p w:rsidR="00034EF2" w:rsidRPr="008F7332" w:rsidRDefault="00034EF2" w:rsidP="008F7332">
      <w:pPr>
        <w:pStyle w:val="ListBullet0"/>
      </w:pPr>
      <w:r w:rsidRPr="008F7332">
        <w:t>one nominee of the Torres Strait (Torres Strait Islander Regional Education Council)</w:t>
      </w:r>
    </w:p>
    <w:p w:rsidR="00034EF2" w:rsidRPr="008F7332" w:rsidRDefault="00034EF2" w:rsidP="008F7332">
      <w:pPr>
        <w:pStyle w:val="ListBullet0"/>
      </w:pPr>
      <w:r w:rsidRPr="008F7332">
        <w:t>one representative of the Cape York education community</w:t>
      </w:r>
    </w:p>
    <w:p w:rsidR="00034EF2" w:rsidRPr="008F7332" w:rsidRDefault="00034EF2" w:rsidP="008F7332">
      <w:pPr>
        <w:pStyle w:val="ListBullet0"/>
      </w:pPr>
      <w:r w:rsidRPr="008F7332">
        <w:t>one representative of the tertiary education sector</w:t>
      </w:r>
    </w:p>
    <w:p w:rsidR="00034EF2" w:rsidRPr="008F7332" w:rsidRDefault="00034EF2" w:rsidP="008F7332">
      <w:pPr>
        <w:pStyle w:val="ListBullet0"/>
      </w:pPr>
      <w:r w:rsidRPr="008F7332">
        <w:t>QSA Principal Education Officer (Indigenous Education)</w:t>
      </w:r>
    </w:p>
    <w:p w:rsidR="00034EF2" w:rsidRPr="008F7332" w:rsidRDefault="00034EF2" w:rsidP="008F7332">
      <w:pPr>
        <w:pStyle w:val="ListBullet0"/>
      </w:pPr>
      <w:r w:rsidRPr="008F7332">
        <w:t>one QSA senior officer</w:t>
      </w:r>
    </w:p>
    <w:p w:rsidR="00034EF2" w:rsidRPr="008F7332" w:rsidRDefault="00034EF2" w:rsidP="008F7332">
      <w:pPr>
        <w:pStyle w:val="ListBullet0"/>
      </w:pPr>
      <w:proofErr w:type="gramStart"/>
      <w:r w:rsidRPr="008F7332">
        <w:t>executive</w:t>
      </w:r>
      <w:proofErr w:type="gramEnd"/>
      <w:r w:rsidRPr="008F7332">
        <w:t xml:space="preserve"> officer — QSA officer.</w:t>
      </w:r>
    </w:p>
    <w:p w:rsidR="00034EF2" w:rsidRPr="008F7332" w:rsidRDefault="00034EF2" w:rsidP="00D96A68">
      <w:pPr>
        <w:pStyle w:val="H3Appendix"/>
      </w:pPr>
      <w:bookmarkStart w:id="134" w:name="_Toc300136549"/>
      <w:bookmarkStart w:id="135" w:name="_Toc394926878"/>
      <w:r w:rsidRPr="008F7332">
        <w:t>Accreditation and Recognition Committee</w:t>
      </w:r>
      <w:bookmarkEnd w:id="134"/>
      <w:bookmarkEnd w:id="135"/>
    </w:p>
    <w:p w:rsidR="00034EF2" w:rsidRPr="008F7332" w:rsidRDefault="00777784" w:rsidP="000C109B">
      <w:pPr>
        <w:pStyle w:val="BodyText"/>
      </w:pPr>
      <w:r>
        <w:t>Functions were to</w:t>
      </w:r>
      <w:r w:rsidR="00034EF2" w:rsidRPr="008F7332">
        <w:t>:</w:t>
      </w:r>
    </w:p>
    <w:p w:rsidR="00034EF2" w:rsidRPr="008F7332" w:rsidRDefault="00034EF2" w:rsidP="008F7332">
      <w:pPr>
        <w:pStyle w:val="ListBullet0"/>
      </w:pPr>
      <w:r w:rsidRPr="008F7332">
        <w:t>oversee the accreditation process of non-QSA syllabuses and guidelines and assess applications</w:t>
      </w:r>
    </w:p>
    <w:p w:rsidR="00034EF2" w:rsidRPr="008F7332" w:rsidRDefault="00034EF2" w:rsidP="008F7332">
      <w:pPr>
        <w:pStyle w:val="ListBullet0"/>
      </w:pPr>
      <w:r w:rsidRPr="008F7332">
        <w:t>oversee the recognition process of non-QSA and QSA developed courses of study, other than Authority or Authority-registered courses and assess applications</w:t>
      </w:r>
    </w:p>
    <w:p w:rsidR="00034EF2" w:rsidRPr="008F7332" w:rsidRDefault="00034EF2" w:rsidP="008F7332">
      <w:pPr>
        <w:pStyle w:val="ListBullet0"/>
      </w:pPr>
      <w:proofErr w:type="gramStart"/>
      <w:r w:rsidRPr="008F7332">
        <w:t>make</w:t>
      </w:r>
      <w:proofErr w:type="gramEnd"/>
      <w:r w:rsidRPr="008F7332">
        <w:t xml:space="preserve"> recommendations to the QSA Governing Body about the accreditation of non-QSA syllabuses and guidelines and recognition of non-QSA and QSA courses of study contributing towards a QCE.</w:t>
      </w:r>
    </w:p>
    <w:p w:rsidR="00034EF2" w:rsidRPr="008F7332" w:rsidRDefault="00034EF2" w:rsidP="00777784">
      <w:pPr>
        <w:pStyle w:val="BodyText"/>
      </w:pPr>
      <w:r w:rsidRPr="008F7332">
        <w:t xml:space="preserve">Membership </w:t>
      </w:r>
      <w:r w:rsidR="00777784">
        <w:t>comprised</w:t>
      </w:r>
      <w:r w:rsidRPr="008F7332">
        <w:t>:</w:t>
      </w:r>
    </w:p>
    <w:p w:rsidR="00034EF2" w:rsidRPr="008F7332" w:rsidRDefault="00034EF2" w:rsidP="008F7332">
      <w:pPr>
        <w:pStyle w:val="ListBullet0"/>
      </w:pPr>
      <w:r w:rsidRPr="008F7332">
        <w:t>chair — Authority member</w:t>
      </w:r>
    </w:p>
    <w:p w:rsidR="002F5B22" w:rsidRPr="008F7332" w:rsidRDefault="002F5B22" w:rsidP="008F7332">
      <w:pPr>
        <w:pStyle w:val="ListBullet0"/>
      </w:pPr>
      <w:r w:rsidRPr="008F7332">
        <w:t>one nominee of State Schools, DETE</w:t>
      </w:r>
    </w:p>
    <w:p w:rsidR="00034EF2" w:rsidRPr="008F7332" w:rsidRDefault="00034EF2" w:rsidP="008F7332">
      <w:pPr>
        <w:pStyle w:val="ListBullet0"/>
      </w:pPr>
      <w:r w:rsidRPr="008F7332">
        <w:t>one nominee of the Queensland Catholic Education Commission</w:t>
      </w:r>
    </w:p>
    <w:p w:rsidR="00034EF2" w:rsidRPr="008F7332" w:rsidRDefault="00034EF2" w:rsidP="008F7332">
      <w:pPr>
        <w:pStyle w:val="ListBullet0"/>
      </w:pPr>
      <w:r w:rsidRPr="008F7332">
        <w:t>one nominee of Independent Schools Queensland</w:t>
      </w:r>
    </w:p>
    <w:p w:rsidR="00034EF2" w:rsidRPr="008F7332" w:rsidRDefault="00034EF2" w:rsidP="008F7332">
      <w:pPr>
        <w:pStyle w:val="ListBullet0"/>
      </w:pPr>
      <w:r w:rsidRPr="008F7332">
        <w:t>one nominee of DETE — training sector</w:t>
      </w:r>
    </w:p>
    <w:p w:rsidR="00034EF2" w:rsidRPr="008F7332" w:rsidRDefault="00034EF2" w:rsidP="008F7332">
      <w:pPr>
        <w:pStyle w:val="ListBullet0"/>
      </w:pPr>
      <w:r w:rsidRPr="008F7332">
        <w:t>one nominee of the Office of Non-State Education, DETE</w:t>
      </w:r>
    </w:p>
    <w:p w:rsidR="00034EF2" w:rsidRPr="008F7332" w:rsidRDefault="00034EF2" w:rsidP="008F7332">
      <w:pPr>
        <w:pStyle w:val="ListBullet0"/>
      </w:pPr>
      <w:r w:rsidRPr="008F7332">
        <w:t>one representative of the tertiary education sector</w:t>
      </w:r>
    </w:p>
    <w:p w:rsidR="00034EF2" w:rsidRPr="008F7332" w:rsidRDefault="00034EF2" w:rsidP="008F7332">
      <w:pPr>
        <w:pStyle w:val="ListBullet0"/>
      </w:pPr>
      <w:r w:rsidRPr="008F7332">
        <w:t>one nominee of the Queensland Teachers’ Union</w:t>
      </w:r>
    </w:p>
    <w:p w:rsidR="00034EF2" w:rsidRPr="008F7332" w:rsidRDefault="00034EF2" w:rsidP="008F7332">
      <w:pPr>
        <w:pStyle w:val="ListBullet0"/>
      </w:pPr>
      <w:r w:rsidRPr="008F7332">
        <w:t>one nominee of the Independent Education Union of Australia — Queensland and Northern Territory Branch</w:t>
      </w:r>
    </w:p>
    <w:p w:rsidR="00034EF2" w:rsidRPr="008F7332" w:rsidRDefault="00034EF2" w:rsidP="008F7332">
      <w:pPr>
        <w:pStyle w:val="ListBullet0"/>
      </w:pPr>
      <w:r w:rsidRPr="008F7332">
        <w:t>one QSA senior officer</w:t>
      </w:r>
    </w:p>
    <w:p w:rsidR="00034EF2" w:rsidRPr="008F7332" w:rsidRDefault="00034EF2" w:rsidP="008F7332">
      <w:pPr>
        <w:pStyle w:val="ListBullet0"/>
      </w:pPr>
      <w:proofErr w:type="gramStart"/>
      <w:r w:rsidRPr="008F7332">
        <w:t>executive</w:t>
      </w:r>
      <w:proofErr w:type="gramEnd"/>
      <w:r w:rsidRPr="008F7332">
        <w:t xml:space="preserve"> officer — QSA officer.</w:t>
      </w:r>
    </w:p>
    <w:p w:rsidR="00034EF2" w:rsidRPr="008F7332" w:rsidRDefault="00034EF2" w:rsidP="00D96A68">
      <w:pPr>
        <w:pStyle w:val="H3Appendix"/>
      </w:pPr>
      <w:bookmarkStart w:id="136" w:name="_Toc300136550"/>
      <w:bookmarkStart w:id="137" w:name="_Toc394926879"/>
      <w:r w:rsidRPr="008F7332">
        <w:lastRenderedPageBreak/>
        <w:t>Assessment, Moderation and Certification Committee</w:t>
      </w:r>
      <w:bookmarkEnd w:id="136"/>
      <w:bookmarkEnd w:id="137"/>
    </w:p>
    <w:p w:rsidR="00034EF2" w:rsidRPr="008F7332" w:rsidRDefault="00777784" w:rsidP="000C109B">
      <w:pPr>
        <w:pStyle w:val="BodyText"/>
      </w:pPr>
      <w:r>
        <w:t>Functions were to</w:t>
      </w:r>
      <w:r w:rsidR="00034EF2" w:rsidRPr="008F7332">
        <w:t>:</w:t>
      </w:r>
    </w:p>
    <w:p w:rsidR="00034EF2" w:rsidRPr="008F7332" w:rsidRDefault="00034EF2" w:rsidP="008F7332">
      <w:pPr>
        <w:pStyle w:val="ListBullet0"/>
      </w:pPr>
      <w:r w:rsidRPr="008F7332">
        <w:t>determine and recommend procedures for assessment, moderation and certification within the approved policies of the Authority</w:t>
      </w:r>
    </w:p>
    <w:p w:rsidR="00034EF2" w:rsidRPr="008F7332" w:rsidRDefault="00034EF2" w:rsidP="008F7332">
      <w:pPr>
        <w:pStyle w:val="ListBullet0"/>
      </w:pPr>
      <w:r w:rsidRPr="008F7332">
        <w:t xml:space="preserve">provide advice and make recommendations to the Authority on assessment components of relevant documents such as QSA syllabuses and </w:t>
      </w:r>
      <w:r w:rsidR="002F5B22" w:rsidRPr="008F7332">
        <w:t>Australian C</w:t>
      </w:r>
      <w:r w:rsidRPr="008F7332">
        <w:t>urriculum materials</w:t>
      </w:r>
    </w:p>
    <w:p w:rsidR="00034EF2" w:rsidRPr="008F7332" w:rsidRDefault="00034EF2" w:rsidP="008F7332">
      <w:pPr>
        <w:pStyle w:val="ListBullet0"/>
      </w:pPr>
      <w:r w:rsidRPr="008F7332">
        <w:t>provide advice and make recommendations to the Authority on assessment information provided to teachers</w:t>
      </w:r>
    </w:p>
    <w:p w:rsidR="00034EF2" w:rsidRPr="008F7332" w:rsidRDefault="00034EF2" w:rsidP="008F7332">
      <w:pPr>
        <w:pStyle w:val="ListBullet0"/>
      </w:pPr>
      <w:proofErr w:type="gramStart"/>
      <w:r w:rsidRPr="008F7332">
        <w:t>identify</w:t>
      </w:r>
      <w:proofErr w:type="gramEnd"/>
      <w:r w:rsidRPr="008F7332">
        <w:t xml:space="preserve"> and advise the Authority on strategic issues relating to future developments in assessment, moderation and certification.</w:t>
      </w:r>
    </w:p>
    <w:p w:rsidR="00034EF2" w:rsidRPr="008F7332" w:rsidRDefault="00034EF2" w:rsidP="00777784">
      <w:pPr>
        <w:pStyle w:val="BodyText"/>
      </w:pPr>
      <w:r w:rsidRPr="008F7332">
        <w:t xml:space="preserve">Membership </w:t>
      </w:r>
      <w:r w:rsidR="00777784">
        <w:t>comprised</w:t>
      </w:r>
      <w:r w:rsidRPr="008F7332">
        <w:t>:</w:t>
      </w:r>
    </w:p>
    <w:p w:rsidR="00034EF2" w:rsidRPr="008F7332" w:rsidRDefault="00034EF2" w:rsidP="008F7332">
      <w:pPr>
        <w:pStyle w:val="ListBullet0"/>
      </w:pPr>
      <w:r w:rsidRPr="008F7332">
        <w:t>chair — Authority member</w:t>
      </w:r>
    </w:p>
    <w:p w:rsidR="002F5B22" w:rsidRPr="008F7332" w:rsidRDefault="002F5B22" w:rsidP="008F7332">
      <w:pPr>
        <w:pStyle w:val="ListBullet0"/>
      </w:pPr>
      <w:r w:rsidRPr="008F7332">
        <w:t>one nominee of State Schools, DETE</w:t>
      </w:r>
    </w:p>
    <w:p w:rsidR="00034EF2" w:rsidRPr="008F7332" w:rsidRDefault="00034EF2" w:rsidP="008F7332">
      <w:pPr>
        <w:pStyle w:val="ListBullet0"/>
      </w:pPr>
      <w:r w:rsidRPr="008F7332">
        <w:t>one nominee of the Queensland Catholic Education Commission</w:t>
      </w:r>
    </w:p>
    <w:p w:rsidR="00034EF2" w:rsidRPr="008F7332" w:rsidRDefault="00034EF2" w:rsidP="008F7332">
      <w:pPr>
        <w:pStyle w:val="ListBullet0"/>
      </w:pPr>
      <w:r w:rsidRPr="008F7332">
        <w:t>one nominee of Independent Schools Queensland</w:t>
      </w:r>
    </w:p>
    <w:p w:rsidR="00034EF2" w:rsidRPr="008F7332" w:rsidRDefault="00034EF2" w:rsidP="008F7332">
      <w:pPr>
        <w:pStyle w:val="ListBullet0"/>
      </w:pPr>
      <w:r w:rsidRPr="008F7332">
        <w:t>one nominee of DETE — training sector</w:t>
      </w:r>
    </w:p>
    <w:p w:rsidR="00034EF2" w:rsidRPr="008F7332" w:rsidRDefault="00034EF2" w:rsidP="008F7332">
      <w:pPr>
        <w:pStyle w:val="ListBullet0"/>
      </w:pPr>
      <w:r w:rsidRPr="008F7332">
        <w:t>one parent nominee</w:t>
      </w:r>
    </w:p>
    <w:p w:rsidR="00034EF2" w:rsidRPr="008F7332" w:rsidRDefault="00034EF2" w:rsidP="008F7332">
      <w:pPr>
        <w:pStyle w:val="ListBullet0"/>
      </w:pPr>
      <w:r w:rsidRPr="008F7332">
        <w:t>one tertiary educator/researcher</w:t>
      </w:r>
    </w:p>
    <w:p w:rsidR="00034EF2" w:rsidRPr="008F7332" w:rsidRDefault="00034EF2" w:rsidP="008F7332">
      <w:pPr>
        <w:pStyle w:val="ListBullet0"/>
      </w:pPr>
      <w:r w:rsidRPr="008F7332">
        <w:t>one district review panel chair</w:t>
      </w:r>
    </w:p>
    <w:p w:rsidR="00034EF2" w:rsidRPr="008F7332" w:rsidRDefault="00034EF2" w:rsidP="008F7332">
      <w:pPr>
        <w:pStyle w:val="ListBullet0"/>
      </w:pPr>
      <w:r w:rsidRPr="008F7332">
        <w:t>one state review panel chair</w:t>
      </w:r>
    </w:p>
    <w:p w:rsidR="00034EF2" w:rsidRPr="008F7332" w:rsidRDefault="00C8683D" w:rsidP="008F7332">
      <w:pPr>
        <w:pStyle w:val="ListBullet0"/>
      </w:pPr>
      <w:r>
        <w:t>two school administrators (S</w:t>
      </w:r>
      <w:r w:rsidR="00034EF2" w:rsidRPr="008F7332">
        <w:t>tate a</w:t>
      </w:r>
      <w:r>
        <w:t>nd Non-S</w:t>
      </w:r>
      <w:r w:rsidR="00034EF2" w:rsidRPr="008F7332">
        <w:t>tate)</w:t>
      </w:r>
    </w:p>
    <w:p w:rsidR="00034EF2" w:rsidRPr="008F7332" w:rsidRDefault="00034EF2" w:rsidP="008F7332">
      <w:pPr>
        <w:pStyle w:val="ListBullet0"/>
      </w:pPr>
      <w:r w:rsidRPr="008F7332">
        <w:t>one primary school principal</w:t>
      </w:r>
    </w:p>
    <w:p w:rsidR="00034EF2" w:rsidRPr="008F7332" w:rsidRDefault="00034EF2" w:rsidP="008F7332">
      <w:pPr>
        <w:pStyle w:val="ListBullet0"/>
      </w:pPr>
      <w:r w:rsidRPr="008F7332">
        <w:t>one nominee of the Queensland Teachers’ Union</w:t>
      </w:r>
    </w:p>
    <w:p w:rsidR="00034EF2" w:rsidRPr="008F7332" w:rsidRDefault="00034EF2" w:rsidP="008F7332">
      <w:pPr>
        <w:pStyle w:val="ListBullet0"/>
      </w:pPr>
      <w:r w:rsidRPr="008F7332">
        <w:t>one QSA senior officer</w:t>
      </w:r>
    </w:p>
    <w:p w:rsidR="00034EF2" w:rsidRPr="008F7332" w:rsidRDefault="00034EF2" w:rsidP="008F7332">
      <w:pPr>
        <w:pStyle w:val="ListBullet0"/>
      </w:pPr>
      <w:proofErr w:type="gramStart"/>
      <w:r w:rsidRPr="008F7332">
        <w:t>executive</w:t>
      </w:r>
      <w:proofErr w:type="gramEnd"/>
      <w:r w:rsidRPr="008F7332">
        <w:t xml:space="preserve"> officer — QSA officer.</w:t>
      </w:r>
    </w:p>
    <w:p w:rsidR="00034EF2" w:rsidRPr="008F7332" w:rsidRDefault="00034EF2" w:rsidP="00D96A68">
      <w:pPr>
        <w:pStyle w:val="H3Appendix"/>
      </w:pPr>
      <w:bookmarkStart w:id="138" w:name="_Toc300136551"/>
      <w:bookmarkStart w:id="139" w:name="_Toc394926880"/>
      <w:bookmarkStart w:id="140" w:name="AuditCommittee"/>
      <w:r w:rsidRPr="008F7332">
        <w:t>Audit Committee</w:t>
      </w:r>
      <w:bookmarkEnd w:id="138"/>
      <w:bookmarkEnd w:id="139"/>
    </w:p>
    <w:bookmarkEnd w:id="140"/>
    <w:p w:rsidR="00034EF2" w:rsidRPr="008F7332" w:rsidRDefault="00777784" w:rsidP="000C109B">
      <w:pPr>
        <w:pStyle w:val="BodyText"/>
      </w:pPr>
      <w:r>
        <w:t>Functions were to</w:t>
      </w:r>
      <w:r w:rsidR="00034EF2" w:rsidRPr="008F7332">
        <w:t>:</w:t>
      </w:r>
    </w:p>
    <w:p w:rsidR="00034EF2" w:rsidRPr="008F7332" w:rsidRDefault="00034EF2" w:rsidP="008F7332">
      <w:pPr>
        <w:pStyle w:val="ListBullet0"/>
      </w:pPr>
      <w:r w:rsidRPr="008F7332">
        <w:t>provide independent assurance and assistance to the Autho</w:t>
      </w:r>
      <w:r w:rsidR="0056536D" w:rsidRPr="008F7332">
        <w:t xml:space="preserve">rity and </w:t>
      </w:r>
      <w:r w:rsidR="00A83659" w:rsidRPr="008F7332">
        <w:t>CEO</w:t>
      </w:r>
      <w:r w:rsidR="0056536D" w:rsidRPr="008F7332">
        <w:t xml:space="preserve"> on</w:t>
      </w:r>
    </w:p>
    <w:p w:rsidR="00034EF2" w:rsidRPr="008F7332" w:rsidRDefault="00034EF2" w:rsidP="008F7332">
      <w:pPr>
        <w:pStyle w:val="ListBullet2"/>
      </w:pPr>
      <w:r w:rsidRPr="008F7332">
        <w:t>the risk control and compliance frameworks</w:t>
      </w:r>
    </w:p>
    <w:p w:rsidR="00034EF2" w:rsidRPr="008F7332" w:rsidRDefault="00034EF2" w:rsidP="008F7332">
      <w:pPr>
        <w:pStyle w:val="ListBullet2"/>
      </w:pPr>
      <w:r w:rsidRPr="008F7332">
        <w:t xml:space="preserve">the agency’s external accountability responsibilities as prescribed in </w:t>
      </w:r>
      <w:r w:rsidRPr="008F7332">
        <w:rPr>
          <w:rStyle w:val="Emphasis"/>
        </w:rPr>
        <w:t>Education (Queensland Studies Authority) Act</w:t>
      </w:r>
      <w:r w:rsidR="0041633A" w:rsidRPr="008F7332">
        <w:rPr>
          <w:rStyle w:val="Emphasis"/>
        </w:rPr>
        <w:t xml:space="preserve"> 2002</w:t>
      </w:r>
    </w:p>
    <w:p w:rsidR="00034EF2" w:rsidRPr="008F7332" w:rsidRDefault="00034EF2" w:rsidP="008F7332">
      <w:pPr>
        <w:pStyle w:val="ListBullet0"/>
      </w:pPr>
      <w:r w:rsidRPr="008F7332">
        <w:t>oversee internal and external audit services</w:t>
      </w:r>
    </w:p>
    <w:p w:rsidR="00034EF2" w:rsidRPr="008F7332" w:rsidRDefault="00034EF2" w:rsidP="008F7332">
      <w:pPr>
        <w:pStyle w:val="ListBullet0"/>
      </w:pPr>
      <w:r w:rsidRPr="008F7332">
        <w:t>review strategic risk assessment</w:t>
      </w:r>
    </w:p>
    <w:p w:rsidR="00034EF2" w:rsidRPr="008F7332" w:rsidRDefault="00034EF2" w:rsidP="008F7332">
      <w:pPr>
        <w:pStyle w:val="ListBullet0"/>
      </w:pPr>
      <w:proofErr w:type="gramStart"/>
      <w:r w:rsidRPr="008F7332">
        <w:t>monitor</w:t>
      </w:r>
      <w:proofErr w:type="gramEnd"/>
      <w:r w:rsidRPr="008F7332">
        <w:t xml:space="preserve"> improvement strategies to reduce and mitigate against risk.</w:t>
      </w:r>
    </w:p>
    <w:p w:rsidR="00530B4D" w:rsidRPr="008F7332" w:rsidRDefault="00530B4D" w:rsidP="00777784">
      <w:pPr>
        <w:pStyle w:val="BodyText"/>
      </w:pPr>
      <w:r w:rsidRPr="008F7332">
        <w:t xml:space="preserve">Membership </w:t>
      </w:r>
      <w:r w:rsidR="00777784">
        <w:t>comprised</w:t>
      </w:r>
      <w:r w:rsidRPr="008F7332">
        <w:t>:</w:t>
      </w:r>
    </w:p>
    <w:p w:rsidR="00530B4D" w:rsidRPr="008F7332" w:rsidRDefault="00530B4D" w:rsidP="008F7332">
      <w:pPr>
        <w:pStyle w:val="ListBullet0"/>
      </w:pPr>
      <w:r w:rsidRPr="008F7332">
        <w:t>chair — Authority member</w:t>
      </w:r>
    </w:p>
    <w:p w:rsidR="00E21682" w:rsidRPr="008F7332" w:rsidRDefault="00E21682" w:rsidP="008F7332">
      <w:pPr>
        <w:pStyle w:val="Authoritymember"/>
      </w:pPr>
      <w:r w:rsidRPr="008F7332">
        <w:t>David Robertson, Executive Director, Independent Schools Queensland</w:t>
      </w:r>
    </w:p>
    <w:p w:rsidR="00530B4D" w:rsidRPr="008F7332" w:rsidRDefault="00530B4D" w:rsidP="008F7332">
      <w:pPr>
        <w:pStyle w:val="ListBullet0"/>
      </w:pPr>
      <w:r w:rsidRPr="008F7332">
        <w:t>external member — Authority member</w:t>
      </w:r>
    </w:p>
    <w:p w:rsidR="00E21682" w:rsidRPr="008F7332" w:rsidRDefault="00E21682" w:rsidP="008F7332">
      <w:pPr>
        <w:pStyle w:val="Authoritymember"/>
      </w:pPr>
      <w:r w:rsidRPr="008F7332">
        <w:t>David Rogers, Principal, Southport Special School</w:t>
      </w:r>
    </w:p>
    <w:p w:rsidR="00530B4D" w:rsidRPr="008F7332" w:rsidRDefault="00530B4D" w:rsidP="008F7332">
      <w:pPr>
        <w:pStyle w:val="ListBullet0"/>
        <w:rPr>
          <w:rStyle w:val="Emphasis"/>
        </w:rPr>
      </w:pPr>
      <w:r w:rsidRPr="008F7332">
        <w:lastRenderedPageBreak/>
        <w:t xml:space="preserve">one member who has </w:t>
      </w:r>
      <w:r w:rsidR="00DB49F1" w:rsidRPr="008F7332">
        <w:t>‘financial expertise’</w:t>
      </w:r>
      <w:r w:rsidRPr="008F7332">
        <w:t xml:space="preserve"> as described in the Queensland Treasury publication, </w:t>
      </w:r>
      <w:r w:rsidRPr="008F7332">
        <w:rPr>
          <w:rStyle w:val="Emphasis"/>
        </w:rPr>
        <w:t>Audit Committee Guidelines — Improving accountability and performance 2008</w:t>
      </w:r>
    </w:p>
    <w:p w:rsidR="00E21682" w:rsidRPr="008F7332" w:rsidRDefault="00E21682" w:rsidP="008F7332">
      <w:pPr>
        <w:pStyle w:val="Authoritymember"/>
      </w:pPr>
      <w:r w:rsidRPr="008F7332">
        <w:t>Graham Smith, Deputy Director, Corporate and Information Services Division</w:t>
      </w:r>
    </w:p>
    <w:p w:rsidR="00530B4D" w:rsidRPr="008F7332" w:rsidRDefault="00530B4D" w:rsidP="008F7332">
      <w:pPr>
        <w:pStyle w:val="ListBullet0"/>
      </w:pPr>
      <w:r w:rsidRPr="008F7332">
        <w:t>one member with expertise in the indust</w:t>
      </w:r>
      <w:r w:rsidR="00E21682" w:rsidRPr="008F7332">
        <w:t>ry in which the agency operates</w:t>
      </w:r>
    </w:p>
    <w:p w:rsidR="00E21682" w:rsidRPr="008F7332" w:rsidRDefault="00E21682" w:rsidP="008F7332">
      <w:pPr>
        <w:pStyle w:val="Authoritymember"/>
      </w:pPr>
      <w:r w:rsidRPr="008F7332">
        <w:t xml:space="preserve">Peter Jordan, Acting Deputy Director, </w:t>
      </w:r>
      <w:r w:rsidR="00FC69C6">
        <w:t>Assessment and Reporting Division</w:t>
      </w:r>
      <w:r w:rsidRPr="008F7332">
        <w:t>.</w:t>
      </w:r>
    </w:p>
    <w:p w:rsidR="00E21682" w:rsidRPr="008F7332" w:rsidRDefault="00E21682" w:rsidP="008F7332">
      <w:pPr>
        <w:pStyle w:val="Normallead-in"/>
      </w:pPr>
      <w:r w:rsidRPr="008F7332">
        <w:t>The committee held four meetings in 201</w:t>
      </w:r>
      <w:r w:rsidR="002F5B22" w:rsidRPr="008F7332">
        <w:t>3</w:t>
      </w:r>
      <w:r w:rsidRPr="008F7332">
        <w:t>–1</w:t>
      </w:r>
      <w:r w:rsidR="002F5B22" w:rsidRPr="008F7332">
        <w:t>4</w:t>
      </w:r>
      <w:r w:rsidRPr="008F7332">
        <w:t>. During this period, it:</w:t>
      </w:r>
    </w:p>
    <w:p w:rsidR="00324693" w:rsidRPr="008F7332" w:rsidRDefault="00324693" w:rsidP="008F7332">
      <w:pPr>
        <w:pStyle w:val="ListBullet0"/>
      </w:pPr>
      <w:r w:rsidRPr="008F7332">
        <w:t>reviewed and approved the internal audit plan</w:t>
      </w:r>
    </w:p>
    <w:p w:rsidR="008C6A52" w:rsidRPr="008F7332" w:rsidRDefault="00E21682" w:rsidP="008F7332">
      <w:pPr>
        <w:pStyle w:val="ListBullet0"/>
      </w:pPr>
      <w:r w:rsidRPr="008F7332">
        <w:t>considered and approved the external audit strategy,</w:t>
      </w:r>
    </w:p>
    <w:p w:rsidR="008C6A52" w:rsidRPr="008F7332" w:rsidRDefault="00324693" w:rsidP="008F7332">
      <w:pPr>
        <w:pStyle w:val="ListBullet0"/>
      </w:pPr>
      <w:r w:rsidRPr="008F7332">
        <w:t>oversaw the internal and external audit processes, including the satisfactory implementation of recommendations from the audit processes</w:t>
      </w:r>
    </w:p>
    <w:p w:rsidR="00E21682" w:rsidRPr="008F7332" w:rsidRDefault="00E21682" w:rsidP="008F7332">
      <w:pPr>
        <w:pStyle w:val="ListBullet0"/>
      </w:pPr>
      <w:r w:rsidRPr="008F7332">
        <w:t>considered and gave clearance to the annual financial statements</w:t>
      </w:r>
    </w:p>
    <w:p w:rsidR="00E21682" w:rsidRPr="008F7332" w:rsidRDefault="00E21682" w:rsidP="008F7332">
      <w:pPr>
        <w:pStyle w:val="ListBullet0"/>
      </w:pPr>
      <w:r w:rsidRPr="008F7332">
        <w:t>had oversight of the process of revising the strategic risk assessment and the initiatives implemented to reduce and mitigate against the identified risks</w:t>
      </w:r>
    </w:p>
    <w:p w:rsidR="00E21682" w:rsidRPr="008F7332" w:rsidRDefault="00E21682" w:rsidP="000C109B">
      <w:pPr>
        <w:pStyle w:val="BodyText"/>
      </w:pPr>
      <w:r w:rsidRPr="008F7332">
        <w:t>The internal and external auditors have a standing invitation to attend meetings.</w:t>
      </w:r>
    </w:p>
    <w:p w:rsidR="00E21682" w:rsidRDefault="00E21682" w:rsidP="000C109B">
      <w:pPr>
        <w:pStyle w:val="BodyText"/>
      </w:pPr>
      <w:r w:rsidRPr="008F7332">
        <w:t>The Audit Committee observed the terms of its charter</w:t>
      </w:r>
      <w:r w:rsidR="00E64C91">
        <w:t> </w:t>
      </w:r>
      <w:r w:rsidRPr="008F7332">
        <w:t xml:space="preserve">and had due regard to Queensland Treasury’s </w:t>
      </w:r>
      <w:r w:rsidRPr="008F7332">
        <w:rPr>
          <w:rStyle w:val="Emphasis"/>
        </w:rPr>
        <w:t>Audit Committee Guidelines</w:t>
      </w:r>
      <w:r w:rsidRPr="008F7332">
        <w:t>.</w:t>
      </w:r>
    </w:p>
    <w:p w:rsidR="007869B1" w:rsidRPr="008F7332" w:rsidRDefault="007869B1" w:rsidP="000C109B">
      <w:pPr>
        <w:pStyle w:val="BodyText"/>
      </w:pPr>
      <w:r>
        <w:t>Audit committee members are not remunerated.</w:t>
      </w:r>
    </w:p>
    <w:p w:rsidR="00530B4D" w:rsidRPr="008F7332" w:rsidRDefault="00530B4D" w:rsidP="00D96A68">
      <w:pPr>
        <w:pStyle w:val="H3Appendix"/>
      </w:pPr>
      <w:bookmarkStart w:id="141" w:name="_Toc394926881"/>
      <w:r w:rsidRPr="008F7332">
        <w:t>Curriculum Committee</w:t>
      </w:r>
      <w:bookmarkEnd w:id="141"/>
    </w:p>
    <w:p w:rsidR="00530B4D" w:rsidRPr="008F7332" w:rsidRDefault="00777784" w:rsidP="000C109B">
      <w:pPr>
        <w:pStyle w:val="BodyText"/>
      </w:pPr>
      <w:r>
        <w:t>Functions were to</w:t>
      </w:r>
      <w:r w:rsidR="00530B4D" w:rsidRPr="008F7332">
        <w:t>:</w:t>
      </w:r>
    </w:p>
    <w:p w:rsidR="00530B4D" w:rsidRPr="008F7332" w:rsidRDefault="00530B4D" w:rsidP="008F7332">
      <w:pPr>
        <w:pStyle w:val="ListBullet0"/>
      </w:pPr>
      <w:r w:rsidRPr="008F7332">
        <w:t>provide advice to the Authority on the current directions in curriculum development for the early, middle and senior phases of schooling</w:t>
      </w:r>
    </w:p>
    <w:p w:rsidR="00530B4D" w:rsidRPr="008F7332" w:rsidRDefault="00530B4D" w:rsidP="008F7332">
      <w:pPr>
        <w:pStyle w:val="ListBullet0"/>
      </w:pPr>
      <w:r w:rsidRPr="008F7332">
        <w:t>review submissions of syllabuses, curriculum guidelines and other materials and make recommendations to the Authority about the suitability of such materials</w:t>
      </w:r>
    </w:p>
    <w:p w:rsidR="00530B4D" w:rsidRPr="008F7332" w:rsidRDefault="00530B4D" w:rsidP="008F7332">
      <w:pPr>
        <w:pStyle w:val="ListBullet0"/>
      </w:pPr>
      <w:proofErr w:type="gramStart"/>
      <w:r w:rsidRPr="008F7332">
        <w:t>provide</w:t>
      </w:r>
      <w:proofErr w:type="gramEnd"/>
      <w:r w:rsidRPr="008F7332">
        <w:t xml:space="preserve"> advice on P–12 matters that the Authority may determine.</w:t>
      </w:r>
    </w:p>
    <w:p w:rsidR="00530B4D" w:rsidRPr="008F7332" w:rsidRDefault="00530B4D" w:rsidP="00777784">
      <w:pPr>
        <w:pStyle w:val="BodyText"/>
      </w:pPr>
      <w:r w:rsidRPr="008F7332">
        <w:t xml:space="preserve">Membership </w:t>
      </w:r>
      <w:r w:rsidR="00777784">
        <w:t>comprised</w:t>
      </w:r>
      <w:r w:rsidRPr="008F7332">
        <w:t>:</w:t>
      </w:r>
    </w:p>
    <w:p w:rsidR="00530B4D" w:rsidRPr="008F7332" w:rsidRDefault="00530B4D" w:rsidP="008F7332">
      <w:pPr>
        <w:pStyle w:val="ListBullet0"/>
      </w:pPr>
      <w:r w:rsidRPr="008F7332">
        <w:t>chair — Authority member</w:t>
      </w:r>
    </w:p>
    <w:p w:rsidR="00530B4D" w:rsidRPr="008F7332" w:rsidRDefault="00530B4D" w:rsidP="008F7332">
      <w:pPr>
        <w:pStyle w:val="ListBullet0"/>
      </w:pPr>
      <w:r w:rsidRPr="008F7332">
        <w:t>three Authority members from each school sector</w:t>
      </w:r>
    </w:p>
    <w:p w:rsidR="00530B4D" w:rsidRPr="008F7332" w:rsidRDefault="00530B4D" w:rsidP="008F7332">
      <w:pPr>
        <w:pStyle w:val="ListBullet0"/>
      </w:pPr>
      <w:r w:rsidRPr="008F7332">
        <w:t>one nomi</w:t>
      </w:r>
      <w:r w:rsidR="00A83659" w:rsidRPr="008F7332">
        <w:t xml:space="preserve">nee of </w:t>
      </w:r>
      <w:r w:rsidR="0024161F" w:rsidRPr="008F7332">
        <w:t>State Schools, DETE</w:t>
      </w:r>
    </w:p>
    <w:p w:rsidR="00530B4D" w:rsidRPr="008F7332" w:rsidRDefault="00530B4D" w:rsidP="008F7332">
      <w:pPr>
        <w:pStyle w:val="ListBullet0"/>
      </w:pPr>
      <w:r w:rsidRPr="008F7332">
        <w:t>one nominee of the Queensland</w:t>
      </w:r>
      <w:r w:rsidR="00A83659" w:rsidRPr="008F7332">
        <w:t xml:space="preserve"> Catholic Education Commission</w:t>
      </w:r>
    </w:p>
    <w:p w:rsidR="00530B4D" w:rsidRPr="008F7332" w:rsidRDefault="00530B4D" w:rsidP="008F7332">
      <w:pPr>
        <w:pStyle w:val="ListBullet0"/>
      </w:pPr>
      <w:r w:rsidRPr="008F7332">
        <w:t>one nominee of Inde</w:t>
      </w:r>
      <w:r w:rsidR="00A83659" w:rsidRPr="008F7332">
        <w:t>pendent Schools Queensland</w:t>
      </w:r>
    </w:p>
    <w:p w:rsidR="008C6A52" w:rsidRPr="008F7332" w:rsidRDefault="00530B4D" w:rsidP="008F7332">
      <w:pPr>
        <w:pStyle w:val="ListBullet0"/>
      </w:pPr>
      <w:r w:rsidRPr="008F7332">
        <w:t>one nominee of DETE — training sector</w:t>
      </w:r>
    </w:p>
    <w:p w:rsidR="00530B4D" w:rsidRPr="008F7332" w:rsidRDefault="00530B4D" w:rsidP="008F7332">
      <w:pPr>
        <w:pStyle w:val="ListBullet0"/>
      </w:pPr>
      <w:r w:rsidRPr="008F7332">
        <w:t>one parent nominee</w:t>
      </w:r>
    </w:p>
    <w:p w:rsidR="00530B4D" w:rsidRPr="008F7332" w:rsidRDefault="00530B4D" w:rsidP="008F7332">
      <w:pPr>
        <w:pStyle w:val="ListBullet0"/>
      </w:pPr>
      <w:r w:rsidRPr="008F7332">
        <w:t>one nominee of the Queensland Teachers’ Union</w:t>
      </w:r>
    </w:p>
    <w:p w:rsidR="00530B4D" w:rsidRPr="008F7332" w:rsidRDefault="00530B4D" w:rsidP="008F7332">
      <w:pPr>
        <w:pStyle w:val="ListBullet0"/>
      </w:pPr>
      <w:r w:rsidRPr="008F7332">
        <w:lastRenderedPageBreak/>
        <w:t>one nominee of the Independent Education Union of Australia — Queensland and Northern Territory Branch</w:t>
      </w:r>
    </w:p>
    <w:p w:rsidR="00530B4D" w:rsidRPr="008F7332" w:rsidRDefault="00530B4D" w:rsidP="008F7332">
      <w:pPr>
        <w:pStyle w:val="ListBullet0"/>
      </w:pPr>
      <w:r w:rsidRPr="008F7332">
        <w:t xml:space="preserve">one nominee of </w:t>
      </w:r>
      <w:r w:rsidR="0024161F" w:rsidRPr="008F7332">
        <w:t>State Schools, DETE</w:t>
      </w:r>
      <w:r w:rsidR="0024161F" w:rsidRPr="008F7332" w:rsidDel="0024161F">
        <w:t xml:space="preserve"> </w:t>
      </w:r>
      <w:r w:rsidRPr="008F7332">
        <w:t>— special education</w:t>
      </w:r>
    </w:p>
    <w:p w:rsidR="00530B4D" w:rsidRPr="008F7332" w:rsidRDefault="00530B4D" w:rsidP="008F7332">
      <w:pPr>
        <w:pStyle w:val="ListBullet0"/>
      </w:pPr>
      <w:r w:rsidRPr="008F7332">
        <w:t xml:space="preserve">one nominee of </w:t>
      </w:r>
      <w:r w:rsidR="0024161F" w:rsidRPr="008F7332">
        <w:t>State Schools, DETE</w:t>
      </w:r>
      <w:r w:rsidRPr="008F7332">
        <w:t xml:space="preserve"> — rural and remote</w:t>
      </w:r>
    </w:p>
    <w:p w:rsidR="00530B4D" w:rsidRPr="008F7332" w:rsidRDefault="00530B4D" w:rsidP="008F7332">
      <w:pPr>
        <w:pStyle w:val="ListBullet0"/>
      </w:pPr>
      <w:r w:rsidRPr="008F7332">
        <w:t>one nominee of QCEC — senior years</w:t>
      </w:r>
    </w:p>
    <w:p w:rsidR="00530B4D" w:rsidRPr="008F7332" w:rsidRDefault="00530B4D" w:rsidP="008F7332">
      <w:pPr>
        <w:pStyle w:val="ListBullet0"/>
      </w:pPr>
      <w:r w:rsidRPr="008F7332">
        <w:t>one nominee of ISQ — middle years</w:t>
      </w:r>
    </w:p>
    <w:p w:rsidR="00530B4D" w:rsidRPr="008F7332" w:rsidRDefault="00530B4D" w:rsidP="008F7332">
      <w:pPr>
        <w:pStyle w:val="ListBullet0"/>
      </w:pPr>
      <w:r w:rsidRPr="008F7332">
        <w:t xml:space="preserve">one nominee of </w:t>
      </w:r>
      <w:r w:rsidR="0024161F" w:rsidRPr="008F7332">
        <w:t>State Schools, DETE</w:t>
      </w:r>
      <w:r w:rsidRPr="008F7332">
        <w:t xml:space="preserve"> — early years</w:t>
      </w:r>
      <w:r w:rsidR="0024161F" w:rsidRPr="008F7332">
        <w:t xml:space="preserve"> teacher</w:t>
      </w:r>
    </w:p>
    <w:p w:rsidR="00530B4D" w:rsidRPr="008F7332" w:rsidRDefault="00530B4D" w:rsidP="008F7332">
      <w:pPr>
        <w:pStyle w:val="ListBullet0"/>
      </w:pPr>
      <w:r w:rsidRPr="008F7332">
        <w:t>one nominee of the Queensland Indigenous Education Consultative Committee</w:t>
      </w:r>
    </w:p>
    <w:p w:rsidR="00530B4D" w:rsidRPr="008F7332" w:rsidRDefault="00530B4D" w:rsidP="008F7332">
      <w:pPr>
        <w:pStyle w:val="ListBullet0"/>
      </w:pPr>
      <w:r w:rsidRPr="008F7332">
        <w:t>two tertiary educators</w:t>
      </w:r>
    </w:p>
    <w:p w:rsidR="00530B4D" w:rsidRPr="008F7332" w:rsidRDefault="00530B4D" w:rsidP="008F7332">
      <w:pPr>
        <w:pStyle w:val="ListBullet0"/>
      </w:pPr>
      <w:r w:rsidRPr="008F7332">
        <w:t>one QSA senior officer</w:t>
      </w:r>
    </w:p>
    <w:p w:rsidR="00034EF2" w:rsidRPr="008F7332" w:rsidRDefault="00530B4D" w:rsidP="008F7332">
      <w:pPr>
        <w:pStyle w:val="ListBullet0"/>
      </w:pPr>
      <w:proofErr w:type="gramStart"/>
      <w:r w:rsidRPr="008F7332">
        <w:t>executive</w:t>
      </w:r>
      <w:proofErr w:type="gramEnd"/>
      <w:r w:rsidRPr="008F7332">
        <w:t xml:space="preserve"> officer — QSA officer.</w:t>
      </w:r>
    </w:p>
    <w:p w:rsidR="000754F0" w:rsidRPr="008F7332" w:rsidRDefault="000754F0" w:rsidP="00D96A68">
      <w:pPr>
        <w:pStyle w:val="H3Appendix"/>
      </w:pPr>
      <w:bookmarkStart w:id="142" w:name="_Toc394926882"/>
      <w:r w:rsidRPr="008F7332">
        <w:t>Equity Committee</w:t>
      </w:r>
      <w:bookmarkEnd w:id="142"/>
    </w:p>
    <w:p w:rsidR="000754F0" w:rsidRPr="008F7332" w:rsidRDefault="00777784" w:rsidP="008F7332">
      <w:pPr>
        <w:pStyle w:val="Normallead-in"/>
      </w:pPr>
      <w:r>
        <w:t>Functions were to</w:t>
      </w:r>
      <w:r w:rsidR="000754F0" w:rsidRPr="008F7332">
        <w:t>:</w:t>
      </w:r>
    </w:p>
    <w:p w:rsidR="000754F0" w:rsidRPr="008F7332" w:rsidRDefault="000754F0" w:rsidP="008F7332">
      <w:pPr>
        <w:pStyle w:val="ListBullet0"/>
      </w:pPr>
      <w:r w:rsidRPr="008F7332">
        <w:t>provide expertise and advice to the Authority, and the Office of the Authority, on equity issues in education, relevant to the functions of the Authority</w:t>
      </w:r>
    </w:p>
    <w:p w:rsidR="000754F0" w:rsidRPr="008F7332" w:rsidRDefault="000754F0" w:rsidP="008F7332">
      <w:pPr>
        <w:pStyle w:val="ListBullet0"/>
      </w:pPr>
      <w:r w:rsidRPr="008F7332">
        <w:t>liaise with other committees of the Authority as required</w:t>
      </w:r>
    </w:p>
    <w:p w:rsidR="000754F0" w:rsidRPr="008F7332" w:rsidRDefault="000754F0" w:rsidP="008F7332">
      <w:pPr>
        <w:pStyle w:val="ListBullet0"/>
      </w:pPr>
      <w:proofErr w:type="gramStart"/>
      <w:r w:rsidRPr="008F7332">
        <w:t>represent</w:t>
      </w:r>
      <w:proofErr w:type="gramEnd"/>
      <w:r w:rsidRPr="008F7332">
        <w:t xml:space="preserve"> the interests of groups at educational risk in the community.</w:t>
      </w:r>
    </w:p>
    <w:p w:rsidR="000754F0" w:rsidRPr="008F7332" w:rsidRDefault="000754F0" w:rsidP="00777784">
      <w:pPr>
        <w:pStyle w:val="BodyText"/>
      </w:pPr>
      <w:r w:rsidRPr="008F7332">
        <w:t xml:space="preserve">Membership </w:t>
      </w:r>
      <w:r w:rsidR="00777784">
        <w:t>comprised</w:t>
      </w:r>
      <w:r w:rsidRPr="008F7332">
        <w:t>:</w:t>
      </w:r>
    </w:p>
    <w:p w:rsidR="000754F0" w:rsidRPr="008F7332" w:rsidRDefault="000754F0" w:rsidP="009D1451">
      <w:pPr>
        <w:pStyle w:val="ListBullet0"/>
        <w:spacing w:before="52"/>
      </w:pPr>
      <w:r w:rsidRPr="008F7332">
        <w:t>chair — Authority member</w:t>
      </w:r>
    </w:p>
    <w:p w:rsidR="000754F0" w:rsidRPr="008F7332" w:rsidRDefault="000754F0" w:rsidP="009D1451">
      <w:pPr>
        <w:pStyle w:val="ListBullet0"/>
        <w:spacing w:before="52"/>
      </w:pPr>
      <w:r w:rsidRPr="008F7332">
        <w:t xml:space="preserve">one nominee of </w:t>
      </w:r>
      <w:r w:rsidR="0024161F" w:rsidRPr="008F7332">
        <w:t>State Schools, DETE</w:t>
      </w:r>
    </w:p>
    <w:p w:rsidR="000754F0" w:rsidRPr="008F7332" w:rsidRDefault="000754F0" w:rsidP="009D1451">
      <w:pPr>
        <w:pStyle w:val="ListBullet0"/>
        <w:spacing w:before="52"/>
      </w:pPr>
      <w:r w:rsidRPr="008F7332">
        <w:t>one nominee of the Queensland Catholic Education Commission</w:t>
      </w:r>
    </w:p>
    <w:p w:rsidR="000754F0" w:rsidRPr="008F7332" w:rsidRDefault="000754F0" w:rsidP="009D1451">
      <w:pPr>
        <w:pStyle w:val="ListBullet0"/>
        <w:spacing w:before="52"/>
      </w:pPr>
      <w:r w:rsidRPr="008F7332">
        <w:t>one nominee of Independent Schools Queensland</w:t>
      </w:r>
    </w:p>
    <w:p w:rsidR="008C6A52" w:rsidRPr="008F7332" w:rsidRDefault="000754F0" w:rsidP="009D1451">
      <w:pPr>
        <w:pStyle w:val="ListBullet0"/>
        <w:spacing w:before="52"/>
      </w:pPr>
      <w:r w:rsidRPr="008F7332">
        <w:t>one nominee of DETE — training sector</w:t>
      </w:r>
    </w:p>
    <w:p w:rsidR="000754F0" w:rsidRPr="008F7332" w:rsidRDefault="000754F0" w:rsidP="009D1451">
      <w:pPr>
        <w:pStyle w:val="ListBullet0"/>
        <w:spacing w:before="52"/>
      </w:pPr>
      <w:r w:rsidRPr="008F7332">
        <w:t>one nominee of the Queensland Indigenous Education Consultative Committee</w:t>
      </w:r>
    </w:p>
    <w:p w:rsidR="000754F0" w:rsidRPr="008F7332" w:rsidRDefault="000754F0" w:rsidP="009D1451">
      <w:pPr>
        <w:pStyle w:val="ListBullet0"/>
        <w:spacing w:before="52"/>
      </w:pPr>
      <w:r w:rsidRPr="008F7332">
        <w:t>one nominee of the Queensland Teachers’ Union</w:t>
      </w:r>
    </w:p>
    <w:p w:rsidR="000754F0" w:rsidRPr="008F7332" w:rsidRDefault="000754F0" w:rsidP="009D1451">
      <w:pPr>
        <w:pStyle w:val="ListBullet0"/>
        <w:spacing w:before="52"/>
      </w:pPr>
      <w:r w:rsidRPr="008F7332">
        <w:t>one nominee of the Independent Education Union of Australia — Queensland and Northern Territory Branch</w:t>
      </w:r>
    </w:p>
    <w:p w:rsidR="000754F0" w:rsidRPr="008F7332" w:rsidRDefault="000754F0" w:rsidP="009D1451">
      <w:pPr>
        <w:pStyle w:val="ListBullet0"/>
        <w:spacing w:before="52"/>
      </w:pPr>
      <w:r w:rsidRPr="008F7332">
        <w:t>one practising teacher or school-based person with expertise in special education</w:t>
      </w:r>
    </w:p>
    <w:p w:rsidR="000754F0" w:rsidRPr="008F7332" w:rsidRDefault="000754F0" w:rsidP="009D1451">
      <w:pPr>
        <w:pStyle w:val="ListBullet0"/>
        <w:spacing w:before="52"/>
      </w:pPr>
      <w:r w:rsidRPr="008F7332">
        <w:t>one practising teacher with expertise in distance education</w:t>
      </w:r>
    </w:p>
    <w:p w:rsidR="000754F0" w:rsidRPr="008F7332" w:rsidRDefault="000754F0" w:rsidP="009D1451">
      <w:pPr>
        <w:pStyle w:val="ListBullet0"/>
        <w:spacing w:before="52"/>
      </w:pPr>
      <w:r w:rsidRPr="008F7332">
        <w:t>one nominee of the Queensland Association of Gifted and Talented Children</w:t>
      </w:r>
    </w:p>
    <w:p w:rsidR="000754F0" w:rsidRPr="008F7332" w:rsidRDefault="000754F0" w:rsidP="009D1451">
      <w:pPr>
        <w:pStyle w:val="ListBullet0"/>
        <w:spacing w:before="52"/>
      </w:pPr>
      <w:r w:rsidRPr="008F7332">
        <w:t>one researcher</w:t>
      </w:r>
    </w:p>
    <w:p w:rsidR="000754F0" w:rsidRPr="008F7332" w:rsidRDefault="000754F0" w:rsidP="009D1451">
      <w:pPr>
        <w:pStyle w:val="ListBullet0"/>
        <w:spacing w:before="52"/>
      </w:pPr>
      <w:r w:rsidRPr="008F7332">
        <w:t xml:space="preserve">one nominee of the Queensland </w:t>
      </w:r>
      <w:r w:rsidR="0045776C" w:rsidRPr="008F7332">
        <w:br/>
      </w:r>
      <w:r w:rsidRPr="008F7332">
        <w:t>Anti-Discrimination Commission</w:t>
      </w:r>
    </w:p>
    <w:p w:rsidR="000754F0" w:rsidRPr="008F7332" w:rsidRDefault="000754F0" w:rsidP="009D1451">
      <w:pPr>
        <w:pStyle w:val="ListBullet0"/>
        <w:spacing w:before="52"/>
      </w:pPr>
      <w:r w:rsidRPr="008F7332">
        <w:t>one nominee of the Queensland Guidance and Counselling Association</w:t>
      </w:r>
    </w:p>
    <w:p w:rsidR="000754F0" w:rsidRPr="008F7332" w:rsidRDefault="000754F0" w:rsidP="009D1451">
      <w:pPr>
        <w:pStyle w:val="ListBullet0"/>
        <w:spacing w:before="52"/>
      </w:pPr>
      <w:r w:rsidRPr="008F7332">
        <w:lastRenderedPageBreak/>
        <w:t>one nominee of the Queensland Association of Teaching English as a Second or Other Language</w:t>
      </w:r>
    </w:p>
    <w:p w:rsidR="000754F0" w:rsidRPr="008F7332" w:rsidRDefault="000754F0" w:rsidP="009D1451">
      <w:pPr>
        <w:pStyle w:val="ListBullet0"/>
        <w:spacing w:before="52"/>
      </w:pPr>
      <w:r w:rsidRPr="008F7332">
        <w:t>one nominee of the Ethnic Communities Council of Queensland</w:t>
      </w:r>
    </w:p>
    <w:p w:rsidR="000754F0" w:rsidRPr="008F7332" w:rsidRDefault="000754F0" w:rsidP="009D1451">
      <w:pPr>
        <w:pStyle w:val="ListBullet0"/>
        <w:spacing w:before="52"/>
      </w:pPr>
      <w:r w:rsidRPr="008F7332">
        <w:t>two parent nominees</w:t>
      </w:r>
    </w:p>
    <w:p w:rsidR="000754F0" w:rsidRPr="008F7332" w:rsidRDefault="000754F0" w:rsidP="009D1451">
      <w:pPr>
        <w:pStyle w:val="ListBullet0"/>
        <w:spacing w:before="52"/>
      </w:pPr>
      <w:r w:rsidRPr="008F7332">
        <w:t>one QSA senior officer</w:t>
      </w:r>
    </w:p>
    <w:p w:rsidR="000754F0" w:rsidRPr="008F7332" w:rsidRDefault="000754F0" w:rsidP="009D1451">
      <w:pPr>
        <w:pStyle w:val="ListBullet0"/>
        <w:spacing w:before="52"/>
      </w:pPr>
      <w:proofErr w:type="gramStart"/>
      <w:r w:rsidRPr="008F7332">
        <w:t>executive</w:t>
      </w:r>
      <w:proofErr w:type="gramEnd"/>
      <w:r w:rsidRPr="008F7332">
        <w:t xml:space="preserve"> officer — QSA officer.</w:t>
      </w:r>
    </w:p>
    <w:p w:rsidR="000754F0" w:rsidRPr="008F7332" w:rsidRDefault="000754F0" w:rsidP="00D96A68">
      <w:pPr>
        <w:pStyle w:val="H3Appendix"/>
      </w:pPr>
      <w:bookmarkStart w:id="143" w:name="_Toc300136553"/>
      <w:bookmarkStart w:id="144" w:name="_Toc394926883"/>
      <w:r w:rsidRPr="008F7332">
        <w:t>Finance Committee</w:t>
      </w:r>
      <w:bookmarkEnd w:id="143"/>
      <w:bookmarkEnd w:id="144"/>
    </w:p>
    <w:p w:rsidR="000754F0" w:rsidRPr="008F7332" w:rsidRDefault="00777784" w:rsidP="000C109B">
      <w:pPr>
        <w:pStyle w:val="BodyText"/>
      </w:pPr>
      <w:r>
        <w:t>Functions were to</w:t>
      </w:r>
      <w:r w:rsidR="000754F0" w:rsidRPr="008F7332">
        <w:t>:</w:t>
      </w:r>
    </w:p>
    <w:p w:rsidR="000754F0" w:rsidRPr="008F7332" w:rsidRDefault="000754F0" w:rsidP="008F7332">
      <w:pPr>
        <w:pStyle w:val="ListBullet0"/>
      </w:pPr>
      <w:r w:rsidRPr="008F7332">
        <w:t>oversee the development and approval of the annual budget</w:t>
      </w:r>
    </w:p>
    <w:p w:rsidR="000754F0" w:rsidRPr="008F7332" w:rsidRDefault="000754F0" w:rsidP="008F7332">
      <w:pPr>
        <w:pStyle w:val="ListBullet0"/>
      </w:pPr>
      <w:r w:rsidRPr="008F7332">
        <w:t>ensure that annual resource allocations are consistent with the strategic direction and operational priorities of the QSA</w:t>
      </w:r>
    </w:p>
    <w:p w:rsidR="000754F0" w:rsidRPr="008F7332" w:rsidRDefault="000754F0" w:rsidP="008F7332">
      <w:pPr>
        <w:pStyle w:val="ListBullet0"/>
      </w:pPr>
      <w:r w:rsidRPr="008F7332">
        <w:t>provide advice on major project and capital expenditure proposals or initiatives</w:t>
      </w:r>
    </w:p>
    <w:p w:rsidR="000754F0" w:rsidRPr="008F7332" w:rsidRDefault="000754F0" w:rsidP="008F7332">
      <w:pPr>
        <w:pStyle w:val="ListBullet0"/>
      </w:pPr>
      <w:r w:rsidRPr="008F7332">
        <w:t>monitor actual financial performance against budget and forecasts and provide advice on significant trends or variances</w:t>
      </w:r>
    </w:p>
    <w:p w:rsidR="000754F0" w:rsidRPr="008F7332" w:rsidRDefault="000754F0" w:rsidP="008F7332">
      <w:pPr>
        <w:pStyle w:val="ListBullet0"/>
      </w:pPr>
      <w:r w:rsidRPr="008F7332">
        <w:t>review the financial performance of major strategic initiatives</w:t>
      </w:r>
    </w:p>
    <w:p w:rsidR="000754F0" w:rsidRPr="008F7332" w:rsidRDefault="000754F0" w:rsidP="008F7332">
      <w:pPr>
        <w:pStyle w:val="ListBullet0"/>
      </w:pPr>
      <w:proofErr w:type="gramStart"/>
      <w:r w:rsidRPr="008F7332">
        <w:t>perform</w:t>
      </w:r>
      <w:proofErr w:type="gramEnd"/>
      <w:r w:rsidRPr="008F7332">
        <w:t xml:space="preserve"> any other activities consistent with this charter that the Governing Body requests.</w:t>
      </w:r>
    </w:p>
    <w:p w:rsidR="000754F0" w:rsidRPr="008F7332" w:rsidRDefault="000754F0" w:rsidP="00777784">
      <w:pPr>
        <w:pStyle w:val="BodyText"/>
      </w:pPr>
      <w:r w:rsidRPr="008F7332">
        <w:t xml:space="preserve">Membership </w:t>
      </w:r>
      <w:r w:rsidR="00777784">
        <w:t>comprised</w:t>
      </w:r>
      <w:r w:rsidRPr="008F7332">
        <w:t>:</w:t>
      </w:r>
    </w:p>
    <w:p w:rsidR="000754F0" w:rsidRPr="008F7332" w:rsidRDefault="000754F0" w:rsidP="008F7332">
      <w:pPr>
        <w:pStyle w:val="ListBullet0"/>
      </w:pPr>
      <w:r w:rsidRPr="008F7332">
        <w:t>chair — Authority member</w:t>
      </w:r>
    </w:p>
    <w:p w:rsidR="000754F0" w:rsidRPr="008F7332" w:rsidRDefault="000754F0" w:rsidP="008F7332">
      <w:pPr>
        <w:pStyle w:val="ListBullet0"/>
      </w:pPr>
      <w:r w:rsidRPr="008F7332">
        <w:t>two nominees of the Authority</w:t>
      </w:r>
    </w:p>
    <w:p w:rsidR="000754F0" w:rsidRPr="008F7332" w:rsidRDefault="000754F0" w:rsidP="008F7332">
      <w:pPr>
        <w:pStyle w:val="ListBullet0"/>
      </w:pPr>
      <w:proofErr w:type="gramStart"/>
      <w:r w:rsidRPr="008F7332">
        <w:t>executive</w:t>
      </w:r>
      <w:proofErr w:type="gramEnd"/>
      <w:r w:rsidRPr="008F7332">
        <w:t xml:space="preserve"> officer — QSA officer.</w:t>
      </w:r>
    </w:p>
    <w:p w:rsidR="000754F0" w:rsidRPr="008F7332" w:rsidRDefault="000754F0" w:rsidP="00D96A68">
      <w:pPr>
        <w:pStyle w:val="H3Appendix"/>
      </w:pPr>
      <w:bookmarkStart w:id="145" w:name="_Toc394926884"/>
      <w:r w:rsidRPr="008F7332">
        <w:t>Scaling Anomalies Committee</w:t>
      </w:r>
      <w:bookmarkEnd w:id="145"/>
    </w:p>
    <w:p w:rsidR="000754F0" w:rsidRPr="008F7332" w:rsidRDefault="00777784" w:rsidP="000C109B">
      <w:pPr>
        <w:pStyle w:val="BodyText"/>
      </w:pPr>
      <w:bookmarkStart w:id="146" w:name="_Toc274045264"/>
      <w:bookmarkStart w:id="147" w:name="_Toc300136561"/>
      <w:r>
        <w:t>Functions were to</w:t>
      </w:r>
      <w:r w:rsidR="000754F0" w:rsidRPr="008F7332">
        <w:t>:</w:t>
      </w:r>
    </w:p>
    <w:p w:rsidR="000754F0" w:rsidRPr="008F7332" w:rsidRDefault="000754F0" w:rsidP="008F7332">
      <w:pPr>
        <w:pStyle w:val="ListBullet0"/>
      </w:pPr>
      <w:r w:rsidRPr="008F7332">
        <w:t>consider applications from schools for examination of their Queensland Core Skills (QCS) Test data where schools consider that exceptional circumstances may have resulted in lesser performance</w:t>
      </w:r>
    </w:p>
    <w:p w:rsidR="000754F0" w:rsidRPr="008F7332" w:rsidRDefault="000754F0" w:rsidP="008F7332">
      <w:pPr>
        <w:pStyle w:val="ListBullet0"/>
      </w:pPr>
      <w:r w:rsidRPr="008F7332">
        <w:t>examine data for schools that have a significant negative mismatch between within-school achievement and QCS Test data, and recommend measures to be implemented to help schools identify the reasons for the mismatch</w:t>
      </w:r>
    </w:p>
    <w:p w:rsidR="000754F0" w:rsidRPr="008F7332" w:rsidRDefault="000754F0" w:rsidP="008F7332">
      <w:pPr>
        <w:pStyle w:val="ListBullet0"/>
      </w:pPr>
      <w:r w:rsidRPr="008F7332">
        <w:t>confirm that special procedures, which are part of the calculation of equivalent Overall Positions (OPs), are working appropriately (such as those for visa schools)</w:t>
      </w:r>
    </w:p>
    <w:p w:rsidR="000754F0" w:rsidRPr="008F7332" w:rsidRDefault="000754F0" w:rsidP="008F7332">
      <w:pPr>
        <w:pStyle w:val="ListBullet0"/>
      </w:pPr>
      <w:proofErr w:type="gramStart"/>
      <w:r w:rsidRPr="008F7332">
        <w:t>consider</w:t>
      </w:r>
      <w:proofErr w:type="gramEnd"/>
      <w:r w:rsidRPr="008F7332">
        <w:t xml:space="preserve"> cases identified by the Office of the QSA where the normal scaling procedures for the calculation of OPs might need to be varied because they are not operating as they were intended.</w:t>
      </w:r>
    </w:p>
    <w:p w:rsidR="000754F0" w:rsidRPr="008F7332" w:rsidRDefault="000754F0" w:rsidP="00777784">
      <w:pPr>
        <w:pStyle w:val="BodyText"/>
      </w:pPr>
      <w:r w:rsidRPr="008F7332">
        <w:t xml:space="preserve">Membership </w:t>
      </w:r>
      <w:r w:rsidR="00777784">
        <w:t>comprised</w:t>
      </w:r>
      <w:r w:rsidRPr="008F7332">
        <w:t>:</w:t>
      </w:r>
    </w:p>
    <w:p w:rsidR="000754F0" w:rsidRPr="008F7332" w:rsidRDefault="000754F0" w:rsidP="008F7332">
      <w:pPr>
        <w:pStyle w:val="ListBullet0"/>
      </w:pPr>
      <w:r w:rsidRPr="008F7332">
        <w:t>chair — Authority member</w:t>
      </w:r>
    </w:p>
    <w:p w:rsidR="000754F0" w:rsidRPr="008F7332" w:rsidRDefault="000754F0" w:rsidP="008F7332">
      <w:pPr>
        <w:pStyle w:val="ListBullet0"/>
      </w:pPr>
      <w:r w:rsidRPr="008F7332">
        <w:t>one academic representative</w:t>
      </w:r>
    </w:p>
    <w:p w:rsidR="000754F0" w:rsidRPr="008F7332" w:rsidRDefault="000754F0" w:rsidP="008F7332">
      <w:pPr>
        <w:pStyle w:val="ListBullet0"/>
      </w:pPr>
      <w:r w:rsidRPr="008F7332">
        <w:t xml:space="preserve">one nominee of </w:t>
      </w:r>
      <w:r w:rsidR="0024161F" w:rsidRPr="008F7332">
        <w:t>State Schools, DETE</w:t>
      </w:r>
    </w:p>
    <w:p w:rsidR="000754F0" w:rsidRPr="008F7332" w:rsidRDefault="000754F0" w:rsidP="00777784">
      <w:pPr>
        <w:pStyle w:val="ListBullet0"/>
      </w:pPr>
      <w:r w:rsidRPr="008F7332">
        <w:lastRenderedPageBreak/>
        <w:t>one nominee of the Queensland Catholic Education Commission</w:t>
      </w:r>
    </w:p>
    <w:p w:rsidR="000754F0" w:rsidRPr="008F7332" w:rsidRDefault="000754F0" w:rsidP="00777784">
      <w:pPr>
        <w:pStyle w:val="ListBullet0"/>
      </w:pPr>
      <w:r w:rsidRPr="008F7332">
        <w:t>one nominee of Independent Schools Queensland</w:t>
      </w:r>
    </w:p>
    <w:p w:rsidR="000754F0" w:rsidRPr="008F7332" w:rsidRDefault="000754F0" w:rsidP="00777784">
      <w:pPr>
        <w:pStyle w:val="ListBullet0"/>
      </w:pPr>
      <w:r w:rsidRPr="008F7332">
        <w:t xml:space="preserve">Deputy Director, </w:t>
      </w:r>
      <w:r w:rsidR="00FC69C6">
        <w:t>Assessment and Reporting Division</w:t>
      </w:r>
      <w:r w:rsidRPr="008F7332">
        <w:t>, QSA</w:t>
      </w:r>
    </w:p>
    <w:p w:rsidR="000754F0" w:rsidRPr="008F7332" w:rsidRDefault="000754F0" w:rsidP="00777784">
      <w:pPr>
        <w:pStyle w:val="ListBullet0"/>
      </w:pPr>
      <w:r w:rsidRPr="008F7332">
        <w:t>Assistant Director, Analysis and Reporting Branch, QSA</w:t>
      </w:r>
    </w:p>
    <w:p w:rsidR="000754F0" w:rsidRPr="008F7332" w:rsidRDefault="000754F0" w:rsidP="00777784">
      <w:pPr>
        <w:pStyle w:val="ListBullet0"/>
      </w:pPr>
      <w:r w:rsidRPr="008F7332">
        <w:t>Manager, Quantitative Analysis Unit, QSA</w:t>
      </w:r>
    </w:p>
    <w:p w:rsidR="000754F0" w:rsidRPr="008F7332" w:rsidRDefault="00FC69C6" w:rsidP="00777784">
      <w:pPr>
        <w:pStyle w:val="ListBullet0"/>
      </w:pPr>
      <w:proofErr w:type="gramStart"/>
      <w:r w:rsidRPr="008F7332">
        <w:t>executive</w:t>
      </w:r>
      <w:proofErr w:type="gramEnd"/>
      <w:r w:rsidRPr="008F7332">
        <w:t xml:space="preserve"> officer</w:t>
      </w:r>
      <w:r>
        <w:t xml:space="preserve"> </w:t>
      </w:r>
      <w:r w:rsidRPr="008F7332">
        <w:t>—</w:t>
      </w:r>
      <w:r>
        <w:t xml:space="preserve"> </w:t>
      </w:r>
      <w:r w:rsidR="000754F0" w:rsidRPr="008F7332">
        <w:t>Manager, Qualitative Analysis Unit, QSA.</w:t>
      </w:r>
    </w:p>
    <w:p w:rsidR="000754F0" w:rsidRPr="008F7332" w:rsidRDefault="000754F0" w:rsidP="00D96A68">
      <w:pPr>
        <w:pStyle w:val="H3Appendix"/>
      </w:pPr>
      <w:bookmarkStart w:id="148" w:name="_Toc300136555"/>
      <w:bookmarkStart w:id="149" w:name="_Toc394926885"/>
      <w:r w:rsidRPr="008F7332">
        <w:t>Tertiary Entrance Committee</w:t>
      </w:r>
      <w:bookmarkEnd w:id="148"/>
      <w:bookmarkEnd w:id="149"/>
    </w:p>
    <w:p w:rsidR="000754F0" w:rsidRPr="008F7332" w:rsidRDefault="00777784" w:rsidP="000C109B">
      <w:pPr>
        <w:pStyle w:val="BodyText"/>
      </w:pPr>
      <w:r>
        <w:t>Functions were to</w:t>
      </w:r>
      <w:r w:rsidR="000754F0" w:rsidRPr="008F7332">
        <w:t>:</w:t>
      </w:r>
    </w:p>
    <w:p w:rsidR="000754F0" w:rsidRPr="008F7332" w:rsidRDefault="000754F0" w:rsidP="00777784">
      <w:pPr>
        <w:pStyle w:val="ListBullet0"/>
      </w:pPr>
      <w:r w:rsidRPr="008F7332">
        <w:t>monitor developments on tertiary entrance matters and assist in the provision of informed advice about tertiary entrance matters</w:t>
      </w:r>
    </w:p>
    <w:p w:rsidR="000754F0" w:rsidRPr="008F7332" w:rsidRDefault="000754F0" w:rsidP="00777784">
      <w:pPr>
        <w:pStyle w:val="ListBullet0"/>
      </w:pPr>
      <w:proofErr w:type="gramStart"/>
      <w:r w:rsidRPr="008F7332">
        <w:t>provide</w:t>
      </w:r>
      <w:proofErr w:type="gramEnd"/>
      <w:r w:rsidRPr="008F7332">
        <w:t xml:space="preserve"> advice on the management of information and secondary–tertiary link programs that maximise the capacity of potential tertiary applicants to make informed choices and pursue tertiary studies.</w:t>
      </w:r>
    </w:p>
    <w:p w:rsidR="000754F0" w:rsidRPr="008F7332" w:rsidRDefault="000754F0" w:rsidP="00777784">
      <w:pPr>
        <w:pStyle w:val="BodyText"/>
      </w:pPr>
      <w:r w:rsidRPr="008F7332">
        <w:t xml:space="preserve">Membership </w:t>
      </w:r>
      <w:r w:rsidR="00777784">
        <w:t>comprised</w:t>
      </w:r>
      <w:r w:rsidRPr="008F7332">
        <w:t>:</w:t>
      </w:r>
    </w:p>
    <w:p w:rsidR="000754F0" w:rsidRPr="008F7332" w:rsidRDefault="000754F0" w:rsidP="00777784">
      <w:pPr>
        <w:pStyle w:val="ListBullet0"/>
      </w:pPr>
      <w:r w:rsidRPr="008F7332">
        <w:t>chair — Authority member</w:t>
      </w:r>
    </w:p>
    <w:p w:rsidR="000754F0" w:rsidRPr="008F7332" w:rsidRDefault="000754F0" w:rsidP="00777784">
      <w:pPr>
        <w:pStyle w:val="ListBullet0"/>
      </w:pPr>
      <w:r w:rsidRPr="008F7332">
        <w:t>two university admissions managers</w:t>
      </w:r>
    </w:p>
    <w:p w:rsidR="000754F0" w:rsidRPr="008F7332" w:rsidRDefault="000754F0" w:rsidP="00777784">
      <w:pPr>
        <w:pStyle w:val="ListBullet0"/>
      </w:pPr>
      <w:r w:rsidRPr="008F7332">
        <w:t>one TAFE admissions manager</w:t>
      </w:r>
    </w:p>
    <w:p w:rsidR="000754F0" w:rsidRPr="008F7332" w:rsidRDefault="000754F0" w:rsidP="00777784">
      <w:pPr>
        <w:pStyle w:val="ListBullet0"/>
      </w:pPr>
      <w:r w:rsidRPr="008F7332">
        <w:t>one nominee of DETE with policy expertise relating to TAFE — university interface</w:t>
      </w:r>
    </w:p>
    <w:p w:rsidR="008C6A52" w:rsidRPr="008F7332" w:rsidRDefault="000754F0" w:rsidP="00777784">
      <w:pPr>
        <w:pStyle w:val="ListBullet0"/>
      </w:pPr>
      <w:r w:rsidRPr="008F7332">
        <w:t>one nominee of the Office of Higher Education, DETE</w:t>
      </w:r>
    </w:p>
    <w:p w:rsidR="000754F0" w:rsidRPr="008F7332" w:rsidRDefault="000754F0" w:rsidP="00777784">
      <w:pPr>
        <w:pStyle w:val="ListBullet0"/>
      </w:pPr>
      <w:r w:rsidRPr="008F7332">
        <w:t>one nominee of the Queensland Tertiary Admissions Centre</w:t>
      </w:r>
    </w:p>
    <w:p w:rsidR="000754F0" w:rsidRPr="00777784" w:rsidRDefault="000754F0" w:rsidP="00777784">
      <w:pPr>
        <w:pStyle w:val="ListBullet0"/>
      </w:pPr>
      <w:r w:rsidRPr="008F7332">
        <w:t>one nominee of the Australian Council of Private Education and Training</w:t>
      </w:r>
    </w:p>
    <w:p w:rsidR="000754F0" w:rsidRPr="008F7332" w:rsidRDefault="00C8683D" w:rsidP="00777784">
      <w:pPr>
        <w:pStyle w:val="ListBullet0"/>
      </w:pPr>
      <w:r>
        <w:t>two guidance counsellors (S</w:t>
      </w:r>
      <w:r w:rsidR="000754F0" w:rsidRPr="008F7332">
        <w:t>tat</w:t>
      </w:r>
      <w:r>
        <w:t>e and Non-S</w:t>
      </w:r>
      <w:r w:rsidR="000754F0" w:rsidRPr="008F7332">
        <w:t>tate)</w:t>
      </w:r>
    </w:p>
    <w:p w:rsidR="000754F0" w:rsidRPr="008F7332" w:rsidRDefault="000754F0" w:rsidP="00777784">
      <w:pPr>
        <w:pStyle w:val="ListBullet0"/>
      </w:pPr>
      <w:r w:rsidRPr="008F7332">
        <w:t>two student representatives</w:t>
      </w:r>
    </w:p>
    <w:p w:rsidR="000754F0" w:rsidRPr="008F7332" w:rsidRDefault="000754F0" w:rsidP="00777784">
      <w:pPr>
        <w:pStyle w:val="ListBullet0"/>
      </w:pPr>
      <w:r w:rsidRPr="008F7332">
        <w:t>two tertiary student representatives</w:t>
      </w:r>
    </w:p>
    <w:p w:rsidR="000754F0" w:rsidRPr="008F7332" w:rsidRDefault="000754F0" w:rsidP="00777784">
      <w:pPr>
        <w:pStyle w:val="ListBullet0"/>
      </w:pPr>
      <w:r w:rsidRPr="008F7332">
        <w:t>one parent nominee</w:t>
      </w:r>
    </w:p>
    <w:p w:rsidR="000754F0" w:rsidRPr="008F7332" w:rsidRDefault="000754F0" w:rsidP="00777784">
      <w:pPr>
        <w:pStyle w:val="ListBullet0"/>
      </w:pPr>
      <w:r w:rsidRPr="008F7332">
        <w:t>one QSA senior officer</w:t>
      </w:r>
    </w:p>
    <w:p w:rsidR="000754F0" w:rsidRPr="008F7332" w:rsidRDefault="000754F0" w:rsidP="00777784">
      <w:pPr>
        <w:pStyle w:val="ListBullet0"/>
      </w:pPr>
      <w:proofErr w:type="gramStart"/>
      <w:r w:rsidRPr="008F7332">
        <w:t>executive</w:t>
      </w:r>
      <w:proofErr w:type="gramEnd"/>
      <w:r w:rsidRPr="008F7332">
        <w:t xml:space="preserve"> officer — QSA officer.</w:t>
      </w:r>
    </w:p>
    <w:p w:rsidR="000754F0" w:rsidRPr="008F7332" w:rsidRDefault="000754F0" w:rsidP="00D96A68">
      <w:pPr>
        <w:pStyle w:val="H3Appendix"/>
      </w:pPr>
      <w:bookmarkStart w:id="150" w:name="_Toc300136556"/>
      <w:bookmarkStart w:id="151" w:name="_Toc394926886"/>
      <w:r w:rsidRPr="008F7332">
        <w:t>Vocational Education and Training Committee</w:t>
      </w:r>
      <w:bookmarkEnd w:id="150"/>
      <w:bookmarkEnd w:id="151"/>
    </w:p>
    <w:p w:rsidR="000754F0" w:rsidRPr="008F7332" w:rsidRDefault="00777784" w:rsidP="000C109B">
      <w:pPr>
        <w:pStyle w:val="BodyText"/>
      </w:pPr>
      <w:r>
        <w:t>Functions were to</w:t>
      </w:r>
      <w:r w:rsidR="000754F0" w:rsidRPr="008F7332">
        <w:t>:</w:t>
      </w:r>
    </w:p>
    <w:p w:rsidR="000754F0" w:rsidRPr="008F7332" w:rsidRDefault="000754F0" w:rsidP="00777784">
      <w:pPr>
        <w:pStyle w:val="ListBullet0"/>
      </w:pPr>
      <w:r w:rsidRPr="008F7332">
        <w:t>provide advice to the Authority on emerging policies and issues relating to VET pathways at both the national and state levels</w:t>
      </w:r>
    </w:p>
    <w:p w:rsidR="000754F0" w:rsidRPr="008F7332" w:rsidRDefault="000754F0" w:rsidP="00777784">
      <w:pPr>
        <w:pStyle w:val="ListBullet0"/>
      </w:pPr>
      <w:r w:rsidRPr="008F7332">
        <w:t>provide strategic advice to the Authority on the implementation of legislation in relation to VET at both the national and state levels</w:t>
      </w:r>
    </w:p>
    <w:p w:rsidR="000754F0" w:rsidRPr="008F7332" w:rsidRDefault="000754F0" w:rsidP="00777784">
      <w:pPr>
        <w:pStyle w:val="ListBullet0"/>
      </w:pPr>
      <w:proofErr w:type="gramStart"/>
      <w:r w:rsidRPr="008F7332">
        <w:t>provide</w:t>
      </w:r>
      <w:proofErr w:type="gramEnd"/>
      <w:r w:rsidRPr="008F7332">
        <w:t xml:space="preserve"> information to the Authority on issues relating to the implementation of VET in Queensland schools.</w:t>
      </w:r>
    </w:p>
    <w:p w:rsidR="000754F0" w:rsidRPr="008F7332" w:rsidRDefault="000754F0" w:rsidP="00777784">
      <w:pPr>
        <w:pStyle w:val="BodyText"/>
        <w:keepNext/>
      </w:pPr>
      <w:r w:rsidRPr="008F7332">
        <w:lastRenderedPageBreak/>
        <w:t xml:space="preserve">Membership </w:t>
      </w:r>
      <w:r w:rsidR="00777784">
        <w:t>comprised</w:t>
      </w:r>
      <w:r w:rsidRPr="008F7332">
        <w:t>:</w:t>
      </w:r>
    </w:p>
    <w:p w:rsidR="000754F0" w:rsidRPr="008F7332" w:rsidRDefault="000754F0" w:rsidP="00777784">
      <w:pPr>
        <w:pStyle w:val="ListBullet0"/>
      </w:pPr>
      <w:r w:rsidRPr="008F7332">
        <w:t>chair — Authority member</w:t>
      </w:r>
    </w:p>
    <w:p w:rsidR="000754F0" w:rsidRPr="008F7332" w:rsidRDefault="000754F0" w:rsidP="00777784">
      <w:pPr>
        <w:pStyle w:val="ListBullet0"/>
      </w:pPr>
      <w:r w:rsidRPr="008F7332">
        <w:t>two nominees of DETE — training sector, one to include a TAFE practitioner</w:t>
      </w:r>
    </w:p>
    <w:p w:rsidR="000754F0" w:rsidRPr="008F7332" w:rsidRDefault="000754F0" w:rsidP="00777784">
      <w:pPr>
        <w:pStyle w:val="ListBullet0"/>
      </w:pPr>
      <w:r w:rsidRPr="008F7332">
        <w:t>one nominee of the Australian Council for Private Education and Training</w:t>
      </w:r>
    </w:p>
    <w:p w:rsidR="000754F0" w:rsidRPr="008F7332" w:rsidRDefault="000754F0" w:rsidP="00777784">
      <w:pPr>
        <w:pStyle w:val="ListBullet0"/>
      </w:pPr>
      <w:r w:rsidRPr="008F7332">
        <w:t>one nominee of industry</w:t>
      </w:r>
    </w:p>
    <w:p w:rsidR="000306FD" w:rsidRPr="008F7332" w:rsidRDefault="000754F0" w:rsidP="00777784">
      <w:pPr>
        <w:pStyle w:val="ListBullet0"/>
      </w:pPr>
      <w:r w:rsidRPr="008F7332">
        <w:t xml:space="preserve">one nominee of </w:t>
      </w:r>
      <w:r w:rsidR="0024161F" w:rsidRPr="008F7332">
        <w:t>State Schools, DETE</w:t>
      </w:r>
    </w:p>
    <w:p w:rsidR="000754F0" w:rsidRPr="008F7332" w:rsidRDefault="000754F0" w:rsidP="00777784">
      <w:pPr>
        <w:pStyle w:val="ListBullet0"/>
      </w:pPr>
      <w:r w:rsidRPr="008F7332">
        <w:t>one nominee of the Queensland Catholic Education Commission</w:t>
      </w:r>
    </w:p>
    <w:p w:rsidR="008C6A52" w:rsidRPr="008F7332" w:rsidRDefault="000754F0" w:rsidP="00777784">
      <w:pPr>
        <w:pStyle w:val="ListBullet0"/>
      </w:pPr>
      <w:r w:rsidRPr="008F7332">
        <w:t>one nominee of Independent Schools Queensland</w:t>
      </w:r>
    </w:p>
    <w:p w:rsidR="000754F0" w:rsidRPr="008F7332" w:rsidRDefault="000754F0" w:rsidP="00777784">
      <w:pPr>
        <w:pStyle w:val="ListBullet0"/>
      </w:pPr>
      <w:r w:rsidRPr="008F7332">
        <w:t>two parents nominees</w:t>
      </w:r>
    </w:p>
    <w:p w:rsidR="000754F0" w:rsidRPr="008F7332" w:rsidRDefault="00C8683D" w:rsidP="00777784">
      <w:pPr>
        <w:pStyle w:val="ListBullet0"/>
      </w:pPr>
      <w:r>
        <w:t>three practitioners (S</w:t>
      </w:r>
      <w:r w:rsidR="000754F0" w:rsidRPr="008F7332">
        <w:t xml:space="preserve">tate, </w:t>
      </w:r>
      <w:r>
        <w:t>Non-S</w:t>
      </w:r>
      <w:r w:rsidRPr="008F7332">
        <w:t xml:space="preserve">tate </w:t>
      </w:r>
      <w:r w:rsidR="000754F0" w:rsidRPr="008F7332">
        <w:t>and TAFE) with responsibility for VET</w:t>
      </w:r>
    </w:p>
    <w:p w:rsidR="000754F0" w:rsidRPr="008F7332" w:rsidRDefault="00C8683D" w:rsidP="00777784">
      <w:pPr>
        <w:pStyle w:val="ListBullet0"/>
      </w:pPr>
      <w:r>
        <w:t>two principals/administrators (S</w:t>
      </w:r>
      <w:r w:rsidR="000754F0" w:rsidRPr="008F7332">
        <w:t xml:space="preserve">tate and </w:t>
      </w:r>
      <w:r>
        <w:t>Non-S</w:t>
      </w:r>
      <w:r w:rsidRPr="008F7332">
        <w:t>tate</w:t>
      </w:r>
      <w:r w:rsidR="000754F0" w:rsidRPr="008F7332">
        <w:t>) with responsibility for VET</w:t>
      </w:r>
    </w:p>
    <w:p w:rsidR="000754F0" w:rsidRPr="008F7332" w:rsidRDefault="000754F0" w:rsidP="00777784">
      <w:pPr>
        <w:pStyle w:val="ListBullet0"/>
      </w:pPr>
      <w:r w:rsidRPr="008F7332">
        <w:t>one QSA senior officer</w:t>
      </w:r>
    </w:p>
    <w:p w:rsidR="00656C67" w:rsidRPr="008F7332" w:rsidRDefault="000754F0" w:rsidP="00777784">
      <w:pPr>
        <w:pStyle w:val="ListBullet0"/>
      </w:pPr>
      <w:proofErr w:type="gramStart"/>
      <w:r w:rsidRPr="008F7332">
        <w:t>executive</w:t>
      </w:r>
      <w:proofErr w:type="gramEnd"/>
      <w:r w:rsidRPr="008F7332">
        <w:t xml:space="preserve"> officer — QSA officer</w:t>
      </w:r>
      <w:bookmarkEnd w:id="146"/>
      <w:bookmarkEnd w:id="147"/>
      <w:r w:rsidR="006D15F0" w:rsidRPr="008F7332">
        <w:t>.</w:t>
      </w:r>
    </w:p>
    <w:p w:rsidR="00223699" w:rsidRPr="00D9696D" w:rsidRDefault="00223699" w:rsidP="009D1451">
      <w:pPr>
        <w:pStyle w:val="H2Appendix"/>
      </w:pPr>
      <w:bookmarkStart w:id="152" w:name="_Toc365984785"/>
      <w:bookmarkStart w:id="153" w:name="_Toc397589546"/>
      <w:r w:rsidRPr="00D9696D">
        <w:t>Fees paid to Board members</w:t>
      </w:r>
      <w:bookmarkEnd w:id="152"/>
      <w:bookmarkEnd w:id="153"/>
    </w:p>
    <w:p w:rsidR="00223699" w:rsidRPr="002D63E4" w:rsidRDefault="007562DF" w:rsidP="00777784">
      <w:pPr>
        <w:pStyle w:val="BodyText"/>
        <w:spacing w:before="80" w:line="240" w:lineRule="auto"/>
      </w:pPr>
      <w:r>
        <w:t>A total of $30</w:t>
      </w:r>
      <w:r>
        <w:rPr>
          <w:rFonts w:ascii="Times New Roman" w:hAnsi="Times New Roman"/>
        </w:rPr>
        <w:t> </w:t>
      </w:r>
      <w:r w:rsidR="009E3DA2" w:rsidRPr="009E3DA2">
        <w:t xml:space="preserve">410 </w:t>
      </w:r>
      <w:r w:rsidR="00223699" w:rsidRPr="002D63E4">
        <w:t>was payable to Authority members in 201</w:t>
      </w:r>
      <w:r w:rsidR="003458B0">
        <w:t>3</w:t>
      </w:r>
      <w:r w:rsidR="00223699" w:rsidRPr="002D63E4">
        <w:t>–1</w:t>
      </w:r>
      <w:r w:rsidR="003458B0">
        <w:t>4</w:t>
      </w:r>
      <w:r w:rsidR="00223699" w:rsidRPr="002D63E4">
        <w:t>. This amount does not include associated meeting and travel costs of $</w:t>
      </w:r>
      <w:r>
        <w:t>20</w:t>
      </w:r>
      <w:r>
        <w:rPr>
          <w:rFonts w:ascii="Times New Roman" w:hAnsi="Times New Roman"/>
        </w:rPr>
        <w:t> </w:t>
      </w:r>
      <w:r w:rsidR="009E3DA2" w:rsidRPr="009E3DA2">
        <w:t>013</w:t>
      </w:r>
      <w:r w:rsidR="00223699" w:rsidRPr="002D63E4">
        <w:t>.</w:t>
      </w:r>
    </w:p>
    <w:p w:rsidR="00223699" w:rsidRPr="002D63E4" w:rsidRDefault="00223699" w:rsidP="00777784">
      <w:pPr>
        <w:pStyle w:val="BodyText"/>
        <w:spacing w:before="80" w:line="240" w:lineRule="auto"/>
      </w:pPr>
      <w:r w:rsidRPr="002D63E4">
        <w:t>Further information relating to QSA’s expenditure on con</w:t>
      </w:r>
      <w:r w:rsidR="00B17CE8">
        <w:t xml:space="preserve">sultancies and overseas travel </w:t>
      </w:r>
      <w:r w:rsidRPr="002D63E4">
        <w:t xml:space="preserve">can be found through the Queensland Government’s </w:t>
      </w:r>
      <w:r w:rsidR="007869B1">
        <w:t xml:space="preserve">open </w:t>
      </w:r>
      <w:r w:rsidRPr="002D63E4">
        <w:t>data website</w:t>
      </w:r>
      <w:r w:rsidR="00975686">
        <w:t xml:space="preserve">: </w:t>
      </w:r>
      <w:hyperlink r:id="rId52" w:history="1">
        <w:r w:rsidRPr="005D76D6">
          <w:rPr>
            <w:rStyle w:val="Hyperlink"/>
          </w:rPr>
          <w:t>www.qld.gov.au/data</w:t>
        </w:r>
      </w:hyperlink>
      <w:r w:rsidR="00DB49F1">
        <w:t>.</w:t>
      </w:r>
    </w:p>
    <w:p w:rsidR="00223699" w:rsidRPr="000306FD" w:rsidRDefault="00223699" w:rsidP="000306FD">
      <w:pPr>
        <w:pStyle w:val="H2Appendix"/>
      </w:pPr>
      <w:bookmarkStart w:id="154" w:name="_Toc365984786"/>
      <w:bookmarkStart w:id="155" w:name="_Toc397589547"/>
      <w:r w:rsidRPr="000306FD">
        <w:t xml:space="preserve">Early </w:t>
      </w:r>
      <w:r w:rsidR="00D469D8" w:rsidRPr="000306FD">
        <w:t>r</w:t>
      </w:r>
      <w:r w:rsidRPr="000306FD">
        <w:t xml:space="preserve">etirement, </w:t>
      </w:r>
      <w:r w:rsidR="00D469D8" w:rsidRPr="000306FD">
        <w:t>r</w:t>
      </w:r>
      <w:r w:rsidRPr="000306FD">
        <w:t xml:space="preserve">edundancy and </w:t>
      </w:r>
      <w:r w:rsidR="00D469D8" w:rsidRPr="000306FD">
        <w:t>r</w:t>
      </w:r>
      <w:r w:rsidRPr="000306FD">
        <w:t>etrenchment</w:t>
      </w:r>
      <w:bookmarkEnd w:id="154"/>
      <w:bookmarkEnd w:id="155"/>
    </w:p>
    <w:p w:rsidR="006E3839" w:rsidRDefault="000A0618" w:rsidP="00777784">
      <w:pPr>
        <w:pStyle w:val="BodyText"/>
        <w:spacing w:before="80"/>
      </w:pPr>
      <w:r>
        <w:t>During 2013–</w:t>
      </w:r>
      <w:r w:rsidRPr="000A0618">
        <w:t>14, one employee received a redundanc</w:t>
      </w:r>
      <w:r w:rsidR="00F30285">
        <w:t xml:space="preserve">y package at a cost </w:t>
      </w:r>
      <w:r w:rsidR="00777784">
        <w:t xml:space="preserve">of </w:t>
      </w:r>
      <w:r w:rsidR="00F30285">
        <w:t>$49</w:t>
      </w:r>
      <w:r w:rsidR="00F30285">
        <w:rPr>
          <w:rFonts w:ascii="Times New Roman" w:hAnsi="Times New Roman"/>
        </w:rPr>
        <w:t> </w:t>
      </w:r>
      <w:r w:rsidRPr="000A0618">
        <w:t>100. There were no early retirement or retrenchment packages.</w:t>
      </w:r>
    </w:p>
    <w:p w:rsidR="00223699" w:rsidRPr="006C4289" w:rsidRDefault="00223699" w:rsidP="006D15F0">
      <w:pPr>
        <w:pStyle w:val="H2Appendix"/>
      </w:pPr>
      <w:bookmarkStart w:id="156" w:name="_Ref363111331"/>
      <w:bookmarkStart w:id="157" w:name="_Toc365984787"/>
      <w:bookmarkStart w:id="158" w:name="_Toc397589548"/>
      <w:r w:rsidRPr="006C4289">
        <w:t>Key corporate governance committee of the QSA</w:t>
      </w:r>
      <w:bookmarkEnd w:id="156"/>
      <w:bookmarkEnd w:id="157"/>
      <w:bookmarkEnd w:id="158"/>
    </w:p>
    <w:p w:rsidR="00223699" w:rsidRPr="006C4289" w:rsidRDefault="00223699" w:rsidP="00777784">
      <w:pPr>
        <w:pStyle w:val="BodyText"/>
        <w:spacing w:before="48" w:line="240" w:lineRule="auto"/>
      </w:pPr>
      <w:r w:rsidRPr="00777784">
        <w:t>Strategic Directions Group</w:t>
      </w:r>
      <w:r w:rsidR="00777784">
        <w:t xml:space="preserve"> comprised:</w:t>
      </w:r>
    </w:p>
    <w:p w:rsidR="000A0618" w:rsidRPr="00777784" w:rsidRDefault="000A0618" w:rsidP="00777784">
      <w:pPr>
        <w:pStyle w:val="ListBullet0"/>
        <w:spacing w:before="44"/>
        <w:ind w:right="-340"/>
      </w:pPr>
      <w:r w:rsidRPr="00777784">
        <w:t>Robert McDonald, Acting Chief Executive Officer</w:t>
      </w:r>
      <w:r w:rsidR="00F120D1" w:rsidRPr="00777784">
        <w:t xml:space="preserve"> </w:t>
      </w:r>
      <w:r w:rsidR="00F120D1" w:rsidRPr="00E64C91">
        <w:rPr>
          <w:i/>
        </w:rPr>
        <w:t>(until </w:t>
      </w:r>
      <w:r w:rsidRPr="00E64C91">
        <w:rPr>
          <w:i/>
        </w:rPr>
        <w:t>March 2014)</w:t>
      </w:r>
    </w:p>
    <w:p w:rsidR="00F63150" w:rsidRPr="00777784" w:rsidRDefault="00F63150" w:rsidP="00777784">
      <w:pPr>
        <w:pStyle w:val="ListBullet0"/>
        <w:spacing w:before="44"/>
        <w:ind w:right="-340"/>
      </w:pPr>
      <w:r w:rsidRPr="00777784">
        <w:t>Chris Rider, Chief Executive Officer</w:t>
      </w:r>
      <w:r w:rsidRPr="00E64C91">
        <w:rPr>
          <w:i/>
        </w:rPr>
        <w:t xml:space="preserve"> </w:t>
      </w:r>
      <w:r w:rsidR="00EB3C55">
        <w:rPr>
          <w:i/>
        </w:rPr>
        <w:br/>
      </w:r>
      <w:r w:rsidRPr="00E64C91">
        <w:rPr>
          <w:i/>
        </w:rPr>
        <w:t>(from March 2014)</w:t>
      </w:r>
    </w:p>
    <w:p w:rsidR="000A0618" w:rsidRPr="00777784" w:rsidRDefault="000A0618" w:rsidP="00777784">
      <w:pPr>
        <w:pStyle w:val="ListBullet0"/>
        <w:spacing w:before="44"/>
        <w:ind w:right="-340"/>
      </w:pPr>
      <w:r w:rsidRPr="00777784">
        <w:t>John McGuire, Assistant Director, Policy Coordination Branch</w:t>
      </w:r>
    </w:p>
    <w:p w:rsidR="00223699" w:rsidRPr="00777784" w:rsidRDefault="000A0618" w:rsidP="00777784">
      <w:pPr>
        <w:pStyle w:val="ListBullet0"/>
        <w:spacing w:before="44"/>
        <w:ind w:right="-340"/>
      </w:pPr>
      <w:r w:rsidRPr="00777784">
        <w:t>Brian Nott</w:t>
      </w:r>
      <w:r w:rsidR="00223699" w:rsidRPr="00777784">
        <w:t xml:space="preserve">, Acting Deputy Director, </w:t>
      </w:r>
      <w:r w:rsidR="00FC69C6" w:rsidRPr="00777784">
        <w:t>Assessment and Reporting Division</w:t>
      </w:r>
    </w:p>
    <w:p w:rsidR="00223699" w:rsidRPr="00777784" w:rsidRDefault="00223699" w:rsidP="00777784">
      <w:pPr>
        <w:pStyle w:val="ListBullet0"/>
        <w:spacing w:before="44"/>
        <w:ind w:right="-340"/>
      </w:pPr>
      <w:r w:rsidRPr="00777784">
        <w:t>Graham Smith, Deputy Director, Corporate and Information Services Division</w:t>
      </w:r>
    </w:p>
    <w:p w:rsidR="000A0618" w:rsidRPr="00777784" w:rsidRDefault="000A0618" w:rsidP="00777784">
      <w:pPr>
        <w:pStyle w:val="ListBullet0"/>
        <w:spacing w:before="44"/>
        <w:ind w:right="-340"/>
      </w:pPr>
      <w:r w:rsidRPr="00777784">
        <w:t>Kathy Tully, Acting Deputy Director, Curriculum Services Division</w:t>
      </w:r>
      <w:r w:rsidR="00777784">
        <w:t>.</w:t>
      </w:r>
    </w:p>
    <w:p w:rsidR="00AF1BB7" w:rsidRPr="00EB3C55" w:rsidRDefault="00AF1BB7" w:rsidP="00EB3C55">
      <w:pPr>
        <w:sectPr w:rsidR="00AF1BB7" w:rsidRPr="00EB3C55" w:rsidSect="00FD5F1B">
          <w:headerReference w:type="default" r:id="rId53"/>
          <w:type w:val="continuous"/>
          <w:pgSz w:w="11907" w:h="16840" w:code="9"/>
          <w:pgMar w:top="1134" w:right="1191" w:bottom="1418" w:left="1191" w:header="567" w:footer="680" w:gutter="0"/>
          <w:cols w:num="2" w:space="720"/>
          <w:formProt w:val="0"/>
          <w:noEndnote/>
          <w:docGrid w:linePitch="299"/>
        </w:sectPr>
      </w:pPr>
      <w:bookmarkStart w:id="159" w:name="_Ref363552668"/>
    </w:p>
    <w:p w:rsidR="00E460C2" w:rsidRDefault="00E460C2" w:rsidP="004C23FB">
      <w:pPr>
        <w:pStyle w:val="H2Appendix"/>
        <w:spacing w:before="0"/>
      </w:pPr>
      <w:bookmarkStart w:id="160" w:name="_Ref396835260"/>
      <w:bookmarkStart w:id="161" w:name="_Toc397589549"/>
      <w:bookmarkStart w:id="162" w:name="_Toc365984789"/>
      <w:bookmarkEnd w:id="159"/>
      <w:r w:rsidRPr="00C66A5E">
        <w:lastRenderedPageBreak/>
        <w:t>QSA district offices</w:t>
      </w:r>
      <w:bookmarkEnd w:id="160"/>
      <w:bookmarkEnd w:id="161"/>
    </w:p>
    <w:tbl>
      <w:tblPr>
        <w:tblStyle w:val="TableGrid"/>
        <w:tblW w:w="52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85" w:type="dxa"/>
          <w:right w:w="0" w:type="dxa"/>
        </w:tblCellMar>
        <w:tblLook w:val="04A0" w:firstRow="1" w:lastRow="0" w:firstColumn="1" w:lastColumn="0" w:noHBand="0" w:noVBand="1"/>
      </w:tblPr>
      <w:tblGrid>
        <w:gridCol w:w="5057"/>
        <w:gridCol w:w="5058"/>
      </w:tblGrid>
      <w:tr w:rsidR="00E460C2" w:rsidRPr="00F20F09" w:rsidTr="004C23FB">
        <w:tc>
          <w:tcPr>
            <w:tcW w:w="4870" w:type="dxa"/>
          </w:tcPr>
          <w:p w:rsidR="00E460C2" w:rsidRPr="00F20F09" w:rsidRDefault="00E460C2" w:rsidP="00026433">
            <w:pPr>
              <w:pStyle w:val="Headingdistrictoffice"/>
              <w:tabs>
                <w:tab w:val="left" w:pos="794"/>
                <w:tab w:val="left" w:pos="851"/>
              </w:tabs>
              <w:ind w:left="920" w:hangingChars="418" w:hanging="920"/>
            </w:pPr>
            <w:r w:rsidRPr="00F20F09">
              <w:t>Brisbane Central</w:t>
            </w:r>
          </w:p>
          <w:p w:rsidR="00E460C2" w:rsidRPr="00F20F09" w:rsidRDefault="00E460C2" w:rsidP="00026433">
            <w:pPr>
              <w:tabs>
                <w:tab w:val="left" w:pos="794"/>
                <w:tab w:val="left" w:pos="851"/>
              </w:tabs>
              <w:ind w:left="794" w:hangingChars="418" w:hanging="794"/>
            </w:pPr>
            <w:r w:rsidRPr="00F20F09">
              <w:t>Helen Best</w:t>
            </w:r>
          </w:p>
          <w:p w:rsidR="004C23FB" w:rsidRDefault="00E460C2" w:rsidP="00026433">
            <w:pPr>
              <w:tabs>
                <w:tab w:val="left" w:pos="794"/>
                <w:tab w:val="left" w:pos="851"/>
              </w:tabs>
              <w:ind w:left="794" w:hangingChars="418" w:hanging="794"/>
            </w:pPr>
            <w:r w:rsidRPr="00F20F09">
              <w:t>Phone</w:t>
            </w:r>
            <w:r>
              <w:t>:</w:t>
            </w:r>
            <w:r>
              <w:tab/>
            </w:r>
            <w:r w:rsidRPr="00F20F09">
              <w:t>(07) 3359 6131</w:t>
            </w:r>
          </w:p>
          <w:p w:rsidR="00E460C2" w:rsidRPr="00F20F09" w:rsidRDefault="004C23FB" w:rsidP="00026433">
            <w:pPr>
              <w:tabs>
                <w:tab w:val="left" w:pos="794"/>
                <w:tab w:val="left" w:pos="851"/>
              </w:tabs>
              <w:ind w:left="794" w:hangingChars="418" w:hanging="794"/>
            </w:pPr>
            <w:r>
              <w:t>Fax:</w:t>
            </w:r>
            <w:r>
              <w:tab/>
            </w:r>
            <w:r w:rsidR="00E460C2" w:rsidRPr="00F20F09">
              <w:t>(07) 3359 6387</w:t>
            </w:r>
          </w:p>
          <w:p w:rsidR="00E460C2" w:rsidRPr="00F20F09" w:rsidRDefault="00E460C2" w:rsidP="00026433">
            <w:pPr>
              <w:tabs>
                <w:tab w:val="left" w:pos="794"/>
                <w:tab w:val="left" w:pos="851"/>
              </w:tabs>
              <w:ind w:left="794" w:hangingChars="418" w:hanging="794"/>
            </w:pPr>
            <w:r w:rsidRPr="002F3C99">
              <w:t>email:</w:t>
            </w:r>
            <w:r w:rsidRPr="002F3C99">
              <w:tab/>
            </w:r>
            <w:hyperlink r:id="rId54" w:history="1">
              <w:r w:rsidRPr="002F3C99">
                <w:rPr>
                  <w:rStyle w:val="Hyperlink"/>
                </w:rPr>
                <w:t>BrisbaneCentralOffice@</w:t>
              </w:r>
              <w:r>
                <w:rPr>
                  <w:rStyle w:val="Hyperlink"/>
                </w:rPr>
                <w:t>qsa.</w:t>
              </w:r>
              <w:r w:rsidRPr="002F3C99">
                <w:rPr>
                  <w:rStyle w:val="Hyperlink"/>
                </w:rPr>
                <w:t>qld.edu.au</w:t>
              </w:r>
            </w:hyperlink>
          </w:p>
          <w:p w:rsidR="00E460C2" w:rsidRDefault="00E460C2" w:rsidP="00026433">
            <w:pPr>
              <w:tabs>
                <w:tab w:val="left" w:pos="794"/>
                <w:tab w:val="left" w:pos="851"/>
              </w:tabs>
              <w:ind w:left="794" w:hangingChars="418" w:hanging="794"/>
            </w:pPr>
            <w:r>
              <w:t>Address:</w:t>
            </w:r>
            <w:r>
              <w:tab/>
            </w:r>
            <w:r w:rsidRPr="00F20F09">
              <w:t>Suite G1, 449 Gympie Rd, Kedron Qld 4031</w:t>
            </w:r>
          </w:p>
          <w:p w:rsidR="00E460C2" w:rsidRPr="00F20F09" w:rsidRDefault="00E460C2" w:rsidP="00026433">
            <w:pPr>
              <w:tabs>
                <w:tab w:val="left" w:pos="794"/>
                <w:tab w:val="left" w:pos="851"/>
              </w:tabs>
              <w:ind w:left="794" w:hangingChars="418" w:hanging="794"/>
            </w:pPr>
            <w:r>
              <w:t>Post:</w:t>
            </w:r>
            <w:r>
              <w:tab/>
            </w:r>
            <w:r w:rsidR="00EB60A6" w:rsidRPr="00F20F09">
              <w:t xml:space="preserve">Suite G1, 449 Gympie Rd, Kedron </w:t>
            </w:r>
            <w:r w:rsidR="00EB60A6">
              <w:t>QLD</w:t>
            </w:r>
            <w:r w:rsidR="00EB60A6" w:rsidRPr="00F20F09">
              <w:t xml:space="preserve"> 4031</w:t>
            </w:r>
          </w:p>
        </w:tc>
        <w:tc>
          <w:tcPr>
            <w:tcW w:w="4871" w:type="dxa"/>
          </w:tcPr>
          <w:p w:rsidR="00E460C2" w:rsidRPr="003717FB" w:rsidRDefault="00E460C2" w:rsidP="00026433">
            <w:pPr>
              <w:pStyle w:val="Headingdistrictoffice"/>
              <w:tabs>
                <w:tab w:val="left" w:pos="794"/>
                <w:tab w:val="left" w:pos="851"/>
              </w:tabs>
              <w:ind w:left="920" w:hangingChars="418" w:hanging="920"/>
            </w:pPr>
            <w:r w:rsidRPr="00E53D5D">
              <w:t>Mackay</w:t>
            </w:r>
          </w:p>
          <w:p w:rsidR="00E460C2" w:rsidRDefault="00E460C2" w:rsidP="00026433">
            <w:pPr>
              <w:pStyle w:val="Districtaddressblock"/>
              <w:tabs>
                <w:tab w:val="left" w:pos="794"/>
                <w:tab w:val="left" w:pos="851"/>
              </w:tabs>
              <w:ind w:left="794" w:hangingChars="418" w:hanging="794"/>
            </w:pPr>
            <w:r>
              <w:t>Sandra Davis</w:t>
            </w:r>
          </w:p>
          <w:p w:rsidR="004C23FB" w:rsidRDefault="00E460C2" w:rsidP="00026433">
            <w:pPr>
              <w:pStyle w:val="Districtaddressblock"/>
              <w:tabs>
                <w:tab w:val="left" w:pos="794"/>
                <w:tab w:val="left" w:pos="851"/>
              </w:tabs>
              <w:ind w:left="794" w:hangingChars="418" w:hanging="794"/>
            </w:pPr>
            <w:r w:rsidRPr="006C4289">
              <w:t>Phone</w:t>
            </w:r>
            <w:r>
              <w:t>:</w:t>
            </w:r>
            <w:r>
              <w:tab/>
            </w:r>
            <w:r w:rsidRPr="006C4289">
              <w:t>(07) 4953 0977</w:t>
            </w:r>
          </w:p>
          <w:p w:rsidR="00E460C2" w:rsidRPr="006C4289" w:rsidRDefault="004C23FB" w:rsidP="00026433">
            <w:pPr>
              <w:pStyle w:val="Districtaddressblock"/>
              <w:tabs>
                <w:tab w:val="left" w:pos="794"/>
                <w:tab w:val="left" w:pos="851"/>
              </w:tabs>
              <w:ind w:left="794" w:hangingChars="418" w:hanging="794"/>
            </w:pPr>
            <w:r>
              <w:t>Fax:</w:t>
            </w:r>
            <w:r>
              <w:tab/>
            </w:r>
            <w:r w:rsidR="00E460C2" w:rsidRPr="006C4289">
              <w:t>(07) 4953 0988</w:t>
            </w:r>
          </w:p>
          <w:p w:rsidR="00E460C2" w:rsidRDefault="00E460C2" w:rsidP="00026433">
            <w:pPr>
              <w:pStyle w:val="Districtaddressblock"/>
              <w:tabs>
                <w:tab w:val="left" w:pos="794"/>
                <w:tab w:val="left" w:pos="851"/>
              </w:tabs>
              <w:ind w:left="794" w:hangingChars="418" w:hanging="794"/>
            </w:pPr>
            <w:r>
              <w:t>email:</w:t>
            </w:r>
            <w:r>
              <w:tab/>
            </w:r>
            <w:hyperlink r:id="rId55" w:history="1">
              <w:r w:rsidRPr="00667473">
                <w:t>UMackayOffice@</w:t>
              </w:r>
              <w:r>
                <w:t>qsa.</w:t>
              </w:r>
              <w:r w:rsidRPr="00667473">
                <w:t>qld.edu.au</w:t>
              </w:r>
            </w:hyperlink>
          </w:p>
          <w:p w:rsidR="00E460C2" w:rsidRPr="006C4289" w:rsidRDefault="00E460C2" w:rsidP="00026433">
            <w:pPr>
              <w:pStyle w:val="Districtaddressblock"/>
              <w:tabs>
                <w:tab w:val="left" w:pos="794"/>
                <w:tab w:val="left" w:pos="851"/>
              </w:tabs>
              <w:ind w:left="794" w:hangingChars="418" w:hanging="794"/>
            </w:pPr>
            <w:r>
              <w:t>Address:</w:t>
            </w:r>
            <w:r>
              <w:tab/>
            </w:r>
            <w:r w:rsidRPr="006C4289">
              <w:t>Mercury House</w:t>
            </w:r>
            <w:r>
              <w:t>, 38 Wellington St</w:t>
            </w:r>
            <w:r w:rsidRPr="006C4289">
              <w:t>, Mackay Q</w:t>
            </w:r>
            <w:r>
              <w:t>ld</w:t>
            </w:r>
          </w:p>
          <w:p w:rsidR="00E460C2" w:rsidRPr="00F20F09" w:rsidRDefault="00E460C2" w:rsidP="00EB60A6">
            <w:pPr>
              <w:pStyle w:val="Districtaddressblock"/>
              <w:tabs>
                <w:tab w:val="left" w:pos="794"/>
                <w:tab w:val="left" w:pos="851"/>
              </w:tabs>
              <w:ind w:left="794" w:hangingChars="418" w:hanging="794"/>
            </w:pPr>
            <w:r>
              <w:t>Post:</w:t>
            </w:r>
            <w:r>
              <w:tab/>
              <w:t>PO Box 8163</w:t>
            </w:r>
            <w:r w:rsidRPr="006C4289">
              <w:t xml:space="preserve"> Mt Pleasant </w:t>
            </w:r>
            <w:r w:rsidR="00EB60A6">
              <w:t>QLD</w:t>
            </w:r>
            <w:r w:rsidRPr="006C4289">
              <w:t xml:space="preserve"> 4740</w:t>
            </w:r>
          </w:p>
        </w:tc>
      </w:tr>
      <w:tr w:rsidR="00E460C2" w:rsidRPr="00F20F09" w:rsidTr="004C23FB">
        <w:tc>
          <w:tcPr>
            <w:tcW w:w="4870" w:type="dxa"/>
          </w:tcPr>
          <w:p w:rsidR="00E460C2" w:rsidRPr="00F20F09" w:rsidRDefault="00E460C2" w:rsidP="00026433">
            <w:pPr>
              <w:pStyle w:val="Headingdistrictoffice"/>
              <w:tabs>
                <w:tab w:val="left" w:pos="794"/>
                <w:tab w:val="left" w:pos="851"/>
              </w:tabs>
              <w:ind w:left="920" w:hangingChars="418" w:hanging="920"/>
            </w:pPr>
            <w:bookmarkStart w:id="163" w:name="_Toc300136565"/>
            <w:r w:rsidRPr="00F20F09">
              <w:t>Brisbane North</w:t>
            </w:r>
            <w:bookmarkEnd w:id="163"/>
          </w:p>
          <w:p w:rsidR="00E460C2" w:rsidRPr="00F20F09" w:rsidRDefault="00E460C2" w:rsidP="00026433">
            <w:pPr>
              <w:tabs>
                <w:tab w:val="left" w:pos="794"/>
                <w:tab w:val="left" w:pos="851"/>
              </w:tabs>
              <w:ind w:left="794" w:hangingChars="418" w:hanging="794"/>
            </w:pPr>
            <w:r w:rsidRPr="00F20F09">
              <w:t>Judy Beadle</w:t>
            </w:r>
          </w:p>
          <w:p w:rsidR="004C23FB" w:rsidRDefault="00E460C2" w:rsidP="00026433">
            <w:pPr>
              <w:tabs>
                <w:tab w:val="left" w:pos="794"/>
                <w:tab w:val="left" w:pos="851"/>
              </w:tabs>
              <w:ind w:left="794" w:hangingChars="418" w:hanging="794"/>
            </w:pPr>
            <w:r w:rsidRPr="00F20F09">
              <w:t>Phone</w:t>
            </w:r>
            <w:r>
              <w:t>:</w:t>
            </w:r>
            <w:r>
              <w:tab/>
            </w:r>
            <w:r w:rsidRPr="00F20F09">
              <w:t>(07) 3859 6132</w:t>
            </w:r>
          </w:p>
          <w:p w:rsidR="00E460C2" w:rsidRPr="00F20F09" w:rsidRDefault="004C23FB" w:rsidP="00026433">
            <w:pPr>
              <w:tabs>
                <w:tab w:val="left" w:pos="794"/>
                <w:tab w:val="left" w:pos="851"/>
              </w:tabs>
              <w:ind w:left="794" w:hangingChars="418" w:hanging="794"/>
            </w:pPr>
            <w:r>
              <w:t>Fax:</w:t>
            </w:r>
            <w:r>
              <w:tab/>
            </w:r>
            <w:r w:rsidR="00E460C2" w:rsidRPr="00F20F09">
              <w:t>(07) 3359 6387</w:t>
            </w:r>
          </w:p>
          <w:p w:rsidR="00E460C2" w:rsidRPr="00F20F09" w:rsidRDefault="00E460C2" w:rsidP="00026433">
            <w:pPr>
              <w:tabs>
                <w:tab w:val="left" w:pos="794"/>
                <w:tab w:val="left" w:pos="851"/>
              </w:tabs>
              <w:ind w:left="794" w:hangingChars="418" w:hanging="794"/>
            </w:pPr>
            <w:r w:rsidRPr="00F20F09">
              <w:t>email</w:t>
            </w:r>
            <w:r>
              <w:t>:</w:t>
            </w:r>
            <w:r>
              <w:tab/>
            </w:r>
            <w:hyperlink r:id="rId56" w:history="1">
              <w:r w:rsidRPr="00F20F09">
                <w:rPr>
                  <w:rStyle w:val="Hyperlink"/>
                </w:rPr>
                <w:t>UBrisbaneNorthOffice@</w:t>
              </w:r>
              <w:r>
                <w:rPr>
                  <w:rStyle w:val="Hyperlink"/>
                </w:rPr>
                <w:t>qsa.</w:t>
              </w:r>
              <w:r w:rsidRPr="00F20F09">
                <w:rPr>
                  <w:rStyle w:val="Hyperlink"/>
                </w:rPr>
                <w:t>qld.edu.au</w:t>
              </w:r>
            </w:hyperlink>
          </w:p>
          <w:p w:rsidR="00E460C2" w:rsidRDefault="00E460C2" w:rsidP="00026433">
            <w:pPr>
              <w:tabs>
                <w:tab w:val="left" w:pos="794"/>
                <w:tab w:val="left" w:pos="851"/>
              </w:tabs>
              <w:ind w:left="794" w:hangingChars="418" w:hanging="794"/>
            </w:pPr>
            <w:r>
              <w:t>Address:</w:t>
            </w:r>
            <w:r>
              <w:tab/>
            </w:r>
            <w:r w:rsidRPr="00F20F09">
              <w:t>Suite G1, 449 Gympie Rd, Kedron Qld 4031</w:t>
            </w:r>
          </w:p>
          <w:p w:rsidR="00E460C2" w:rsidRPr="00F20F09" w:rsidRDefault="00E460C2" w:rsidP="00EB60A6">
            <w:pPr>
              <w:tabs>
                <w:tab w:val="left" w:pos="794"/>
                <w:tab w:val="left" w:pos="851"/>
              </w:tabs>
              <w:ind w:left="794" w:hangingChars="418" w:hanging="794"/>
            </w:pPr>
            <w:r>
              <w:t>Post:</w:t>
            </w:r>
            <w:r>
              <w:tab/>
            </w:r>
            <w:r w:rsidR="00EB60A6" w:rsidRPr="00F20F09">
              <w:t xml:space="preserve">Suite G1, 449 Gympie Rd, Kedron </w:t>
            </w:r>
            <w:r w:rsidR="00EB60A6">
              <w:t>QLD</w:t>
            </w:r>
            <w:r w:rsidR="00EB60A6" w:rsidRPr="00F20F09">
              <w:t xml:space="preserve"> 4031</w:t>
            </w:r>
          </w:p>
        </w:tc>
        <w:tc>
          <w:tcPr>
            <w:tcW w:w="4871" w:type="dxa"/>
          </w:tcPr>
          <w:p w:rsidR="00E460C2" w:rsidRPr="003717FB" w:rsidRDefault="00E460C2" w:rsidP="00026433">
            <w:pPr>
              <w:pStyle w:val="Headingdistrictoffice"/>
              <w:tabs>
                <w:tab w:val="left" w:pos="794"/>
                <w:tab w:val="left" w:pos="851"/>
              </w:tabs>
              <w:ind w:left="920" w:hangingChars="418" w:hanging="920"/>
            </w:pPr>
            <w:bookmarkStart w:id="164" w:name="_Toc300136572"/>
            <w:r w:rsidRPr="003717FB">
              <w:t>Rockhampton</w:t>
            </w:r>
            <w:bookmarkEnd w:id="164"/>
          </w:p>
          <w:p w:rsidR="00E460C2" w:rsidRDefault="00E460C2" w:rsidP="00026433">
            <w:pPr>
              <w:pStyle w:val="Districtaddressblock"/>
              <w:tabs>
                <w:tab w:val="left" w:pos="794"/>
                <w:tab w:val="left" w:pos="851"/>
              </w:tabs>
              <w:ind w:left="794" w:hangingChars="418" w:hanging="794"/>
            </w:pPr>
            <w:proofErr w:type="spellStart"/>
            <w:r w:rsidRPr="003C7006">
              <w:t>Keren</w:t>
            </w:r>
            <w:proofErr w:type="spellEnd"/>
            <w:r w:rsidRPr="003C7006">
              <w:t xml:space="preserve"> </w:t>
            </w:r>
            <w:proofErr w:type="spellStart"/>
            <w:r w:rsidRPr="003C7006">
              <w:t>Chillingworth</w:t>
            </w:r>
            <w:proofErr w:type="spellEnd"/>
            <w:r w:rsidRPr="003C7006">
              <w:t xml:space="preserve"> &amp; Dian Hamilton</w:t>
            </w:r>
          </w:p>
          <w:p w:rsidR="004C23FB" w:rsidRDefault="00E460C2" w:rsidP="00026433">
            <w:pPr>
              <w:pStyle w:val="Districtaddressblock"/>
              <w:tabs>
                <w:tab w:val="left" w:pos="794"/>
                <w:tab w:val="left" w:pos="851"/>
              </w:tabs>
              <w:ind w:left="794" w:hangingChars="418" w:hanging="794"/>
            </w:pPr>
            <w:r w:rsidRPr="006C4289">
              <w:t>Phone</w:t>
            </w:r>
            <w:r>
              <w:t>:</w:t>
            </w:r>
            <w:r>
              <w:tab/>
            </w:r>
            <w:r w:rsidRPr="006C4289">
              <w:t>(07) 4927 7279</w:t>
            </w:r>
          </w:p>
          <w:p w:rsidR="00E460C2" w:rsidRPr="006C4289" w:rsidRDefault="004C23FB" w:rsidP="00026433">
            <w:pPr>
              <w:pStyle w:val="Districtaddressblock"/>
              <w:tabs>
                <w:tab w:val="left" w:pos="794"/>
                <w:tab w:val="left" w:pos="851"/>
              </w:tabs>
              <w:ind w:left="794" w:hangingChars="418" w:hanging="794"/>
            </w:pPr>
            <w:r>
              <w:t>Fax:</w:t>
            </w:r>
            <w:r>
              <w:tab/>
            </w:r>
            <w:r w:rsidR="00E460C2" w:rsidRPr="006C4289">
              <w:t>(07) 4922 6574</w:t>
            </w:r>
          </w:p>
          <w:p w:rsidR="00E460C2" w:rsidRDefault="00E460C2" w:rsidP="00026433">
            <w:pPr>
              <w:pStyle w:val="Districtaddressblock"/>
              <w:tabs>
                <w:tab w:val="left" w:pos="794"/>
                <w:tab w:val="left" w:pos="851"/>
              </w:tabs>
              <w:ind w:left="794" w:hangingChars="418" w:hanging="794"/>
            </w:pPr>
            <w:r>
              <w:t>email:</w:t>
            </w:r>
            <w:r>
              <w:tab/>
            </w:r>
            <w:hyperlink r:id="rId57" w:history="1">
              <w:r w:rsidRPr="00EE3C26">
                <w:rPr>
                  <w:rStyle w:val="Hyperlink"/>
                </w:rPr>
                <w:t>URockhamptonOffice@</w:t>
              </w:r>
              <w:r>
                <w:rPr>
                  <w:rStyle w:val="Hyperlink"/>
                </w:rPr>
                <w:t>qsa.</w:t>
              </w:r>
              <w:r w:rsidRPr="00EE3C26">
                <w:rPr>
                  <w:rStyle w:val="Hyperlink"/>
                </w:rPr>
                <w:t>qld.edu.au</w:t>
              </w:r>
            </w:hyperlink>
          </w:p>
          <w:p w:rsidR="00E460C2" w:rsidRPr="006C4289" w:rsidRDefault="00E460C2" w:rsidP="00026433">
            <w:pPr>
              <w:pStyle w:val="Districtaddressblock"/>
              <w:tabs>
                <w:tab w:val="left" w:pos="794"/>
                <w:tab w:val="left" w:pos="851"/>
              </w:tabs>
              <w:ind w:left="794" w:hangingChars="418" w:hanging="794"/>
            </w:pPr>
            <w:r>
              <w:t>Address:</w:t>
            </w:r>
            <w:r>
              <w:tab/>
            </w:r>
            <w:r w:rsidRPr="006C4289">
              <w:t>Room 8, North Street Annex</w:t>
            </w:r>
            <w:r>
              <w:t xml:space="preserve">, </w:t>
            </w:r>
            <w:r>
              <w:br/>
            </w:r>
            <w:proofErr w:type="spellStart"/>
            <w:r>
              <w:t>Cnr</w:t>
            </w:r>
            <w:proofErr w:type="spellEnd"/>
            <w:r>
              <w:t xml:space="preserve"> North &amp; West </w:t>
            </w:r>
            <w:proofErr w:type="spellStart"/>
            <w:r>
              <w:t>St</w:t>
            </w:r>
            <w:r w:rsidRPr="006C4289">
              <w:t>s</w:t>
            </w:r>
            <w:proofErr w:type="spellEnd"/>
            <w:r>
              <w:t xml:space="preserve">, </w:t>
            </w:r>
            <w:r w:rsidRPr="006C4289">
              <w:t>Rockhampton Qld 4700</w:t>
            </w:r>
          </w:p>
          <w:p w:rsidR="00E460C2" w:rsidRPr="00F20F09" w:rsidRDefault="00E460C2" w:rsidP="00EB60A6">
            <w:pPr>
              <w:pStyle w:val="Districtaddressblock"/>
              <w:tabs>
                <w:tab w:val="left" w:pos="794"/>
                <w:tab w:val="left" w:pos="851"/>
              </w:tabs>
              <w:ind w:left="794" w:hangingChars="418" w:hanging="794"/>
            </w:pPr>
            <w:r>
              <w:t>Post:</w:t>
            </w:r>
            <w:r>
              <w:tab/>
              <w:t>PO Box 919</w:t>
            </w:r>
            <w:r w:rsidRPr="006C4289">
              <w:t xml:space="preserve"> Rockhampton </w:t>
            </w:r>
            <w:r w:rsidR="00EB60A6">
              <w:t>QLD</w:t>
            </w:r>
            <w:r w:rsidRPr="006C4289">
              <w:t xml:space="preserve"> 4700</w:t>
            </w:r>
          </w:p>
        </w:tc>
      </w:tr>
      <w:tr w:rsidR="00E460C2" w:rsidRPr="00F20F09" w:rsidTr="004C23FB">
        <w:tc>
          <w:tcPr>
            <w:tcW w:w="4870" w:type="dxa"/>
          </w:tcPr>
          <w:p w:rsidR="00E460C2" w:rsidRPr="00F20F09" w:rsidRDefault="00E460C2" w:rsidP="00026433">
            <w:pPr>
              <w:pStyle w:val="Headingdistrictoffice"/>
              <w:tabs>
                <w:tab w:val="left" w:pos="794"/>
                <w:tab w:val="left" w:pos="851"/>
              </w:tabs>
              <w:ind w:left="920" w:hangingChars="418" w:hanging="920"/>
            </w:pPr>
            <w:bookmarkStart w:id="165" w:name="_Toc300136566"/>
            <w:r w:rsidRPr="00F20F09">
              <w:t>Brisbane East</w:t>
            </w:r>
            <w:bookmarkEnd w:id="165"/>
          </w:p>
          <w:p w:rsidR="00E460C2" w:rsidRPr="00F20F09" w:rsidRDefault="00E460C2" w:rsidP="00026433">
            <w:pPr>
              <w:tabs>
                <w:tab w:val="left" w:pos="794"/>
                <w:tab w:val="left" w:pos="851"/>
              </w:tabs>
              <w:ind w:left="794" w:hangingChars="418" w:hanging="794"/>
            </w:pPr>
            <w:r w:rsidRPr="00F20F09">
              <w:t>Elisabeth Case</w:t>
            </w:r>
          </w:p>
          <w:p w:rsidR="004C23FB" w:rsidRDefault="00E460C2" w:rsidP="00026433">
            <w:pPr>
              <w:tabs>
                <w:tab w:val="left" w:pos="794"/>
                <w:tab w:val="left" w:pos="851"/>
              </w:tabs>
              <w:ind w:left="794" w:hangingChars="418" w:hanging="794"/>
            </w:pPr>
            <w:r w:rsidRPr="00F20F09">
              <w:t>Phone</w:t>
            </w:r>
            <w:r>
              <w:t>:</w:t>
            </w:r>
            <w:r>
              <w:tab/>
            </w:r>
            <w:r w:rsidRPr="00F20F09">
              <w:t>(07) 3324 1072</w:t>
            </w:r>
          </w:p>
          <w:p w:rsidR="00E460C2" w:rsidRPr="00F20F09" w:rsidRDefault="004C23FB" w:rsidP="00026433">
            <w:pPr>
              <w:tabs>
                <w:tab w:val="left" w:pos="794"/>
                <w:tab w:val="left" w:pos="851"/>
              </w:tabs>
              <w:ind w:left="794" w:hangingChars="418" w:hanging="794"/>
            </w:pPr>
            <w:r>
              <w:t>Fax:</w:t>
            </w:r>
            <w:r>
              <w:tab/>
            </w:r>
            <w:r w:rsidR="00E460C2" w:rsidRPr="00F20F09">
              <w:t>(07) 3397 2955</w:t>
            </w:r>
          </w:p>
          <w:p w:rsidR="00E460C2" w:rsidRPr="00F20F09" w:rsidRDefault="00E460C2" w:rsidP="00026433">
            <w:pPr>
              <w:tabs>
                <w:tab w:val="left" w:pos="794"/>
                <w:tab w:val="left" w:pos="851"/>
              </w:tabs>
              <w:ind w:left="794" w:hangingChars="418" w:hanging="794"/>
            </w:pPr>
            <w:r w:rsidRPr="00F20F09">
              <w:t>email</w:t>
            </w:r>
            <w:r>
              <w:t>:</w:t>
            </w:r>
            <w:r>
              <w:tab/>
            </w:r>
            <w:hyperlink r:id="rId58" w:history="1">
              <w:r w:rsidRPr="00F20F09">
                <w:rPr>
                  <w:rStyle w:val="Hyperlink"/>
                </w:rPr>
                <w:t>UBrisbaneEastOffice@</w:t>
              </w:r>
              <w:r>
                <w:rPr>
                  <w:rStyle w:val="Hyperlink"/>
                </w:rPr>
                <w:t>qsa.</w:t>
              </w:r>
              <w:r w:rsidRPr="00F20F09">
                <w:rPr>
                  <w:rStyle w:val="Hyperlink"/>
                </w:rPr>
                <w:t>qld.edu.au</w:t>
              </w:r>
            </w:hyperlink>
          </w:p>
          <w:p w:rsidR="00E460C2" w:rsidRPr="00F20F09" w:rsidRDefault="00E460C2" w:rsidP="00026433">
            <w:pPr>
              <w:tabs>
                <w:tab w:val="left" w:pos="794"/>
                <w:tab w:val="left" w:pos="851"/>
              </w:tabs>
              <w:ind w:left="794" w:hangingChars="418" w:hanging="794"/>
            </w:pPr>
            <w:r>
              <w:t>Address:</w:t>
            </w:r>
            <w:r>
              <w:tab/>
            </w:r>
            <w:r w:rsidRPr="00F20F09">
              <w:t>Suite 6.01, 433 Logan Rd,</w:t>
            </w:r>
            <w:r>
              <w:t xml:space="preserve"> </w:t>
            </w:r>
            <w:r w:rsidRPr="00F20F09">
              <w:t>Stones Corner Qld</w:t>
            </w:r>
            <w:r>
              <w:t xml:space="preserve"> 4120</w:t>
            </w:r>
          </w:p>
          <w:p w:rsidR="00E460C2" w:rsidRPr="00F20F09" w:rsidRDefault="00E460C2" w:rsidP="00EB60A6">
            <w:pPr>
              <w:tabs>
                <w:tab w:val="left" w:pos="794"/>
                <w:tab w:val="left" w:pos="851"/>
              </w:tabs>
              <w:ind w:left="794" w:hangingChars="418" w:hanging="794"/>
            </w:pPr>
            <w:r>
              <w:t>Post:</w:t>
            </w:r>
            <w:r>
              <w:tab/>
              <w:t>PO Box 686</w:t>
            </w:r>
            <w:r w:rsidRPr="00F20F09">
              <w:t xml:space="preserve"> Stones Corner </w:t>
            </w:r>
            <w:r w:rsidR="00EB60A6">
              <w:t>QLD</w:t>
            </w:r>
            <w:r w:rsidRPr="00F20F09">
              <w:t xml:space="preserve"> 4120</w:t>
            </w:r>
          </w:p>
        </w:tc>
        <w:tc>
          <w:tcPr>
            <w:tcW w:w="4871" w:type="dxa"/>
          </w:tcPr>
          <w:p w:rsidR="00E460C2" w:rsidRPr="003717FB" w:rsidRDefault="00E460C2" w:rsidP="00026433">
            <w:pPr>
              <w:pStyle w:val="Headingdistrictoffice"/>
              <w:tabs>
                <w:tab w:val="left" w:pos="794"/>
                <w:tab w:val="left" w:pos="851"/>
              </w:tabs>
              <w:ind w:left="920" w:hangingChars="418" w:hanging="920"/>
            </w:pPr>
            <w:bookmarkStart w:id="166" w:name="_Toc300136573"/>
            <w:r w:rsidRPr="003717FB">
              <w:t>Sunshine Coast</w:t>
            </w:r>
            <w:bookmarkEnd w:id="166"/>
          </w:p>
          <w:p w:rsidR="00E460C2" w:rsidRDefault="00E460C2" w:rsidP="00026433">
            <w:pPr>
              <w:pStyle w:val="Districtaddressblock"/>
              <w:tabs>
                <w:tab w:val="left" w:pos="794"/>
                <w:tab w:val="left" w:pos="851"/>
              </w:tabs>
              <w:ind w:left="794" w:hangingChars="418" w:hanging="794"/>
            </w:pPr>
            <w:r w:rsidRPr="003C7006">
              <w:t xml:space="preserve">Amanda </w:t>
            </w:r>
            <w:proofErr w:type="spellStart"/>
            <w:r w:rsidRPr="003C7006">
              <w:t>Poeppmann</w:t>
            </w:r>
            <w:proofErr w:type="spellEnd"/>
          </w:p>
          <w:p w:rsidR="004C23FB" w:rsidRDefault="00E460C2" w:rsidP="00026433">
            <w:pPr>
              <w:pStyle w:val="Districtaddressblock"/>
              <w:tabs>
                <w:tab w:val="left" w:pos="794"/>
                <w:tab w:val="left" w:pos="851"/>
              </w:tabs>
              <w:ind w:left="794" w:hangingChars="418" w:hanging="794"/>
            </w:pPr>
            <w:r w:rsidRPr="006C4289">
              <w:t>Phone</w:t>
            </w:r>
            <w:r>
              <w:t>:</w:t>
            </w:r>
            <w:r>
              <w:tab/>
            </w:r>
            <w:r w:rsidRPr="006C4289">
              <w:t>(07) 5493 9452</w:t>
            </w:r>
          </w:p>
          <w:p w:rsidR="00E460C2" w:rsidRPr="006C4289" w:rsidRDefault="004C23FB" w:rsidP="00026433">
            <w:pPr>
              <w:pStyle w:val="Districtaddressblock"/>
              <w:tabs>
                <w:tab w:val="left" w:pos="794"/>
                <w:tab w:val="left" w:pos="851"/>
              </w:tabs>
              <w:ind w:left="794" w:hangingChars="418" w:hanging="794"/>
            </w:pPr>
            <w:r>
              <w:t>Fax:</w:t>
            </w:r>
            <w:r>
              <w:tab/>
            </w:r>
            <w:r w:rsidR="00E460C2" w:rsidRPr="006C4289">
              <w:t>(07) 5493 9451</w:t>
            </w:r>
          </w:p>
          <w:p w:rsidR="00E460C2" w:rsidRPr="006A0CDF" w:rsidRDefault="00E460C2" w:rsidP="00026433">
            <w:pPr>
              <w:pStyle w:val="Districtaddressblock"/>
              <w:tabs>
                <w:tab w:val="left" w:pos="794"/>
                <w:tab w:val="left" w:pos="851"/>
              </w:tabs>
              <w:ind w:left="777" w:hangingChars="418" w:hanging="777"/>
              <w:rPr>
                <w:spacing w:val="-4"/>
              </w:rPr>
            </w:pPr>
            <w:r>
              <w:rPr>
                <w:spacing w:val="-4"/>
              </w:rPr>
              <w:t>email:</w:t>
            </w:r>
            <w:r>
              <w:rPr>
                <w:spacing w:val="-4"/>
              </w:rPr>
              <w:tab/>
            </w:r>
            <w:hyperlink r:id="rId59" w:history="1">
              <w:r w:rsidRPr="006A0CDF">
                <w:rPr>
                  <w:spacing w:val="-4"/>
                </w:rPr>
                <w:t>USunshineCoastOffice@</w:t>
              </w:r>
              <w:r>
                <w:rPr>
                  <w:spacing w:val="-4"/>
                </w:rPr>
                <w:t>qsa.</w:t>
              </w:r>
              <w:r w:rsidRPr="006A0CDF">
                <w:rPr>
                  <w:spacing w:val="-4"/>
                </w:rPr>
                <w:t>qld.edu.au</w:t>
              </w:r>
            </w:hyperlink>
          </w:p>
          <w:p w:rsidR="00E460C2" w:rsidRPr="006C4289" w:rsidRDefault="00E460C2" w:rsidP="00026433">
            <w:pPr>
              <w:pStyle w:val="Districtaddressblock"/>
              <w:tabs>
                <w:tab w:val="left" w:pos="794"/>
                <w:tab w:val="left" w:pos="851"/>
              </w:tabs>
              <w:ind w:left="794" w:hangingChars="418" w:hanging="794"/>
            </w:pPr>
            <w:r>
              <w:t>Address:</w:t>
            </w:r>
            <w:r>
              <w:tab/>
            </w:r>
            <w:r w:rsidRPr="006C4289">
              <w:t>Shop 3A, 7</w:t>
            </w:r>
            <w:r>
              <w:t xml:space="preserve">10 </w:t>
            </w:r>
            <w:proofErr w:type="spellStart"/>
            <w:r>
              <w:t>Nicklin</w:t>
            </w:r>
            <w:proofErr w:type="spellEnd"/>
            <w:r>
              <w:t xml:space="preserve"> Way (</w:t>
            </w:r>
            <w:proofErr w:type="spellStart"/>
            <w:r>
              <w:t>Cnr</w:t>
            </w:r>
            <w:proofErr w:type="spellEnd"/>
            <w:r>
              <w:t xml:space="preserve"> </w:t>
            </w:r>
            <w:proofErr w:type="spellStart"/>
            <w:r>
              <w:t>Erang</w:t>
            </w:r>
            <w:proofErr w:type="spellEnd"/>
            <w:r>
              <w:t xml:space="preserve"> St</w:t>
            </w:r>
            <w:r w:rsidRPr="006C4289">
              <w:t>)</w:t>
            </w:r>
            <w:r>
              <w:t xml:space="preserve">, </w:t>
            </w:r>
            <w:proofErr w:type="spellStart"/>
            <w:r w:rsidRPr="006C4289">
              <w:t>Currimundi</w:t>
            </w:r>
            <w:proofErr w:type="spellEnd"/>
            <w:r w:rsidRPr="006C4289">
              <w:t xml:space="preserve"> Qld 4551</w:t>
            </w:r>
          </w:p>
          <w:p w:rsidR="00E460C2" w:rsidRPr="00F20F09" w:rsidRDefault="00E460C2" w:rsidP="00EB60A6">
            <w:pPr>
              <w:pStyle w:val="Districtaddressblock"/>
              <w:tabs>
                <w:tab w:val="left" w:pos="794"/>
                <w:tab w:val="left" w:pos="851"/>
              </w:tabs>
              <w:ind w:left="794" w:hangingChars="418" w:hanging="794"/>
            </w:pPr>
            <w:r>
              <w:t>Post:</w:t>
            </w:r>
            <w:r>
              <w:tab/>
              <w:t>PO Box 44</w:t>
            </w:r>
            <w:r w:rsidRPr="006C4289">
              <w:t xml:space="preserve"> Wurtulla </w:t>
            </w:r>
            <w:r w:rsidR="00EB60A6">
              <w:t>QLD</w:t>
            </w:r>
            <w:r w:rsidRPr="006C4289">
              <w:t xml:space="preserve"> 4575</w:t>
            </w:r>
          </w:p>
        </w:tc>
      </w:tr>
      <w:tr w:rsidR="00E460C2" w:rsidRPr="00F20F09" w:rsidTr="004C23FB">
        <w:tc>
          <w:tcPr>
            <w:tcW w:w="4870" w:type="dxa"/>
          </w:tcPr>
          <w:p w:rsidR="00E460C2" w:rsidRPr="00F20F09" w:rsidRDefault="00E460C2" w:rsidP="00026433">
            <w:pPr>
              <w:pStyle w:val="Headingdistrictoffice"/>
              <w:tabs>
                <w:tab w:val="left" w:pos="794"/>
                <w:tab w:val="left" w:pos="851"/>
              </w:tabs>
              <w:ind w:left="920" w:hangingChars="418" w:hanging="920"/>
            </w:pPr>
            <w:bookmarkStart w:id="167" w:name="_Toc300136567"/>
            <w:r w:rsidRPr="00F20F09">
              <w:t>Brisbane South</w:t>
            </w:r>
            <w:bookmarkEnd w:id="167"/>
          </w:p>
          <w:p w:rsidR="00E460C2" w:rsidRPr="00F20F09" w:rsidRDefault="00E460C2" w:rsidP="00026433">
            <w:pPr>
              <w:tabs>
                <w:tab w:val="left" w:pos="794"/>
                <w:tab w:val="left" w:pos="851"/>
              </w:tabs>
              <w:ind w:left="794" w:hangingChars="418" w:hanging="794"/>
            </w:pPr>
            <w:r w:rsidRPr="00F20F09">
              <w:t>Sally Dwyer</w:t>
            </w:r>
          </w:p>
          <w:p w:rsidR="004C23FB" w:rsidRDefault="00E460C2" w:rsidP="00026433">
            <w:pPr>
              <w:tabs>
                <w:tab w:val="left" w:pos="794"/>
                <w:tab w:val="left" w:pos="851"/>
              </w:tabs>
              <w:ind w:left="794" w:hangingChars="418" w:hanging="794"/>
            </w:pPr>
            <w:r w:rsidRPr="00F20F09">
              <w:t>Phone</w:t>
            </w:r>
            <w:r>
              <w:t>:</w:t>
            </w:r>
            <w:r>
              <w:tab/>
            </w:r>
            <w:r w:rsidRPr="00F20F09">
              <w:t>(07) 3397 3955</w:t>
            </w:r>
          </w:p>
          <w:p w:rsidR="00E460C2" w:rsidRPr="00F20F09" w:rsidRDefault="004C23FB" w:rsidP="00026433">
            <w:pPr>
              <w:tabs>
                <w:tab w:val="left" w:pos="794"/>
                <w:tab w:val="left" w:pos="851"/>
              </w:tabs>
              <w:ind w:left="794" w:hangingChars="418" w:hanging="794"/>
            </w:pPr>
            <w:r>
              <w:t>Fax:</w:t>
            </w:r>
            <w:r>
              <w:tab/>
            </w:r>
            <w:r w:rsidR="00E460C2" w:rsidRPr="00F20F09">
              <w:t>(07) 3397 2955</w:t>
            </w:r>
          </w:p>
          <w:p w:rsidR="00E460C2" w:rsidRPr="00F20F09" w:rsidRDefault="00E460C2" w:rsidP="00026433">
            <w:pPr>
              <w:tabs>
                <w:tab w:val="left" w:pos="794"/>
                <w:tab w:val="left" w:pos="851"/>
              </w:tabs>
              <w:ind w:left="794" w:hangingChars="418" w:hanging="794"/>
            </w:pPr>
            <w:r w:rsidRPr="00F20F09">
              <w:t>email</w:t>
            </w:r>
            <w:r>
              <w:t>:</w:t>
            </w:r>
            <w:r>
              <w:tab/>
            </w:r>
            <w:hyperlink r:id="rId60" w:history="1">
              <w:r w:rsidRPr="00F20F09">
                <w:rPr>
                  <w:rStyle w:val="Hyperlink"/>
                </w:rPr>
                <w:t>UBrisbaneSouthOffice@</w:t>
              </w:r>
              <w:r>
                <w:rPr>
                  <w:rStyle w:val="Hyperlink"/>
                </w:rPr>
                <w:t>qsa.</w:t>
              </w:r>
              <w:r w:rsidRPr="00F20F09">
                <w:rPr>
                  <w:rStyle w:val="Hyperlink"/>
                </w:rPr>
                <w:t>qld.edu.au</w:t>
              </w:r>
            </w:hyperlink>
          </w:p>
          <w:p w:rsidR="00E460C2" w:rsidRPr="00F20F09" w:rsidRDefault="00E460C2" w:rsidP="00026433">
            <w:pPr>
              <w:tabs>
                <w:tab w:val="left" w:pos="794"/>
                <w:tab w:val="left" w:pos="851"/>
              </w:tabs>
              <w:ind w:left="794" w:hangingChars="418" w:hanging="794"/>
            </w:pPr>
            <w:r>
              <w:t>Address:</w:t>
            </w:r>
            <w:r>
              <w:tab/>
            </w:r>
            <w:r w:rsidRPr="00F20F09">
              <w:t>Suite 6.01, 433 Logan Rd,</w:t>
            </w:r>
            <w:r>
              <w:t xml:space="preserve"> </w:t>
            </w:r>
            <w:r w:rsidRPr="00F20F09">
              <w:t>Stones Corner Qld</w:t>
            </w:r>
            <w:r>
              <w:t xml:space="preserve"> 4120</w:t>
            </w:r>
          </w:p>
          <w:p w:rsidR="00E460C2" w:rsidRPr="00F20F09" w:rsidRDefault="00E460C2" w:rsidP="00EB60A6">
            <w:pPr>
              <w:tabs>
                <w:tab w:val="left" w:pos="794"/>
                <w:tab w:val="left" w:pos="851"/>
              </w:tabs>
              <w:ind w:left="794" w:hangingChars="418" w:hanging="794"/>
            </w:pPr>
            <w:r>
              <w:t>Post:</w:t>
            </w:r>
            <w:r>
              <w:tab/>
              <w:t>PO Box 686</w:t>
            </w:r>
            <w:r w:rsidRPr="00F20F09">
              <w:t xml:space="preserve"> Stones Corner </w:t>
            </w:r>
            <w:r w:rsidR="00EB60A6">
              <w:t>QLD</w:t>
            </w:r>
            <w:r w:rsidRPr="00F20F09">
              <w:t xml:space="preserve"> 4120</w:t>
            </w:r>
          </w:p>
        </w:tc>
        <w:tc>
          <w:tcPr>
            <w:tcW w:w="4871" w:type="dxa"/>
          </w:tcPr>
          <w:p w:rsidR="00E460C2" w:rsidRPr="003717FB" w:rsidRDefault="00E460C2" w:rsidP="00026433">
            <w:pPr>
              <w:pStyle w:val="Headingdistrictoffice"/>
              <w:tabs>
                <w:tab w:val="left" w:pos="794"/>
                <w:tab w:val="left" w:pos="851"/>
              </w:tabs>
              <w:ind w:left="920" w:hangingChars="418" w:hanging="920"/>
            </w:pPr>
            <w:bookmarkStart w:id="168" w:name="_Toc300136574"/>
            <w:r w:rsidRPr="003717FB">
              <w:t>Toowoomba</w:t>
            </w:r>
            <w:bookmarkEnd w:id="168"/>
          </w:p>
          <w:p w:rsidR="00E460C2" w:rsidRDefault="00E460C2" w:rsidP="00026433">
            <w:pPr>
              <w:pStyle w:val="Districtaddressblock"/>
              <w:tabs>
                <w:tab w:val="left" w:pos="794"/>
                <w:tab w:val="left" w:pos="851"/>
              </w:tabs>
              <w:ind w:left="794" w:hangingChars="418" w:hanging="794"/>
            </w:pPr>
            <w:r w:rsidRPr="003C7006">
              <w:t>Marion Goebel</w:t>
            </w:r>
          </w:p>
          <w:p w:rsidR="004C23FB" w:rsidRDefault="00E460C2" w:rsidP="00026433">
            <w:pPr>
              <w:pStyle w:val="Districtaddressblock"/>
              <w:tabs>
                <w:tab w:val="left" w:pos="794"/>
                <w:tab w:val="left" w:pos="851"/>
              </w:tabs>
              <w:ind w:left="794" w:hangingChars="418" w:hanging="794"/>
            </w:pPr>
            <w:r w:rsidRPr="006C4289">
              <w:t>Phone</w:t>
            </w:r>
            <w:r>
              <w:t>:</w:t>
            </w:r>
            <w:r>
              <w:tab/>
            </w:r>
            <w:r w:rsidRPr="006C4289">
              <w:t>(07) 4638 3699</w:t>
            </w:r>
          </w:p>
          <w:p w:rsidR="00E460C2" w:rsidRPr="006C4289" w:rsidRDefault="004C23FB" w:rsidP="00026433">
            <w:pPr>
              <w:pStyle w:val="Districtaddressblock"/>
              <w:tabs>
                <w:tab w:val="left" w:pos="794"/>
                <w:tab w:val="left" w:pos="851"/>
              </w:tabs>
              <w:ind w:left="794" w:hangingChars="418" w:hanging="794"/>
            </w:pPr>
            <w:r>
              <w:t>Fax:</w:t>
            </w:r>
            <w:r>
              <w:tab/>
            </w:r>
            <w:r w:rsidR="00E460C2" w:rsidRPr="006C4289">
              <w:t>(07) 4638 5390</w:t>
            </w:r>
          </w:p>
          <w:p w:rsidR="00E460C2" w:rsidRDefault="00E460C2" w:rsidP="00026433">
            <w:pPr>
              <w:pStyle w:val="Districtaddressblock"/>
              <w:tabs>
                <w:tab w:val="left" w:pos="794"/>
                <w:tab w:val="left" w:pos="851"/>
              </w:tabs>
              <w:ind w:left="794" w:hangingChars="418" w:hanging="794"/>
            </w:pPr>
            <w:r>
              <w:t>email:</w:t>
            </w:r>
            <w:r>
              <w:tab/>
            </w:r>
            <w:hyperlink r:id="rId61" w:history="1">
              <w:r w:rsidRPr="00667473">
                <w:t>UToowoombaOffice@</w:t>
              </w:r>
              <w:r>
                <w:t>qsa.</w:t>
              </w:r>
              <w:r w:rsidRPr="00667473">
                <w:t>qld.edu.au</w:t>
              </w:r>
            </w:hyperlink>
          </w:p>
          <w:p w:rsidR="00E460C2" w:rsidRDefault="00E460C2" w:rsidP="00026433">
            <w:pPr>
              <w:pStyle w:val="Districtaddressblock"/>
              <w:tabs>
                <w:tab w:val="left" w:pos="794"/>
                <w:tab w:val="left" w:pos="851"/>
              </w:tabs>
              <w:ind w:left="794" w:hangingChars="418" w:hanging="794"/>
            </w:pPr>
            <w:r>
              <w:t>Address:</w:t>
            </w:r>
            <w:r>
              <w:tab/>
              <w:t>D</w:t>
            </w:r>
            <w:r w:rsidRPr="006C4289">
              <w:t xml:space="preserve"> Block, Toowoomba State </w:t>
            </w:r>
            <w:r>
              <w:t xml:space="preserve">High </w:t>
            </w:r>
            <w:r w:rsidRPr="006C4289">
              <w:t>School</w:t>
            </w:r>
            <w:r>
              <w:t>,</w:t>
            </w:r>
            <w:r>
              <w:br/>
              <w:t xml:space="preserve">Via Peter St, </w:t>
            </w:r>
            <w:r w:rsidRPr="006C4289">
              <w:t>Toowoomba Qld 4350</w:t>
            </w:r>
          </w:p>
          <w:p w:rsidR="00E460C2" w:rsidRPr="00F20F09" w:rsidRDefault="00E460C2" w:rsidP="00EB60A6">
            <w:pPr>
              <w:pStyle w:val="Districtaddressblock"/>
              <w:tabs>
                <w:tab w:val="left" w:pos="794"/>
                <w:tab w:val="left" w:pos="851"/>
              </w:tabs>
              <w:ind w:left="794" w:hangingChars="418" w:hanging="794"/>
            </w:pPr>
            <w:r>
              <w:t>Post:</w:t>
            </w:r>
            <w:r>
              <w:tab/>
              <w:t xml:space="preserve">PO Box 572 Toowoomba </w:t>
            </w:r>
            <w:r w:rsidR="00EB60A6">
              <w:t>QLD</w:t>
            </w:r>
            <w:r w:rsidR="004C23FB">
              <w:t xml:space="preserve"> </w:t>
            </w:r>
            <w:r>
              <w:t>4350</w:t>
            </w:r>
          </w:p>
        </w:tc>
      </w:tr>
      <w:tr w:rsidR="00E460C2" w:rsidRPr="00F20F09" w:rsidTr="004C23FB">
        <w:tc>
          <w:tcPr>
            <w:tcW w:w="4870" w:type="dxa"/>
          </w:tcPr>
          <w:p w:rsidR="00E460C2" w:rsidRPr="003717FB" w:rsidRDefault="00E460C2" w:rsidP="00026433">
            <w:pPr>
              <w:pStyle w:val="Headingdistrictoffice"/>
              <w:tabs>
                <w:tab w:val="left" w:pos="794"/>
                <w:tab w:val="left" w:pos="851"/>
              </w:tabs>
              <w:ind w:left="920" w:hangingChars="418" w:hanging="920"/>
            </w:pPr>
            <w:bookmarkStart w:id="169" w:name="_Toc300136568"/>
            <w:r w:rsidRPr="003717FB">
              <w:t>Brisbane Ipswich</w:t>
            </w:r>
            <w:bookmarkEnd w:id="169"/>
          </w:p>
          <w:p w:rsidR="00E460C2" w:rsidRDefault="00E460C2" w:rsidP="00026433">
            <w:pPr>
              <w:pStyle w:val="Districtaddressblock"/>
              <w:tabs>
                <w:tab w:val="left" w:pos="794"/>
                <w:tab w:val="left" w:pos="851"/>
              </w:tabs>
              <w:ind w:left="794" w:hangingChars="418" w:hanging="794"/>
            </w:pPr>
            <w:r w:rsidRPr="003C7006">
              <w:t xml:space="preserve">Andrew </w:t>
            </w:r>
            <w:proofErr w:type="spellStart"/>
            <w:r w:rsidRPr="003C7006">
              <w:t>Sycz</w:t>
            </w:r>
            <w:proofErr w:type="spellEnd"/>
          </w:p>
          <w:p w:rsidR="004C23FB" w:rsidRDefault="00E460C2" w:rsidP="00026433">
            <w:pPr>
              <w:pStyle w:val="Districtaddressblock"/>
              <w:tabs>
                <w:tab w:val="left" w:pos="794"/>
                <w:tab w:val="left" w:pos="851"/>
              </w:tabs>
              <w:ind w:left="794" w:hangingChars="418" w:hanging="794"/>
            </w:pPr>
            <w:r w:rsidRPr="006C4289">
              <w:t>Phone</w:t>
            </w:r>
            <w:r>
              <w:t>:</w:t>
            </w:r>
            <w:r>
              <w:tab/>
            </w:r>
            <w:r w:rsidRPr="006C4289">
              <w:t>(07) 3202 3325</w:t>
            </w:r>
          </w:p>
          <w:p w:rsidR="00E460C2" w:rsidRPr="006C4289" w:rsidRDefault="004C23FB" w:rsidP="00026433">
            <w:pPr>
              <w:pStyle w:val="Districtaddressblock"/>
              <w:tabs>
                <w:tab w:val="left" w:pos="794"/>
                <w:tab w:val="left" w:pos="851"/>
              </w:tabs>
              <w:ind w:left="794" w:hangingChars="418" w:hanging="794"/>
            </w:pPr>
            <w:r>
              <w:t>Fax:</w:t>
            </w:r>
            <w:r>
              <w:tab/>
            </w:r>
            <w:r w:rsidR="00E460C2" w:rsidRPr="006C4289">
              <w:t>(07) 3202 3347</w:t>
            </w:r>
          </w:p>
          <w:p w:rsidR="00E460C2" w:rsidRPr="006A0CDF" w:rsidRDefault="00E460C2" w:rsidP="00026433">
            <w:pPr>
              <w:pStyle w:val="Districtaddressblock"/>
              <w:tabs>
                <w:tab w:val="left" w:pos="794"/>
                <w:tab w:val="left" w:pos="851"/>
              </w:tabs>
              <w:ind w:left="777" w:hangingChars="418" w:hanging="777"/>
              <w:rPr>
                <w:spacing w:val="-4"/>
              </w:rPr>
            </w:pPr>
            <w:r>
              <w:rPr>
                <w:spacing w:val="-4"/>
              </w:rPr>
              <w:t>email:</w:t>
            </w:r>
            <w:r>
              <w:rPr>
                <w:spacing w:val="-4"/>
              </w:rPr>
              <w:tab/>
            </w:r>
            <w:hyperlink r:id="rId62" w:history="1">
              <w:r w:rsidRPr="006A0CDF">
                <w:rPr>
                  <w:spacing w:val="-4"/>
                </w:rPr>
                <w:t>UBrisbaneIpswichOffice@</w:t>
              </w:r>
              <w:r>
                <w:rPr>
                  <w:spacing w:val="-4"/>
                </w:rPr>
                <w:t>qsa.</w:t>
              </w:r>
              <w:r w:rsidRPr="006A0CDF">
                <w:rPr>
                  <w:spacing w:val="-4"/>
                </w:rPr>
                <w:t>qld.edu.au</w:t>
              </w:r>
            </w:hyperlink>
          </w:p>
          <w:p w:rsidR="00E460C2" w:rsidRPr="006C4289" w:rsidRDefault="00E460C2" w:rsidP="00026433">
            <w:pPr>
              <w:pStyle w:val="Districtaddressblock"/>
              <w:tabs>
                <w:tab w:val="left" w:pos="794"/>
                <w:tab w:val="left" w:pos="851"/>
              </w:tabs>
              <w:ind w:left="794" w:hangingChars="418" w:hanging="794"/>
            </w:pPr>
            <w:r>
              <w:t>Address:</w:t>
            </w:r>
            <w:r>
              <w:tab/>
              <w:t>Unit 2/56 Cascade St</w:t>
            </w:r>
            <w:r w:rsidRPr="006C4289">
              <w:t>, Raceview Qld 4305</w:t>
            </w:r>
          </w:p>
          <w:p w:rsidR="00E460C2" w:rsidRPr="00F20F09" w:rsidRDefault="00E460C2" w:rsidP="00EB60A6">
            <w:pPr>
              <w:pStyle w:val="Districtaddressblock"/>
              <w:tabs>
                <w:tab w:val="left" w:pos="794"/>
                <w:tab w:val="left" w:pos="851"/>
              </w:tabs>
              <w:ind w:left="794" w:hangingChars="418" w:hanging="794"/>
            </w:pPr>
            <w:r>
              <w:t>Post:</w:t>
            </w:r>
            <w:r>
              <w:tab/>
            </w:r>
            <w:r w:rsidRPr="006C4289">
              <w:t xml:space="preserve">PO Box 860 Booval </w:t>
            </w:r>
            <w:r w:rsidR="00EB60A6">
              <w:t>QLD</w:t>
            </w:r>
            <w:r w:rsidRPr="006C4289">
              <w:t xml:space="preserve"> 4304</w:t>
            </w:r>
          </w:p>
        </w:tc>
        <w:tc>
          <w:tcPr>
            <w:tcW w:w="4871" w:type="dxa"/>
          </w:tcPr>
          <w:p w:rsidR="00E460C2" w:rsidRPr="003717FB" w:rsidRDefault="00E460C2" w:rsidP="00026433">
            <w:pPr>
              <w:pStyle w:val="Headingdistrictoffice"/>
              <w:tabs>
                <w:tab w:val="left" w:pos="794"/>
                <w:tab w:val="left" w:pos="851"/>
              </w:tabs>
              <w:ind w:left="920" w:hangingChars="418" w:hanging="920"/>
            </w:pPr>
            <w:bookmarkStart w:id="170" w:name="_Toc300136575"/>
            <w:r w:rsidRPr="003717FB">
              <w:t>Townsville</w:t>
            </w:r>
            <w:bookmarkEnd w:id="170"/>
          </w:p>
          <w:p w:rsidR="00E460C2" w:rsidRDefault="00E460C2" w:rsidP="00026433">
            <w:pPr>
              <w:pStyle w:val="Districtaddressblock"/>
              <w:tabs>
                <w:tab w:val="left" w:pos="794"/>
                <w:tab w:val="left" w:pos="851"/>
              </w:tabs>
              <w:ind w:left="794" w:hangingChars="418" w:hanging="794"/>
            </w:pPr>
            <w:r>
              <w:t>Valerie Browning</w:t>
            </w:r>
          </w:p>
          <w:p w:rsidR="004C23FB" w:rsidRDefault="00E460C2" w:rsidP="00026433">
            <w:pPr>
              <w:pStyle w:val="Districtaddressblock"/>
              <w:tabs>
                <w:tab w:val="left" w:pos="794"/>
                <w:tab w:val="left" w:pos="851"/>
              </w:tabs>
              <w:ind w:left="794" w:hangingChars="418" w:hanging="794"/>
            </w:pPr>
            <w:r w:rsidRPr="006C4289">
              <w:t>Phone</w:t>
            </w:r>
            <w:r>
              <w:t>:</w:t>
            </w:r>
            <w:r>
              <w:tab/>
            </w:r>
            <w:r w:rsidRPr="006C4289">
              <w:t>(07) 4728 8485</w:t>
            </w:r>
          </w:p>
          <w:p w:rsidR="00E460C2" w:rsidRPr="006C4289" w:rsidRDefault="004C23FB" w:rsidP="00026433">
            <w:pPr>
              <w:pStyle w:val="Districtaddressblock"/>
              <w:tabs>
                <w:tab w:val="left" w:pos="794"/>
                <w:tab w:val="left" w:pos="851"/>
              </w:tabs>
              <w:ind w:left="794" w:hangingChars="418" w:hanging="794"/>
            </w:pPr>
            <w:r>
              <w:t>Fax:</w:t>
            </w:r>
            <w:r>
              <w:tab/>
            </w:r>
            <w:r w:rsidR="00E460C2" w:rsidRPr="006C4289">
              <w:t>(07) 4728 8486</w:t>
            </w:r>
          </w:p>
          <w:p w:rsidR="00E460C2" w:rsidRDefault="00E460C2" w:rsidP="00026433">
            <w:pPr>
              <w:pStyle w:val="Districtaddressblock"/>
              <w:tabs>
                <w:tab w:val="left" w:pos="794"/>
                <w:tab w:val="left" w:pos="851"/>
              </w:tabs>
              <w:ind w:left="794" w:hangingChars="418" w:hanging="794"/>
            </w:pPr>
            <w:r>
              <w:t>email:</w:t>
            </w:r>
            <w:r>
              <w:tab/>
            </w:r>
            <w:hyperlink r:id="rId63" w:history="1">
              <w:r w:rsidRPr="00667473">
                <w:t>UTownsvilleOffice@</w:t>
              </w:r>
              <w:r>
                <w:t>qsa.</w:t>
              </w:r>
              <w:r w:rsidRPr="00667473">
                <w:t>qld.edu.au</w:t>
              </w:r>
            </w:hyperlink>
          </w:p>
          <w:p w:rsidR="00E460C2" w:rsidRPr="006C4289" w:rsidRDefault="00E460C2" w:rsidP="00026433">
            <w:pPr>
              <w:pStyle w:val="Districtaddressblock"/>
              <w:tabs>
                <w:tab w:val="left" w:pos="794"/>
                <w:tab w:val="left" w:pos="851"/>
              </w:tabs>
              <w:ind w:left="794" w:hangingChars="418" w:hanging="794"/>
            </w:pPr>
            <w:r>
              <w:t>Address:</w:t>
            </w:r>
            <w:r>
              <w:tab/>
            </w:r>
            <w:r w:rsidRPr="006C4289">
              <w:t>F Block, Heatley Secondary College</w:t>
            </w:r>
            <w:r>
              <w:t>,</w:t>
            </w:r>
            <w:r>
              <w:br/>
              <w:t>Hanlon St</w:t>
            </w:r>
            <w:r w:rsidRPr="006C4289">
              <w:t>, Heatley Qld 4814</w:t>
            </w:r>
          </w:p>
          <w:p w:rsidR="00E460C2" w:rsidRPr="00F20F09" w:rsidRDefault="00E460C2" w:rsidP="00EB60A6">
            <w:pPr>
              <w:pStyle w:val="Districtaddressblock"/>
              <w:tabs>
                <w:tab w:val="left" w:pos="794"/>
                <w:tab w:val="left" w:pos="851"/>
              </w:tabs>
              <w:ind w:left="794" w:hangingChars="418" w:hanging="794"/>
            </w:pPr>
            <w:r>
              <w:t>Post:</w:t>
            </w:r>
            <w:r>
              <w:tab/>
              <w:t>PO Box 207</w:t>
            </w:r>
            <w:r w:rsidRPr="006C4289">
              <w:t xml:space="preserve"> Aitkenvale </w:t>
            </w:r>
            <w:r w:rsidR="00EB60A6">
              <w:t>QLD</w:t>
            </w:r>
            <w:r w:rsidRPr="006C4289">
              <w:t xml:space="preserve"> 4814</w:t>
            </w:r>
          </w:p>
        </w:tc>
      </w:tr>
      <w:tr w:rsidR="00E460C2" w:rsidRPr="00F20F09" w:rsidTr="004C23FB">
        <w:tc>
          <w:tcPr>
            <w:tcW w:w="4870" w:type="dxa"/>
          </w:tcPr>
          <w:p w:rsidR="00E460C2" w:rsidRPr="003717FB" w:rsidRDefault="00E460C2" w:rsidP="005B5580">
            <w:pPr>
              <w:pStyle w:val="Headingdistrictoffice"/>
            </w:pPr>
            <w:bookmarkStart w:id="171" w:name="_Toc300136569"/>
            <w:r w:rsidRPr="005B5580">
              <w:t>Cairns</w:t>
            </w:r>
            <w:bookmarkEnd w:id="171"/>
          </w:p>
          <w:p w:rsidR="00E460C2" w:rsidRDefault="00E460C2" w:rsidP="00026433">
            <w:pPr>
              <w:pStyle w:val="Districtaddressblock"/>
              <w:tabs>
                <w:tab w:val="left" w:pos="794"/>
                <w:tab w:val="left" w:pos="851"/>
              </w:tabs>
              <w:ind w:left="794" w:hangingChars="418" w:hanging="794"/>
            </w:pPr>
            <w:r w:rsidRPr="003C7006">
              <w:t xml:space="preserve">Carol </w:t>
            </w:r>
            <w:proofErr w:type="spellStart"/>
            <w:r w:rsidRPr="003C7006">
              <w:t>Mcllwain</w:t>
            </w:r>
            <w:proofErr w:type="spellEnd"/>
            <w:r>
              <w:t xml:space="preserve"> &amp; Tammy Palmer</w:t>
            </w:r>
          </w:p>
          <w:p w:rsidR="004C23FB" w:rsidRDefault="00E460C2" w:rsidP="00026433">
            <w:pPr>
              <w:pStyle w:val="Districtaddressblock"/>
              <w:tabs>
                <w:tab w:val="left" w:pos="794"/>
                <w:tab w:val="left" w:pos="851"/>
              </w:tabs>
              <w:ind w:left="794" w:hangingChars="418" w:hanging="794"/>
            </w:pPr>
            <w:r w:rsidRPr="006C4289">
              <w:t>Phone</w:t>
            </w:r>
            <w:r>
              <w:t>:</w:t>
            </w:r>
            <w:r>
              <w:tab/>
            </w:r>
            <w:r w:rsidRPr="006C4289">
              <w:t>(07) 4054 6278</w:t>
            </w:r>
          </w:p>
          <w:p w:rsidR="00E460C2" w:rsidRPr="006C4289" w:rsidRDefault="004C23FB" w:rsidP="00026433">
            <w:pPr>
              <w:pStyle w:val="Districtaddressblock"/>
              <w:tabs>
                <w:tab w:val="left" w:pos="794"/>
                <w:tab w:val="left" w:pos="851"/>
              </w:tabs>
              <w:ind w:left="794" w:hangingChars="418" w:hanging="794"/>
            </w:pPr>
            <w:r>
              <w:t>Fax:</w:t>
            </w:r>
            <w:r>
              <w:tab/>
            </w:r>
            <w:r w:rsidR="00E460C2" w:rsidRPr="006C4289">
              <w:t>(07) 4054 3943</w:t>
            </w:r>
          </w:p>
          <w:p w:rsidR="00E460C2" w:rsidRDefault="00E460C2" w:rsidP="00026433">
            <w:pPr>
              <w:pStyle w:val="Districtaddressblock"/>
              <w:tabs>
                <w:tab w:val="left" w:pos="794"/>
                <w:tab w:val="left" w:pos="851"/>
              </w:tabs>
              <w:ind w:left="794" w:hangingChars="418" w:hanging="794"/>
            </w:pPr>
            <w:r>
              <w:t>email:</w:t>
            </w:r>
            <w:r>
              <w:tab/>
            </w:r>
            <w:hyperlink r:id="rId64" w:history="1">
              <w:r w:rsidRPr="00667473">
                <w:t>UCairnsOffice@</w:t>
              </w:r>
              <w:r>
                <w:t>qsa.</w:t>
              </w:r>
              <w:r w:rsidRPr="00667473">
                <w:t>qld.edu.au</w:t>
              </w:r>
            </w:hyperlink>
          </w:p>
          <w:p w:rsidR="00E460C2" w:rsidRPr="006C4289" w:rsidRDefault="00E460C2" w:rsidP="00026433">
            <w:pPr>
              <w:pStyle w:val="Districtaddressblock"/>
              <w:tabs>
                <w:tab w:val="left" w:pos="794"/>
                <w:tab w:val="left" w:pos="851"/>
              </w:tabs>
              <w:ind w:left="794" w:hangingChars="418" w:hanging="794"/>
            </w:pPr>
            <w:r>
              <w:t>Address:</w:t>
            </w:r>
            <w:r>
              <w:tab/>
            </w:r>
            <w:r w:rsidRPr="006C4289">
              <w:t>455 Mulgrave Rd, Earlville Qld 4870</w:t>
            </w:r>
          </w:p>
          <w:p w:rsidR="00E460C2" w:rsidRPr="00F20F09" w:rsidRDefault="00E460C2" w:rsidP="00EB60A6">
            <w:pPr>
              <w:pStyle w:val="Districtaddressblock"/>
              <w:tabs>
                <w:tab w:val="left" w:pos="794"/>
                <w:tab w:val="left" w:pos="851"/>
              </w:tabs>
              <w:spacing w:after="120"/>
              <w:ind w:left="794" w:hanging="794"/>
            </w:pPr>
            <w:r>
              <w:t>Post:</w:t>
            </w:r>
            <w:r>
              <w:tab/>
              <w:t>PO Box 122</w:t>
            </w:r>
            <w:r w:rsidRPr="006C4289">
              <w:t xml:space="preserve"> Earlville </w:t>
            </w:r>
            <w:r w:rsidR="00EB60A6">
              <w:t>QLD</w:t>
            </w:r>
            <w:r w:rsidR="004C23FB">
              <w:t xml:space="preserve"> </w:t>
            </w:r>
            <w:r w:rsidRPr="006C4289">
              <w:t>4870</w:t>
            </w:r>
          </w:p>
        </w:tc>
        <w:tc>
          <w:tcPr>
            <w:tcW w:w="4871" w:type="dxa"/>
            <w:vMerge w:val="restart"/>
          </w:tcPr>
          <w:p w:rsidR="00E460C2" w:rsidRPr="003717FB" w:rsidRDefault="00E460C2" w:rsidP="00026433">
            <w:pPr>
              <w:pStyle w:val="Headingdistrictoffice"/>
              <w:tabs>
                <w:tab w:val="left" w:pos="794"/>
                <w:tab w:val="left" w:pos="851"/>
              </w:tabs>
              <w:ind w:left="920" w:hangingChars="418" w:hanging="920"/>
            </w:pPr>
            <w:bookmarkStart w:id="172" w:name="_Toc300136576"/>
            <w:r w:rsidRPr="003717FB">
              <w:t>Wide Bay</w:t>
            </w:r>
            <w:bookmarkEnd w:id="172"/>
          </w:p>
          <w:p w:rsidR="00E460C2" w:rsidRDefault="00E460C2" w:rsidP="00026433">
            <w:pPr>
              <w:pStyle w:val="Districtaddressblock"/>
              <w:tabs>
                <w:tab w:val="left" w:pos="794"/>
                <w:tab w:val="left" w:pos="851"/>
              </w:tabs>
              <w:ind w:left="794" w:hangingChars="418" w:hanging="794"/>
            </w:pPr>
            <w:r>
              <w:t>Diane Armstrong</w:t>
            </w:r>
          </w:p>
          <w:p w:rsidR="004C23FB" w:rsidRDefault="00E460C2" w:rsidP="00026433">
            <w:pPr>
              <w:pStyle w:val="Districtaddressblock"/>
              <w:tabs>
                <w:tab w:val="left" w:pos="794"/>
                <w:tab w:val="left" w:pos="851"/>
              </w:tabs>
              <w:ind w:left="794" w:hangingChars="418" w:hanging="794"/>
            </w:pPr>
            <w:r w:rsidRPr="006C4289">
              <w:t>Phone</w:t>
            </w:r>
            <w:r>
              <w:t>:</w:t>
            </w:r>
            <w:r>
              <w:tab/>
            </w:r>
            <w:r w:rsidRPr="006C4289">
              <w:t>(07) 4123 1612</w:t>
            </w:r>
          </w:p>
          <w:p w:rsidR="00E460C2" w:rsidRPr="006C4289" w:rsidRDefault="004C23FB" w:rsidP="00026433">
            <w:pPr>
              <w:pStyle w:val="Districtaddressblock"/>
              <w:tabs>
                <w:tab w:val="left" w:pos="794"/>
                <w:tab w:val="left" w:pos="851"/>
              </w:tabs>
              <w:ind w:left="794" w:hangingChars="418" w:hanging="794"/>
            </w:pPr>
            <w:r>
              <w:t>Fax:</w:t>
            </w:r>
            <w:r>
              <w:tab/>
            </w:r>
            <w:r w:rsidR="00E460C2" w:rsidRPr="006C4289">
              <w:t>(07) 4121 6811</w:t>
            </w:r>
          </w:p>
          <w:p w:rsidR="00E460C2" w:rsidRDefault="00E460C2" w:rsidP="00026433">
            <w:pPr>
              <w:pStyle w:val="Districtaddressblock"/>
              <w:tabs>
                <w:tab w:val="left" w:pos="794"/>
                <w:tab w:val="left" w:pos="851"/>
              </w:tabs>
              <w:ind w:left="794" w:hangingChars="418" w:hanging="794"/>
            </w:pPr>
            <w:r>
              <w:t>email:</w:t>
            </w:r>
            <w:r>
              <w:tab/>
            </w:r>
            <w:hyperlink r:id="rId65" w:history="1">
              <w:r w:rsidRPr="00667473">
                <w:t>UWideBayOffice@</w:t>
              </w:r>
              <w:r>
                <w:t>qsa.</w:t>
              </w:r>
              <w:r w:rsidRPr="00667473">
                <w:t>qld.edu.au</w:t>
              </w:r>
            </w:hyperlink>
          </w:p>
          <w:p w:rsidR="00E460C2" w:rsidRPr="006C4289" w:rsidRDefault="00E460C2" w:rsidP="00026433">
            <w:pPr>
              <w:pStyle w:val="Districtaddressblock"/>
              <w:tabs>
                <w:tab w:val="left" w:pos="794"/>
                <w:tab w:val="left" w:pos="851"/>
              </w:tabs>
              <w:ind w:left="794" w:right="-284" w:hangingChars="418" w:hanging="794"/>
            </w:pPr>
            <w:r>
              <w:t>Address:</w:t>
            </w:r>
            <w:r>
              <w:tab/>
            </w:r>
            <w:r w:rsidRPr="006C4289">
              <w:t>Maryborough State High School</w:t>
            </w:r>
            <w:r>
              <w:t xml:space="preserve">, </w:t>
            </w:r>
            <w:r w:rsidRPr="006C4289">
              <w:t xml:space="preserve">Block Z, </w:t>
            </w:r>
            <w:r>
              <w:br/>
            </w:r>
            <w:r w:rsidRPr="006C4289">
              <w:t>Rooms 814–817,</w:t>
            </w:r>
            <w:r>
              <w:t xml:space="preserve"> Sussex St, </w:t>
            </w:r>
            <w:r w:rsidRPr="006C4289">
              <w:t>Maryborough Qld 4650</w:t>
            </w:r>
          </w:p>
          <w:p w:rsidR="00E460C2" w:rsidRPr="00F20F09" w:rsidRDefault="00E460C2" w:rsidP="00EB60A6">
            <w:pPr>
              <w:pStyle w:val="Districtaddressblock"/>
              <w:tabs>
                <w:tab w:val="left" w:pos="794"/>
                <w:tab w:val="left" w:pos="851"/>
              </w:tabs>
              <w:ind w:left="794" w:hangingChars="418" w:hanging="794"/>
            </w:pPr>
            <w:r>
              <w:t>Post:</w:t>
            </w:r>
            <w:r>
              <w:tab/>
            </w:r>
            <w:r w:rsidRPr="006C4289">
              <w:t xml:space="preserve">PO Box 452 Maryborough </w:t>
            </w:r>
            <w:r w:rsidR="00EB60A6">
              <w:t>QLD</w:t>
            </w:r>
            <w:r w:rsidRPr="006C4289">
              <w:t xml:space="preserve"> 4650</w:t>
            </w:r>
          </w:p>
        </w:tc>
      </w:tr>
      <w:tr w:rsidR="00E460C2" w:rsidRPr="00F20F09" w:rsidTr="004C23FB">
        <w:tc>
          <w:tcPr>
            <w:tcW w:w="4870" w:type="dxa"/>
          </w:tcPr>
          <w:p w:rsidR="00E460C2" w:rsidRPr="003717FB" w:rsidRDefault="00E460C2" w:rsidP="005B5580">
            <w:pPr>
              <w:pStyle w:val="Headingdistrictoffice"/>
            </w:pPr>
            <w:r w:rsidRPr="005B5580">
              <w:t xml:space="preserve">Gold </w:t>
            </w:r>
            <w:r w:rsidRPr="003717FB">
              <w:t>Coast</w:t>
            </w:r>
          </w:p>
          <w:p w:rsidR="00E460C2" w:rsidRDefault="00E460C2" w:rsidP="00026433">
            <w:pPr>
              <w:pStyle w:val="Districtaddressblock"/>
              <w:tabs>
                <w:tab w:val="left" w:pos="794"/>
                <w:tab w:val="left" w:pos="851"/>
              </w:tabs>
              <w:ind w:left="794" w:hangingChars="418" w:hanging="794"/>
            </w:pPr>
            <w:r w:rsidRPr="003C7006">
              <w:t>Sylvia Richardson</w:t>
            </w:r>
          </w:p>
          <w:p w:rsidR="004C23FB" w:rsidRDefault="00E460C2" w:rsidP="00026433">
            <w:pPr>
              <w:pStyle w:val="Districtaddressblock"/>
              <w:tabs>
                <w:tab w:val="left" w:pos="794"/>
                <w:tab w:val="left" w:pos="851"/>
              </w:tabs>
              <w:ind w:left="794" w:hangingChars="418" w:hanging="794"/>
            </w:pPr>
            <w:r w:rsidRPr="006C4289">
              <w:t>Phone</w:t>
            </w:r>
            <w:r>
              <w:t>:</w:t>
            </w:r>
            <w:r>
              <w:tab/>
            </w:r>
            <w:r w:rsidRPr="006C4289">
              <w:t>(07) 5591 4255</w:t>
            </w:r>
          </w:p>
          <w:p w:rsidR="00E460C2" w:rsidRPr="006C4289" w:rsidRDefault="004C23FB" w:rsidP="00026433">
            <w:pPr>
              <w:pStyle w:val="Districtaddressblock"/>
              <w:tabs>
                <w:tab w:val="left" w:pos="794"/>
                <w:tab w:val="left" w:pos="851"/>
              </w:tabs>
              <w:ind w:left="794" w:hangingChars="418" w:hanging="794"/>
            </w:pPr>
            <w:r>
              <w:t>Fax:</w:t>
            </w:r>
            <w:r>
              <w:tab/>
            </w:r>
            <w:r w:rsidR="00E460C2" w:rsidRPr="006C4289">
              <w:t>(07) 5591 4461</w:t>
            </w:r>
          </w:p>
          <w:p w:rsidR="00E460C2" w:rsidRDefault="00E460C2" w:rsidP="00026433">
            <w:pPr>
              <w:pStyle w:val="Districtaddressblock"/>
              <w:tabs>
                <w:tab w:val="left" w:pos="794"/>
                <w:tab w:val="left" w:pos="851"/>
              </w:tabs>
              <w:ind w:left="794" w:hangingChars="418" w:hanging="794"/>
            </w:pPr>
            <w:r>
              <w:t>email:</w:t>
            </w:r>
            <w:r>
              <w:tab/>
            </w:r>
            <w:hyperlink r:id="rId66" w:history="1">
              <w:r w:rsidRPr="00667473">
                <w:t>UGoldCoastOffice@</w:t>
              </w:r>
              <w:r>
                <w:t>qsa.</w:t>
              </w:r>
              <w:r w:rsidRPr="00667473">
                <w:t>qld.edu.au</w:t>
              </w:r>
            </w:hyperlink>
          </w:p>
          <w:p w:rsidR="00E460C2" w:rsidRPr="006C4289" w:rsidRDefault="004C23FB" w:rsidP="00026433">
            <w:pPr>
              <w:pStyle w:val="Districtaddressblock"/>
              <w:tabs>
                <w:tab w:val="left" w:pos="794"/>
                <w:tab w:val="left" w:pos="851"/>
              </w:tabs>
              <w:ind w:left="794" w:hangingChars="418" w:hanging="794"/>
            </w:pPr>
            <w:r>
              <w:t>Address:</w:t>
            </w:r>
            <w:r w:rsidR="00E460C2">
              <w:tab/>
              <w:t>1/8 Short St</w:t>
            </w:r>
            <w:r w:rsidR="00E460C2" w:rsidRPr="006C4289">
              <w:t>, Southport Qld 4215</w:t>
            </w:r>
          </w:p>
          <w:p w:rsidR="00E460C2" w:rsidRPr="00F20F09" w:rsidRDefault="00E460C2" w:rsidP="00EB60A6">
            <w:pPr>
              <w:pStyle w:val="Districtaddressblock"/>
              <w:tabs>
                <w:tab w:val="left" w:pos="794"/>
                <w:tab w:val="left" w:pos="851"/>
              </w:tabs>
              <w:ind w:left="794" w:hangingChars="418" w:hanging="794"/>
            </w:pPr>
            <w:r>
              <w:t xml:space="preserve">Post: </w:t>
            </w:r>
            <w:r>
              <w:tab/>
              <w:t>PO Box 2005</w:t>
            </w:r>
            <w:r w:rsidRPr="006C4289">
              <w:t xml:space="preserve"> Southport </w:t>
            </w:r>
            <w:r w:rsidR="00EB60A6">
              <w:t>QLD</w:t>
            </w:r>
            <w:r w:rsidRPr="006C4289">
              <w:t xml:space="preserve"> 4215</w:t>
            </w:r>
          </w:p>
        </w:tc>
        <w:tc>
          <w:tcPr>
            <w:tcW w:w="4871" w:type="dxa"/>
            <w:vMerge/>
          </w:tcPr>
          <w:p w:rsidR="00E460C2" w:rsidRPr="00F20F09" w:rsidRDefault="00E460C2" w:rsidP="00026433">
            <w:pPr>
              <w:tabs>
                <w:tab w:val="left" w:pos="794"/>
                <w:tab w:val="left" w:pos="851"/>
              </w:tabs>
              <w:ind w:left="794" w:hangingChars="418" w:hanging="794"/>
            </w:pPr>
          </w:p>
        </w:tc>
      </w:tr>
    </w:tbl>
    <w:p w:rsidR="001A2BB0" w:rsidRPr="00C66A5E" w:rsidRDefault="001A2BB0" w:rsidP="00130182">
      <w:pPr>
        <w:pStyle w:val="H2Appendix"/>
        <w:spacing w:before="0"/>
      </w:pPr>
      <w:bookmarkStart w:id="173" w:name="_Toc397589550"/>
      <w:r w:rsidRPr="00C66A5E">
        <w:lastRenderedPageBreak/>
        <w:t>Reader evaluation of the Annual Report 201</w:t>
      </w:r>
      <w:r w:rsidR="00D50727">
        <w:t>3</w:t>
      </w:r>
      <w:r w:rsidRPr="00C66A5E">
        <w:t>–1</w:t>
      </w:r>
      <w:r w:rsidR="00D50727">
        <w:t>4</w:t>
      </w:r>
      <w:bookmarkEnd w:id="162"/>
      <w:bookmarkEnd w:id="173"/>
    </w:p>
    <w:p w:rsidR="001A2BB0" w:rsidRPr="002D63E4" w:rsidRDefault="001A2BB0" w:rsidP="000C109B">
      <w:pPr>
        <w:pStyle w:val="BodyText"/>
      </w:pPr>
      <w:r w:rsidRPr="002D63E4">
        <w:t>Please take some time to answer the fol</w:t>
      </w:r>
      <w:r w:rsidR="00C22141">
        <w:t>lowing questions, to help the QCA</w:t>
      </w:r>
      <w:r w:rsidRPr="002D63E4">
        <w:t xml:space="preserve">A communicate effectively with you. </w:t>
      </w:r>
      <w:r w:rsidRPr="002D63E4">
        <w:br/>
        <w:t>To indicate your response, please circle the appropriate number for each question as follows:</w:t>
      </w:r>
    </w:p>
    <w:tbl>
      <w:tblPr>
        <w:tblW w:w="4900" w:type="pct"/>
        <w:tblInd w:w="113" w:type="dxa"/>
        <w:shd w:val="clear" w:color="auto" w:fill="D9D9D9"/>
        <w:tblCellMar>
          <w:top w:w="28" w:type="dxa"/>
          <w:left w:w="85" w:type="dxa"/>
          <w:bottom w:w="28" w:type="dxa"/>
          <w:right w:w="85" w:type="dxa"/>
        </w:tblCellMar>
        <w:tblLook w:val="01E0" w:firstRow="1" w:lastRow="1" w:firstColumn="1" w:lastColumn="1" w:noHBand="0" w:noVBand="0"/>
      </w:tblPr>
      <w:tblGrid>
        <w:gridCol w:w="2231"/>
        <w:gridCol w:w="1534"/>
        <w:gridCol w:w="1126"/>
        <w:gridCol w:w="1697"/>
        <w:gridCol w:w="1540"/>
        <w:gridCol w:w="1373"/>
      </w:tblGrid>
      <w:tr w:rsidR="001A2BB0" w:rsidRPr="00C81871" w:rsidTr="00FB4BC4">
        <w:tc>
          <w:tcPr>
            <w:tcW w:w="2240" w:type="dxa"/>
            <w:shd w:val="clear" w:color="auto" w:fill="D9D9D9"/>
            <w:vAlign w:val="center"/>
          </w:tcPr>
          <w:p w:rsidR="001A2BB0" w:rsidRPr="009F10FF" w:rsidRDefault="001A2BB0" w:rsidP="009D2CFB">
            <w:pPr>
              <w:pStyle w:val="Tablehead"/>
            </w:pPr>
            <w:r w:rsidRPr="006161FA">
              <w:t>0 = Unable to respond</w:t>
            </w:r>
          </w:p>
        </w:tc>
        <w:tc>
          <w:tcPr>
            <w:tcW w:w="1540" w:type="dxa"/>
            <w:shd w:val="clear" w:color="auto" w:fill="D9D9D9"/>
            <w:vAlign w:val="center"/>
          </w:tcPr>
          <w:p w:rsidR="001A2BB0" w:rsidRPr="00ED7B56" w:rsidRDefault="001A2BB0" w:rsidP="009D2CFB">
            <w:pPr>
              <w:pStyle w:val="Tablehead"/>
            </w:pPr>
            <w:r w:rsidRPr="00ED7B56">
              <w:t>1 = Very poor</w:t>
            </w:r>
          </w:p>
        </w:tc>
        <w:tc>
          <w:tcPr>
            <w:tcW w:w="1130" w:type="dxa"/>
            <w:shd w:val="clear" w:color="auto" w:fill="D9D9D9"/>
            <w:vAlign w:val="center"/>
          </w:tcPr>
          <w:p w:rsidR="001A2BB0" w:rsidRPr="00827E03" w:rsidRDefault="001A2BB0" w:rsidP="009D2CFB">
            <w:pPr>
              <w:pStyle w:val="Tablehead"/>
            </w:pPr>
            <w:r w:rsidRPr="00827E03">
              <w:t>2 = Poor</w:t>
            </w:r>
          </w:p>
        </w:tc>
        <w:tc>
          <w:tcPr>
            <w:tcW w:w="1701" w:type="dxa"/>
            <w:shd w:val="clear" w:color="auto" w:fill="D9D9D9"/>
            <w:vAlign w:val="center"/>
          </w:tcPr>
          <w:p w:rsidR="001A2BB0" w:rsidRPr="00827E03" w:rsidRDefault="001A2BB0" w:rsidP="009D2CFB">
            <w:pPr>
              <w:pStyle w:val="Tablehead"/>
            </w:pPr>
            <w:r w:rsidRPr="00827E03">
              <w:t>3 = Acceptable</w:t>
            </w:r>
          </w:p>
        </w:tc>
        <w:tc>
          <w:tcPr>
            <w:tcW w:w="1546" w:type="dxa"/>
            <w:shd w:val="clear" w:color="auto" w:fill="D9D9D9"/>
            <w:vAlign w:val="center"/>
          </w:tcPr>
          <w:p w:rsidR="001A2BB0" w:rsidRPr="00827E03" w:rsidRDefault="001A2BB0" w:rsidP="009D2CFB">
            <w:pPr>
              <w:pStyle w:val="Tablehead"/>
            </w:pPr>
            <w:r w:rsidRPr="00827E03">
              <w:t>4 = Very good</w:t>
            </w:r>
          </w:p>
        </w:tc>
        <w:tc>
          <w:tcPr>
            <w:tcW w:w="1376" w:type="dxa"/>
            <w:shd w:val="clear" w:color="auto" w:fill="D9D9D9"/>
            <w:vAlign w:val="center"/>
          </w:tcPr>
          <w:p w:rsidR="001A2BB0" w:rsidRPr="00827E03" w:rsidRDefault="001A2BB0" w:rsidP="009D2CFB">
            <w:pPr>
              <w:pStyle w:val="Tablehead"/>
            </w:pPr>
            <w:r w:rsidRPr="00827E03">
              <w:t>5 = Excellent</w:t>
            </w:r>
          </w:p>
        </w:tc>
      </w:tr>
    </w:tbl>
    <w:p w:rsidR="001A2BB0" w:rsidRDefault="001A2BB0" w:rsidP="000C109B">
      <w:pPr>
        <w:pStyle w:val="BodyText"/>
      </w:pPr>
    </w:p>
    <w:p w:rsidR="00EC6F11" w:rsidRDefault="00EC6F11" w:rsidP="000C109B">
      <w:pPr>
        <w:pStyle w:val="BodyText"/>
        <w:sectPr w:rsidR="00EC6F11" w:rsidSect="00FD5F1B">
          <w:pgSz w:w="11907" w:h="16840" w:code="9"/>
          <w:pgMar w:top="1134" w:right="1191" w:bottom="1418" w:left="1191" w:header="567" w:footer="680" w:gutter="0"/>
          <w:cols w:space="720"/>
          <w:formProt w:val="0"/>
          <w:noEndnote/>
          <w:docGrid w:linePitch="299"/>
        </w:sectPr>
      </w:pPr>
    </w:p>
    <w:p w:rsidR="0000471A" w:rsidRPr="009F10FF" w:rsidRDefault="0000471A" w:rsidP="00CA3D02">
      <w:pPr>
        <w:pStyle w:val="Heading5nonavigation"/>
      </w:pPr>
      <w:r w:rsidRPr="007E65F4">
        <w:rPr>
          <w:rStyle w:val="emphasisbold"/>
          <w:b w:val="0"/>
        </w:rPr>
        <w:lastRenderedPageBreak/>
        <w:t>Did the Annual Report achieve its communication objectives</w:t>
      </w:r>
      <w:r w:rsidRPr="009F10FF">
        <w:t>?</w:t>
      </w:r>
      <w:r w:rsidRPr="007E65F4">
        <w:rPr>
          <w:rFonts w:ascii="MetaBookLF-Roman" w:hAnsi="MetaBookLF-Roman"/>
        </w:rPr>
        <w:t xml:space="preserve"> (</w:t>
      </w:r>
      <w:proofErr w:type="gramStart"/>
      <w:r w:rsidRPr="007E65F4">
        <w:rPr>
          <w:rFonts w:ascii="MetaBookLF-Roman" w:hAnsi="MetaBookLF-Roman"/>
        </w:rPr>
        <w:t>see</w:t>
      </w:r>
      <w:proofErr w:type="gramEnd"/>
      <w:r w:rsidRPr="007E65F4">
        <w:rPr>
          <w:rFonts w:ascii="MetaBookLF-Roman" w:hAnsi="MetaBookLF-Roman"/>
        </w:rPr>
        <w:t xml:space="preserve"> </w:t>
      </w:r>
      <w:r w:rsidR="004C23FB">
        <w:rPr>
          <w:rFonts w:ascii="MetaBookLF-Roman" w:hAnsi="MetaBookLF-Roman"/>
        </w:rPr>
        <w:t xml:space="preserve">page </w:t>
      </w:r>
      <w:r w:rsidR="004C23FB">
        <w:rPr>
          <w:rFonts w:ascii="MetaBookLF-Roman" w:hAnsi="MetaBookLF-Roman"/>
        </w:rPr>
        <w:fldChar w:fldCharType="begin"/>
      </w:r>
      <w:r w:rsidR="004C23FB">
        <w:rPr>
          <w:rFonts w:ascii="MetaBookLF-Roman" w:hAnsi="MetaBookLF-Roman"/>
        </w:rPr>
        <w:instrText xml:space="preserve"> PAGEREF _Ref363135631 \h </w:instrText>
      </w:r>
      <w:r w:rsidR="004C23FB">
        <w:rPr>
          <w:rFonts w:ascii="MetaBookLF-Roman" w:hAnsi="MetaBookLF-Roman"/>
        </w:rPr>
      </w:r>
      <w:r w:rsidR="004C23FB">
        <w:rPr>
          <w:rFonts w:ascii="MetaBookLF-Roman" w:hAnsi="MetaBookLF-Roman"/>
        </w:rPr>
        <w:fldChar w:fldCharType="separate"/>
      </w:r>
      <w:r w:rsidR="00C41AFC">
        <w:rPr>
          <w:rFonts w:ascii="MetaBookLF-Roman" w:hAnsi="MetaBookLF-Roman"/>
          <w:noProof/>
        </w:rPr>
        <w:t>2</w:t>
      </w:r>
      <w:r w:rsidR="004C23FB">
        <w:rPr>
          <w:rFonts w:ascii="MetaBookLF-Roman" w:hAnsi="MetaBookLF-Roman"/>
        </w:rPr>
        <w:fldChar w:fldCharType="end"/>
      </w:r>
      <w:r w:rsidRPr="007E65F4">
        <w:rPr>
          <w:rFonts w:ascii="MetaBookLF-Roman" w:hAnsi="MetaBookLF-Roman"/>
        </w:rPr>
        <w:t>)</w:t>
      </w:r>
    </w:p>
    <w:p w:rsidR="0000471A" w:rsidRPr="006C4289" w:rsidRDefault="00EC6F11" w:rsidP="00C729EF">
      <w:pPr>
        <w:pBdr>
          <w:top w:val="single" w:sz="4" w:space="1" w:color="auto"/>
        </w:pBdr>
        <w:tabs>
          <w:tab w:val="left" w:pos="284"/>
          <w:tab w:val="left" w:pos="993"/>
          <w:tab w:val="left" w:pos="1701"/>
          <w:tab w:val="left" w:pos="2410"/>
          <w:tab w:val="left" w:pos="3119"/>
          <w:tab w:val="left" w:pos="3828"/>
        </w:tabs>
        <w:spacing w:before="100"/>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9F10FF" w:rsidRDefault="0000471A" w:rsidP="00CA3D02">
      <w:pPr>
        <w:pStyle w:val="Heading5nonavigation"/>
        <w:spacing w:before="280"/>
      </w:pPr>
      <w:r w:rsidRPr="006161FA">
        <w:t>What did you think of the content?</w:t>
      </w:r>
    </w:p>
    <w:p w:rsidR="0000471A" w:rsidRPr="006C4289" w:rsidRDefault="0000471A" w:rsidP="000C109B">
      <w:pPr>
        <w:pStyle w:val="BodyText"/>
      </w:pPr>
      <w:r w:rsidRPr="006C4289">
        <w:rPr>
          <w:sz w:val="20"/>
        </w:rPr>
        <w:t>Value of information</w:t>
      </w:r>
    </w:p>
    <w:p w:rsidR="0000471A" w:rsidRPr="006C4289" w:rsidRDefault="00EC6F11" w:rsidP="00C729EF">
      <w:pPr>
        <w:pBdr>
          <w:top w:val="single" w:sz="4" w:space="1" w:color="auto"/>
        </w:pBdr>
        <w:tabs>
          <w:tab w:val="left" w:pos="284"/>
          <w:tab w:val="left" w:pos="993"/>
          <w:tab w:val="left" w:pos="1701"/>
          <w:tab w:val="left" w:pos="2410"/>
          <w:tab w:val="left" w:pos="3119"/>
          <w:tab w:val="left" w:pos="3828"/>
        </w:tabs>
        <w:spacing w:before="60"/>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6C4289" w:rsidRDefault="0000471A" w:rsidP="000C109B">
      <w:pPr>
        <w:pStyle w:val="BodyText"/>
      </w:pPr>
      <w:r w:rsidRPr="006C4289">
        <w:t>Presentation</w:t>
      </w:r>
    </w:p>
    <w:p w:rsidR="0000471A" w:rsidRPr="006C4289" w:rsidRDefault="00EC6F11" w:rsidP="00C729EF">
      <w:pPr>
        <w:pBdr>
          <w:top w:val="single" w:sz="4" w:space="1" w:color="auto"/>
        </w:pBdr>
        <w:tabs>
          <w:tab w:val="left" w:pos="284"/>
          <w:tab w:val="left" w:pos="993"/>
          <w:tab w:val="left" w:pos="1701"/>
          <w:tab w:val="left" w:pos="2410"/>
          <w:tab w:val="left" w:pos="3119"/>
          <w:tab w:val="left" w:pos="3828"/>
        </w:tabs>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9F10FF" w:rsidRDefault="0000471A" w:rsidP="00C729EF">
      <w:pPr>
        <w:pStyle w:val="Heading5nonavigation"/>
        <w:spacing w:before="360"/>
      </w:pPr>
      <w:r w:rsidRPr="006161FA">
        <w:t>Did the design of the report make it easy to read?</w:t>
      </w:r>
    </w:p>
    <w:p w:rsidR="0000471A" w:rsidRPr="006C4289" w:rsidRDefault="0000471A" w:rsidP="000C109B">
      <w:pPr>
        <w:pStyle w:val="BodyText"/>
      </w:pPr>
      <w:r w:rsidRPr="006C4289">
        <w:rPr>
          <w:sz w:val="20"/>
        </w:rPr>
        <w:t>Layout of information</w:t>
      </w:r>
    </w:p>
    <w:p w:rsidR="0000471A" w:rsidRPr="006C4289" w:rsidRDefault="00EC6F11" w:rsidP="00C729EF">
      <w:pPr>
        <w:pBdr>
          <w:top w:val="single" w:sz="4" w:space="1" w:color="auto"/>
        </w:pBdr>
        <w:tabs>
          <w:tab w:val="left" w:pos="284"/>
          <w:tab w:val="left" w:pos="993"/>
          <w:tab w:val="left" w:pos="1701"/>
          <w:tab w:val="left" w:pos="2410"/>
          <w:tab w:val="left" w:pos="3119"/>
          <w:tab w:val="left" w:pos="3828"/>
        </w:tabs>
        <w:spacing w:before="100"/>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6C4289" w:rsidRDefault="0000471A" w:rsidP="000C109B">
      <w:pPr>
        <w:pStyle w:val="BodyText"/>
      </w:pPr>
      <w:r w:rsidRPr="006C4289">
        <w:t>Type and colour</w:t>
      </w:r>
    </w:p>
    <w:p w:rsidR="0000471A" w:rsidRPr="006C4289" w:rsidRDefault="00EC6F11" w:rsidP="00C729EF">
      <w:pPr>
        <w:pBdr>
          <w:top w:val="single" w:sz="4" w:space="1" w:color="auto"/>
        </w:pBdr>
        <w:tabs>
          <w:tab w:val="left" w:pos="284"/>
          <w:tab w:val="left" w:pos="993"/>
          <w:tab w:val="left" w:pos="1701"/>
          <w:tab w:val="left" w:pos="2410"/>
          <w:tab w:val="left" w:pos="3119"/>
          <w:tab w:val="left" w:pos="3828"/>
        </w:tabs>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9F10FF" w:rsidRDefault="0000471A" w:rsidP="00C729EF">
      <w:pPr>
        <w:pStyle w:val="Heading5nonavigation"/>
        <w:spacing w:before="840"/>
      </w:pPr>
      <w:r w:rsidRPr="006161FA">
        <w:t>Overall, how would you rate the report?</w:t>
      </w:r>
    </w:p>
    <w:p w:rsidR="0000471A" w:rsidRPr="006C4289" w:rsidRDefault="00EC6F11" w:rsidP="00C729EF">
      <w:pPr>
        <w:pBdr>
          <w:top w:val="single" w:sz="4" w:space="1" w:color="auto"/>
        </w:pBdr>
        <w:tabs>
          <w:tab w:val="left" w:pos="284"/>
          <w:tab w:val="left" w:pos="993"/>
          <w:tab w:val="left" w:pos="1701"/>
          <w:tab w:val="left" w:pos="2410"/>
          <w:tab w:val="left" w:pos="3119"/>
          <w:tab w:val="left" w:pos="3828"/>
        </w:tabs>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1A2BB0" w:rsidRDefault="001A2BB0" w:rsidP="00C729EF">
      <w:pPr>
        <w:spacing w:before="1360"/>
      </w:pPr>
    </w:p>
    <w:tbl>
      <w:tblPr>
        <w:tblStyle w:val="TableGrid"/>
        <w:tblW w:w="4900" w:type="pct"/>
        <w:tblInd w:w="113" w:type="dxa"/>
        <w:shd w:val="clear" w:color="auto" w:fill="F2F2F2" w:themeFill="background2"/>
        <w:tblLook w:val="04A0" w:firstRow="1" w:lastRow="0" w:firstColumn="1" w:lastColumn="0" w:noHBand="0" w:noVBand="1"/>
      </w:tblPr>
      <w:tblGrid>
        <w:gridCol w:w="4526"/>
      </w:tblGrid>
      <w:tr w:rsidR="0000471A" w:rsidTr="0000471A">
        <w:tc>
          <w:tcPr>
            <w:tcW w:w="9287" w:type="dxa"/>
            <w:shd w:val="clear" w:color="auto" w:fill="F2F2F2" w:themeFill="background2"/>
          </w:tcPr>
          <w:p w:rsidR="0000471A" w:rsidRPr="00CA3D02" w:rsidRDefault="0000471A" w:rsidP="005B5580">
            <w:pPr>
              <w:pStyle w:val="Heading5nonavigation"/>
            </w:pPr>
            <w:r w:rsidRPr="00CA3D02">
              <w:t xml:space="preserve">Please </w:t>
            </w:r>
            <w:r w:rsidRPr="005B5580">
              <w:t>return</w:t>
            </w:r>
            <w:r w:rsidRPr="00CA3D02">
              <w:t xml:space="preserve"> to:</w:t>
            </w:r>
          </w:p>
          <w:p w:rsidR="0000471A" w:rsidRPr="009D1451" w:rsidRDefault="0000471A" w:rsidP="009D1451">
            <w:pPr>
              <w:pStyle w:val="Districtaddressblock"/>
            </w:pPr>
            <w:r w:rsidRPr="009D1451">
              <w:t>Policy Coordination</w:t>
            </w:r>
            <w:r w:rsidR="00CB40E5" w:rsidRPr="009D1451">
              <w:t xml:space="preserve"> Branch</w:t>
            </w:r>
          </w:p>
          <w:p w:rsidR="0000471A" w:rsidRPr="009D1451" w:rsidRDefault="00D50727" w:rsidP="009D1451">
            <w:pPr>
              <w:pStyle w:val="Districtaddressblock"/>
            </w:pPr>
            <w:r w:rsidRPr="009D1451">
              <w:t>Queensland Curriculum &amp; Assessment</w:t>
            </w:r>
            <w:r w:rsidR="0000471A" w:rsidRPr="009D1451">
              <w:t xml:space="preserve"> Authority</w:t>
            </w:r>
          </w:p>
          <w:p w:rsidR="0000471A" w:rsidRPr="009D1451" w:rsidRDefault="0000471A" w:rsidP="009D1451">
            <w:pPr>
              <w:pStyle w:val="Districtaddressblock"/>
            </w:pPr>
            <w:r w:rsidRPr="009D1451">
              <w:t>Reply Paid 307, Spring Hill</w:t>
            </w:r>
            <w:r w:rsidRPr="009D1451">
              <w:t> </w:t>
            </w:r>
            <w:r w:rsidRPr="009D1451">
              <w:t>QLD</w:t>
            </w:r>
            <w:r w:rsidRPr="009D1451">
              <w:t> </w:t>
            </w:r>
            <w:r w:rsidRPr="009D1451">
              <w:t>4004</w:t>
            </w:r>
          </w:p>
          <w:p w:rsidR="009D1451" w:rsidRPr="009D1451" w:rsidRDefault="009D1451" w:rsidP="009D1451">
            <w:pPr>
              <w:pStyle w:val="Districtaddressblock"/>
            </w:pPr>
            <w:r w:rsidRPr="009D1451">
              <w:t>Fax:</w:t>
            </w:r>
            <w:r w:rsidRPr="009D1451">
              <w:tab/>
            </w:r>
            <w:r w:rsidR="006642AF" w:rsidRPr="009D1451">
              <w:t>(07) 3864 0406</w:t>
            </w:r>
          </w:p>
          <w:p w:rsidR="009D1451" w:rsidRDefault="009D1451" w:rsidP="009D1451">
            <w:pPr>
              <w:pStyle w:val="Districtaddressblock"/>
            </w:pPr>
            <w:r w:rsidRPr="009D1451">
              <w:t>email:</w:t>
            </w:r>
            <w:r w:rsidRPr="009D1451">
              <w:tab/>
              <w:t>office@</w:t>
            </w:r>
            <w:r w:rsidR="00C22141">
              <w:t>qcaa</w:t>
            </w:r>
            <w:r w:rsidR="00E460C2">
              <w:t>.</w:t>
            </w:r>
            <w:r w:rsidRPr="009D1451">
              <w:t>qld.edu.au</w:t>
            </w:r>
          </w:p>
        </w:tc>
      </w:tr>
    </w:tbl>
    <w:p w:rsidR="0000471A" w:rsidRPr="007E65F4" w:rsidRDefault="005D76D6" w:rsidP="00463918">
      <w:pPr>
        <w:pStyle w:val="Heading5nonavigation"/>
        <w:rPr>
          <w:rStyle w:val="emphasisbold"/>
          <w:b w:val="0"/>
        </w:rPr>
      </w:pPr>
      <w:r>
        <w:br w:type="column"/>
      </w:r>
      <w:r w:rsidR="0000471A" w:rsidRPr="007E65F4">
        <w:rPr>
          <w:rStyle w:val="emphasisbold"/>
          <w:b w:val="0"/>
        </w:rPr>
        <w:lastRenderedPageBreak/>
        <w:t>What client group do you come from?</w:t>
      </w:r>
    </w:p>
    <w:p w:rsidR="008C6A52" w:rsidRDefault="0000471A" w:rsidP="00C729EF">
      <w:pPr>
        <w:pStyle w:val="BodyText"/>
        <w:spacing w:line="240" w:lineRule="auto"/>
      </w:pPr>
      <w:r w:rsidRPr="006C4289">
        <w:rPr>
          <w:sz w:val="16"/>
          <w:szCs w:val="16"/>
        </w:rPr>
        <w:t>(Please tick appropriate box)</w:t>
      </w:r>
    </w:p>
    <w:p w:rsidR="0000471A" w:rsidRPr="007E65F4" w:rsidRDefault="0000471A" w:rsidP="00C729EF">
      <w:pPr>
        <w:pBdr>
          <w:top w:val="single" w:sz="4" w:space="1" w:color="auto"/>
        </w:pBdr>
        <w:spacing w:before="60" w:after="40"/>
        <w:rPr>
          <w:rStyle w:val="emphasisbold"/>
          <w:sz w:val="20"/>
          <w:szCs w:val="20"/>
        </w:rPr>
      </w:pPr>
      <w:r w:rsidRPr="007E65F4">
        <w:rPr>
          <w:rStyle w:val="emphasisbold"/>
          <w:sz w:val="20"/>
          <w:szCs w:val="20"/>
        </w:rPr>
        <w:t>School staff</w:t>
      </w:r>
    </w:p>
    <w:p w:rsidR="0000471A" w:rsidRPr="00C729EF" w:rsidRDefault="0000471A" w:rsidP="00C729EF">
      <w:pPr>
        <w:tabs>
          <w:tab w:val="right" w:pos="4395"/>
        </w:tabs>
        <w:spacing w:before="40" w:after="40" w:line="220" w:lineRule="atLeast"/>
        <w:rPr>
          <w:sz w:val="20"/>
        </w:rPr>
      </w:pPr>
      <w:r w:rsidRPr="006C4289">
        <w:rPr>
          <w:sz w:val="20"/>
        </w:rPr>
        <w:t>State</w:t>
      </w:r>
      <w:r w:rsidRPr="006C4289">
        <w:rPr>
          <w:sz w:val="20"/>
        </w:rPr>
        <w:tab/>
      </w:r>
      <w:r w:rsidRPr="006C4289">
        <w:rPr>
          <w:sz w:val="20"/>
        </w:rPr>
        <w:sym w:font="Wingdings" w:char="F06F"/>
      </w:r>
    </w:p>
    <w:p w:rsidR="0000471A" w:rsidRPr="006C4289" w:rsidRDefault="0000471A" w:rsidP="00C729EF">
      <w:pPr>
        <w:tabs>
          <w:tab w:val="right" w:pos="4395"/>
        </w:tabs>
        <w:spacing w:before="40" w:after="40" w:line="220" w:lineRule="atLeast"/>
        <w:rPr>
          <w:sz w:val="20"/>
        </w:rPr>
      </w:pPr>
      <w:r w:rsidRPr="006C4289">
        <w:rPr>
          <w:sz w:val="20"/>
        </w:rPr>
        <w:t>Catholic</w:t>
      </w:r>
      <w:r w:rsidRPr="006C4289">
        <w:rPr>
          <w:sz w:val="20"/>
        </w:rPr>
        <w:tab/>
      </w:r>
      <w:r w:rsidRPr="006C4289">
        <w:rPr>
          <w:sz w:val="20"/>
        </w:rPr>
        <w:sym w:font="Wingdings" w:char="F06F"/>
      </w:r>
    </w:p>
    <w:p w:rsidR="0000471A" w:rsidRPr="00C729EF" w:rsidRDefault="0000471A" w:rsidP="00C729EF">
      <w:pPr>
        <w:tabs>
          <w:tab w:val="right" w:pos="4395"/>
        </w:tabs>
        <w:spacing w:before="40" w:after="40" w:line="220" w:lineRule="atLeast"/>
        <w:rPr>
          <w:sz w:val="20"/>
        </w:rPr>
      </w:pPr>
      <w:r w:rsidRPr="006C4289">
        <w:rPr>
          <w:sz w:val="20"/>
        </w:rPr>
        <w:t>Independent</w:t>
      </w:r>
      <w:r w:rsidRPr="006C4289">
        <w:rPr>
          <w:sz w:val="20"/>
        </w:rPr>
        <w:tab/>
      </w:r>
      <w:r w:rsidRPr="006C4289">
        <w:rPr>
          <w:sz w:val="20"/>
        </w:rPr>
        <w:sym w:font="Wingdings" w:char="F06F"/>
      </w:r>
    </w:p>
    <w:p w:rsidR="0000471A" w:rsidRPr="00C729EF" w:rsidRDefault="0000471A" w:rsidP="00C729EF">
      <w:pPr>
        <w:pBdr>
          <w:top w:val="single" w:sz="4" w:space="1" w:color="auto"/>
        </w:pBdr>
        <w:spacing w:after="40"/>
        <w:rPr>
          <w:rStyle w:val="emphasisbold"/>
          <w:sz w:val="20"/>
          <w:szCs w:val="20"/>
        </w:rPr>
      </w:pPr>
      <w:r w:rsidRPr="007E65F4">
        <w:rPr>
          <w:rStyle w:val="emphasisbold"/>
          <w:sz w:val="20"/>
          <w:szCs w:val="20"/>
        </w:rPr>
        <w:t>Student</w:t>
      </w:r>
    </w:p>
    <w:p w:rsidR="0000471A" w:rsidRPr="00C729EF" w:rsidRDefault="0000471A" w:rsidP="00C729EF">
      <w:pPr>
        <w:tabs>
          <w:tab w:val="right" w:pos="4395"/>
        </w:tabs>
        <w:spacing w:before="40" w:after="40" w:line="220" w:lineRule="atLeast"/>
        <w:rPr>
          <w:sz w:val="20"/>
        </w:rPr>
      </w:pPr>
      <w:r w:rsidRPr="006C4289">
        <w:rPr>
          <w:sz w:val="20"/>
        </w:rPr>
        <w:t>Secondary</w:t>
      </w:r>
      <w:r w:rsidRPr="006C4289">
        <w:rPr>
          <w:sz w:val="20"/>
        </w:rPr>
        <w:tab/>
      </w:r>
      <w:r w:rsidRPr="006C4289">
        <w:rPr>
          <w:sz w:val="20"/>
        </w:rPr>
        <w:sym w:font="Wingdings" w:char="F06F"/>
      </w:r>
    </w:p>
    <w:p w:rsidR="0000471A" w:rsidRPr="00C729EF" w:rsidRDefault="0000471A" w:rsidP="00C729EF">
      <w:pPr>
        <w:tabs>
          <w:tab w:val="right" w:pos="4395"/>
        </w:tabs>
        <w:spacing w:before="40" w:after="40" w:line="220" w:lineRule="atLeast"/>
        <w:rPr>
          <w:sz w:val="20"/>
        </w:rPr>
      </w:pPr>
      <w:r w:rsidRPr="006C4289">
        <w:rPr>
          <w:sz w:val="20"/>
        </w:rPr>
        <w:t>Tertiary</w:t>
      </w:r>
      <w:r w:rsidRPr="006C4289">
        <w:rPr>
          <w:sz w:val="20"/>
        </w:rPr>
        <w:tab/>
      </w:r>
      <w:r w:rsidRPr="006C4289">
        <w:rPr>
          <w:sz w:val="20"/>
        </w:rPr>
        <w:sym w:font="Wingdings" w:char="F06F"/>
      </w:r>
    </w:p>
    <w:p w:rsidR="0000471A" w:rsidRPr="00C729EF" w:rsidRDefault="0000471A" w:rsidP="00C729EF">
      <w:pPr>
        <w:tabs>
          <w:tab w:val="right" w:pos="4395"/>
        </w:tabs>
        <w:spacing w:before="40" w:after="40" w:line="220" w:lineRule="atLeast"/>
        <w:rPr>
          <w:sz w:val="20"/>
        </w:rPr>
      </w:pPr>
      <w:r w:rsidRPr="006C4289">
        <w:rPr>
          <w:sz w:val="20"/>
        </w:rPr>
        <w:t>Education authority</w:t>
      </w:r>
      <w:r w:rsidRPr="006C4289">
        <w:rPr>
          <w:sz w:val="20"/>
        </w:rPr>
        <w:tab/>
      </w:r>
      <w:r w:rsidRPr="006C4289">
        <w:rPr>
          <w:sz w:val="20"/>
        </w:rPr>
        <w:sym w:font="Wingdings" w:char="F06F"/>
      </w:r>
    </w:p>
    <w:p w:rsidR="0000471A" w:rsidRPr="00C729EF" w:rsidRDefault="0000471A" w:rsidP="00C729EF">
      <w:pPr>
        <w:tabs>
          <w:tab w:val="right" w:pos="4395"/>
        </w:tabs>
        <w:spacing w:before="40" w:after="40" w:line="220" w:lineRule="atLeast"/>
        <w:rPr>
          <w:sz w:val="20"/>
        </w:rPr>
      </w:pPr>
      <w:r w:rsidRPr="006C4289">
        <w:rPr>
          <w:sz w:val="20"/>
        </w:rPr>
        <w:t>Stat</w:t>
      </w:r>
      <w:r>
        <w:rPr>
          <w:sz w:val="20"/>
        </w:rPr>
        <w:t>e</w:t>
      </w:r>
      <w:r w:rsidRPr="006C4289">
        <w:rPr>
          <w:sz w:val="20"/>
        </w:rPr>
        <w:tab/>
      </w:r>
      <w:r w:rsidRPr="006C4289">
        <w:rPr>
          <w:sz w:val="20"/>
        </w:rPr>
        <w:sym w:font="Wingdings" w:char="F06F"/>
      </w:r>
    </w:p>
    <w:p w:rsidR="0000471A" w:rsidRPr="00C729EF" w:rsidRDefault="0000471A" w:rsidP="00C729EF">
      <w:pPr>
        <w:tabs>
          <w:tab w:val="right" w:pos="4395"/>
        </w:tabs>
        <w:spacing w:before="40" w:after="40" w:line="220" w:lineRule="atLeast"/>
        <w:rPr>
          <w:sz w:val="20"/>
        </w:rPr>
      </w:pPr>
      <w:r w:rsidRPr="006C4289">
        <w:rPr>
          <w:sz w:val="20"/>
        </w:rPr>
        <w:t>Catholic</w:t>
      </w:r>
      <w:r w:rsidRPr="006C4289">
        <w:rPr>
          <w:sz w:val="20"/>
        </w:rPr>
        <w:tab/>
      </w:r>
      <w:r w:rsidRPr="006C4289">
        <w:rPr>
          <w:sz w:val="20"/>
        </w:rPr>
        <w:sym w:font="Wingdings" w:char="F06F"/>
      </w:r>
    </w:p>
    <w:p w:rsidR="0000471A" w:rsidRPr="00C729EF" w:rsidRDefault="0000471A" w:rsidP="00C729EF">
      <w:pPr>
        <w:tabs>
          <w:tab w:val="right" w:pos="4395"/>
        </w:tabs>
        <w:spacing w:before="40" w:after="40" w:line="220" w:lineRule="atLeast"/>
        <w:rPr>
          <w:sz w:val="20"/>
        </w:rPr>
      </w:pPr>
      <w:r w:rsidRPr="006C4289">
        <w:rPr>
          <w:sz w:val="20"/>
        </w:rPr>
        <w:t>Independent</w:t>
      </w:r>
      <w:r w:rsidRPr="006C4289">
        <w:rPr>
          <w:sz w:val="20"/>
        </w:rPr>
        <w:tab/>
      </w:r>
      <w:r w:rsidRPr="006C4289">
        <w:rPr>
          <w:sz w:val="20"/>
        </w:rPr>
        <w:sym w:font="Wingdings" w:char="F06F"/>
      </w:r>
    </w:p>
    <w:p w:rsidR="0000471A" w:rsidRPr="00C729EF" w:rsidRDefault="0000471A" w:rsidP="00C729EF">
      <w:pPr>
        <w:pBdr>
          <w:top w:val="single" w:sz="4" w:space="1" w:color="auto"/>
        </w:pBdr>
        <w:spacing w:after="40"/>
        <w:rPr>
          <w:rStyle w:val="emphasisbold"/>
          <w:sz w:val="20"/>
          <w:szCs w:val="20"/>
        </w:rPr>
      </w:pPr>
      <w:r w:rsidRPr="007E65F4">
        <w:rPr>
          <w:rStyle w:val="emphasisbold"/>
          <w:sz w:val="20"/>
          <w:szCs w:val="20"/>
        </w:rPr>
        <w:t>Parent</w:t>
      </w:r>
    </w:p>
    <w:p w:rsidR="0000471A" w:rsidRPr="00C729EF" w:rsidRDefault="0000471A" w:rsidP="00C729EF">
      <w:pPr>
        <w:tabs>
          <w:tab w:val="right" w:pos="4395"/>
        </w:tabs>
        <w:spacing w:before="40" w:after="40" w:line="220" w:lineRule="atLeast"/>
        <w:rPr>
          <w:sz w:val="20"/>
        </w:rPr>
      </w:pPr>
      <w:r w:rsidRPr="006C4289">
        <w:rPr>
          <w:sz w:val="20"/>
        </w:rPr>
        <w:t>State</w:t>
      </w:r>
      <w:r w:rsidRPr="006C4289">
        <w:rPr>
          <w:sz w:val="20"/>
        </w:rPr>
        <w:tab/>
      </w:r>
      <w:r w:rsidRPr="006C4289">
        <w:rPr>
          <w:sz w:val="20"/>
        </w:rPr>
        <w:sym w:font="Wingdings" w:char="F06F"/>
      </w:r>
    </w:p>
    <w:p w:rsidR="0000471A" w:rsidRPr="006C4289" w:rsidRDefault="0000471A" w:rsidP="00C729EF">
      <w:pPr>
        <w:tabs>
          <w:tab w:val="right" w:pos="4395"/>
        </w:tabs>
        <w:spacing w:before="40" w:after="40" w:line="220" w:lineRule="atLeast"/>
        <w:rPr>
          <w:sz w:val="20"/>
        </w:rPr>
      </w:pPr>
      <w:r w:rsidRPr="006C4289">
        <w:rPr>
          <w:sz w:val="20"/>
        </w:rPr>
        <w:t>Catholic</w:t>
      </w:r>
      <w:r w:rsidRPr="006C4289">
        <w:rPr>
          <w:sz w:val="20"/>
        </w:rPr>
        <w:tab/>
      </w:r>
      <w:r w:rsidRPr="006C4289">
        <w:rPr>
          <w:sz w:val="20"/>
        </w:rPr>
        <w:sym w:font="Wingdings" w:char="F06F"/>
      </w:r>
    </w:p>
    <w:p w:rsidR="0000471A" w:rsidRPr="00C729EF" w:rsidRDefault="0000471A" w:rsidP="00C729EF">
      <w:pPr>
        <w:tabs>
          <w:tab w:val="right" w:pos="4395"/>
        </w:tabs>
        <w:spacing w:before="40" w:after="40" w:line="220" w:lineRule="atLeast"/>
        <w:rPr>
          <w:sz w:val="20"/>
        </w:rPr>
      </w:pPr>
      <w:r w:rsidRPr="006C4289">
        <w:rPr>
          <w:sz w:val="20"/>
        </w:rPr>
        <w:t>Independent</w:t>
      </w:r>
      <w:r w:rsidRPr="006C4289">
        <w:rPr>
          <w:sz w:val="20"/>
        </w:rPr>
        <w:tab/>
      </w:r>
      <w:r w:rsidRPr="006C4289">
        <w:rPr>
          <w:sz w:val="20"/>
        </w:rPr>
        <w:sym w:font="Wingdings" w:char="F06F"/>
      </w:r>
    </w:p>
    <w:p w:rsidR="0000471A" w:rsidRPr="00C729EF" w:rsidRDefault="0000471A" w:rsidP="00C729EF">
      <w:pPr>
        <w:pBdr>
          <w:top w:val="single" w:sz="4" w:space="1" w:color="auto"/>
        </w:pBdr>
        <w:spacing w:after="40"/>
        <w:rPr>
          <w:rStyle w:val="emphasisbold"/>
          <w:sz w:val="20"/>
          <w:szCs w:val="20"/>
        </w:rPr>
      </w:pPr>
      <w:r w:rsidRPr="007E65F4">
        <w:rPr>
          <w:rStyle w:val="emphasisbold"/>
          <w:sz w:val="20"/>
          <w:szCs w:val="20"/>
        </w:rPr>
        <w:t>Tertiary</w:t>
      </w:r>
      <w:r w:rsidRPr="00C729EF">
        <w:rPr>
          <w:rStyle w:val="emphasisbold"/>
          <w:sz w:val="20"/>
          <w:szCs w:val="20"/>
        </w:rPr>
        <w:t xml:space="preserve"> </w:t>
      </w:r>
      <w:r w:rsidRPr="007E65F4">
        <w:rPr>
          <w:rStyle w:val="emphasisbold"/>
          <w:sz w:val="20"/>
          <w:szCs w:val="20"/>
        </w:rPr>
        <w:t>institution</w:t>
      </w:r>
    </w:p>
    <w:p w:rsidR="0000471A" w:rsidRPr="00C729EF" w:rsidRDefault="0000471A" w:rsidP="00C729EF">
      <w:pPr>
        <w:tabs>
          <w:tab w:val="right" w:pos="4395"/>
        </w:tabs>
        <w:spacing w:before="40" w:after="40" w:line="220" w:lineRule="atLeast"/>
        <w:rPr>
          <w:sz w:val="20"/>
        </w:rPr>
      </w:pPr>
      <w:r w:rsidRPr="006C4289">
        <w:rPr>
          <w:sz w:val="20"/>
        </w:rPr>
        <w:t>University</w:t>
      </w:r>
      <w:r w:rsidRPr="006C4289">
        <w:rPr>
          <w:sz w:val="20"/>
        </w:rPr>
        <w:tab/>
      </w:r>
      <w:r w:rsidRPr="006C4289">
        <w:rPr>
          <w:sz w:val="20"/>
        </w:rPr>
        <w:sym w:font="Wingdings" w:char="F06F"/>
      </w:r>
    </w:p>
    <w:p w:rsidR="0000471A" w:rsidRPr="00C729EF" w:rsidRDefault="0000471A" w:rsidP="00C729EF">
      <w:pPr>
        <w:tabs>
          <w:tab w:val="right" w:pos="4395"/>
        </w:tabs>
        <w:spacing w:before="40" w:after="40" w:line="220" w:lineRule="atLeast"/>
        <w:rPr>
          <w:sz w:val="20"/>
        </w:rPr>
      </w:pPr>
      <w:r w:rsidRPr="006C4289">
        <w:rPr>
          <w:sz w:val="20"/>
        </w:rPr>
        <w:t>TAFE</w:t>
      </w:r>
      <w:r w:rsidRPr="006C4289">
        <w:rPr>
          <w:sz w:val="20"/>
        </w:rPr>
        <w:tab/>
      </w:r>
      <w:r w:rsidRPr="006C4289">
        <w:rPr>
          <w:sz w:val="20"/>
        </w:rPr>
        <w:sym w:font="Wingdings" w:char="F06F"/>
      </w:r>
    </w:p>
    <w:p w:rsidR="0000471A" w:rsidRPr="00C729EF" w:rsidRDefault="0000471A" w:rsidP="00C729EF">
      <w:pPr>
        <w:pBdr>
          <w:top w:val="single" w:sz="4" w:space="1" w:color="auto"/>
          <w:bottom w:val="single" w:sz="4" w:space="1" w:color="auto"/>
          <w:between w:val="single" w:sz="4" w:space="1" w:color="auto"/>
        </w:pBdr>
        <w:tabs>
          <w:tab w:val="right" w:pos="4395"/>
        </w:tabs>
        <w:spacing w:after="40"/>
        <w:rPr>
          <w:rStyle w:val="emphasisbold"/>
          <w:sz w:val="20"/>
          <w:szCs w:val="20"/>
        </w:rPr>
      </w:pPr>
      <w:r w:rsidRPr="007E65F4">
        <w:rPr>
          <w:rStyle w:val="emphasisbold"/>
          <w:sz w:val="20"/>
          <w:szCs w:val="20"/>
        </w:rPr>
        <w:t>Union</w:t>
      </w:r>
      <w:r w:rsidRPr="00C729EF">
        <w:rPr>
          <w:rStyle w:val="emphasisbold"/>
          <w:sz w:val="20"/>
          <w:szCs w:val="20"/>
        </w:rPr>
        <w:tab/>
      </w:r>
      <w:r w:rsidRPr="00C729EF">
        <w:rPr>
          <w:rStyle w:val="emphasisbold"/>
          <w:b w:val="0"/>
          <w:sz w:val="20"/>
          <w:szCs w:val="20"/>
        </w:rPr>
        <w:sym w:font="Wingdings" w:char="F06F"/>
      </w:r>
    </w:p>
    <w:p w:rsidR="0000471A" w:rsidRPr="00C729EF" w:rsidRDefault="0000471A" w:rsidP="00C729EF">
      <w:pPr>
        <w:pBdr>
          <w:top w:val="single" w:sz="4" w:space="1" w:color="auto"/>
          <w:bottom w:val="single" w:sz="4" w:space="1" w:color="auto"/>
          <w:between w:val="single" w:sz="4" w:space="1" w:color="auto"/>
        </w:pBdr>
        <w:tabs>
          <w:tab w:val="right" w:pos="4395"/>
        </w:tabs>
        <w:spacing w:after="40"/>
        <w:rPr>
          <w:rStyle w:val="emphasisbold"/>
          <w:sz w:val="20"/>
          <w:szCs w:val="20"/>
        </w:rPr>
      </w:pPr>
      <w:r w:rsidRPr="007E65F4">
        <w:rPr>
          <w:rStyle w:val="emphasisbold"/>
          <w:sz w:val="20"/>
          <w:szCs w:val="20"/>
        </w:rPr>
        <w:t>Employer</w:t>
      </w:r>
      <w:r w:rsidRPr="00C729EF">
        <w:rPr>
          <w:rStyle w:val="emphasisbold"/>
          <w:b w:val="0"/>
          <w:szCs w:val="20"/>
        </w:rPr>
        <w:tab/>
      </w:r>
      <w:r w:rsidRPr="00C729EF">
        <w:rPr>
          <w:rStyle w:val="emphasisbold"/>
          <w:b w:val="0"/>
          <w:szCs w:val="20"/>
        </w:rPr>
        <w:sym w:font="Wingdings" w:char="F06F"/>
      </w:r>
    </w:p>
    <w:p w:rsidR="0000471A" w:rsidRPr="00C729EF" w:rsidRDefault="0000471A" w:rsidP="00C729EF">
      <w:pPr>
        <w:pBdr>
          <w:top w:val="single" w:sz="4" w:space="1" w:color="auto"/>
          <w:bottom w:val="single" w:sz="4" w:space="1" w:color="auto"/>
          <w:between w:val="single" w:sz="4" w:space="1" w:color="auto"/>
        </w:pBdr>
        <w:tabs>
          <w:tab w:val="right" w:pos="4395"/>
        </w:tabs>
        <w:spacing w:before="40" w:after="40"/>
        <w:rPr>
          <w:rStyle w:val="emphasisbold"/>
          <w:sz w:val="20"/>
          <w:szCs w:val="20"/>
        </w:rPr>
      </w:pPr>
      <w:r w:rsidRPr="007E65F4">
        <w:rPr>
          <w:rStyle w:val="emphasisbold"/>
          <w:sz w:val="20"/>
          <w:szCs w:val="20"/>
        </w:rPr>
        <w:t>Queensland</w:t>
      </w:r>
      <w:r w:rsidRPr="00C729EF">
        <w:rPr>
          <w:rStyle w:val="emphasisbold"/>
          <w:sz w:val="20"/>
          <w:szCs w:val="20"/>
        </w:rPr>
        <w:t xml:space="preserve"> </w:t>
      </w:r>
      <w:r w:rsidRPr="007E65F4">
        <w:rPr>
          <w:rStyle w:val="emphasisbold"/>
          <w:sz w:val="20"/>
          <w:szCs w:val="20"/>
        </w:rPr>
        <w:t>Government</w:t>
      </w:r>
      <w:r w:rsidRPr="00C729EF">
        <w:rPr>
          <w:rStyle w:val="emphasisbold"/>
          <w:b w:val="0"/>
          <w:szCs w:val="20"/>
        </w:rPr>
        <w:tab/>
      </w:r>
      <w:r w:rsidRPr="00C729EF">
        <w:rPr>
          <w:rStyle w:val="emphasisbold"/>
          <w:b w:val="0"/>
          <w:szCs w:val="20"/>
        </w:rPr>
        <w:sym w:font="Wingdings" w:char="F06F"/>
      </w:r>
    </w:p>
    <w:p w:rsidR="0000471A" w:rsidRPr="00C81871" w:rsidRDefault="0000471A" w:rsidP="000C109B">
      <w:pPr>
        <w:pStyle w:val="BodyText"/>
      </w:pPr>
    </w:p>
    <w:p w:rsidR="0000471A" w:rsidRPr="007E65F4" w:rsidRDefault="0000471A" w:rsidP="00463918">
      <w:pPr>
        <w:pStyle w:val="Heading5nonavigation"/>
        <w:rPr>
          <w:rStyle w:val="emphasisbold"/>
          <w:b w:val="0"/>
        </w:rPr>
      </w:pPr>
      <w:r w:rsidRPr="007E65F4">
        <w:rPr>
          <w:rStyle w:val="emphasisbold"/>
          <w:b w:val="0"/>
        </w:rPr>
        <w:t>Other comments</w:t>
      </w:r>
    </w:p>
    <w:p w:rsidR="0000471A" w:rsidRPr="00C81871" w:rsidRDefault="0000471A" w:rsidP="00C729EF">
      <w:pPr>
        <w:pBdr>
          <w:bottom w:val="single" w:sz="4" w:space="1" w:color="auto"/>
          <w:between w:val="single" w:sz="4" w:space="1" w:color="auto"/>
        </w:pBdr>
        <w:tabs>
          <w:tab w:val="right" w:pos="3850"/>
        </w:tabs>
      </w:pPr>
    </w:p>
    <w:p w:rsidR="0000471A" w:rsidRPr="00C81871" w:rsidRDefault="0000471A" w:rsidP="00C729EF">
      <w:pPr>
        <w:pBdr>
          <w:bottom w:val="single" w:sz="4" w:space="1" w:color="auto"/>
          <w:between w:val="single" w:sz="4" w:space="1" w:color="auto"/>
        </w:pBdr>
        <w:tabs>
          <w:tab w:val="right" w:pos="3850"/>
        </w:tabs>
      </w:pPr>
    </w:p>
    <w:p w:rsidR="0000471A" w:rsidRPr="00C81871" w:rsidRDefault="0000471A" w:rsidP="00C729EF">
      <w:pPr>
        <w:pBdr>
          <w:bottom w:val="single" w:sz="4" w:space="1" w:color="auto"/>
          <w:between w:val="single" w:sz="4" w:space="1" w:color="auto"/>
        </w:pBdr>
        <w:tabs>
          <w:tab w:val="right" w:pos="3850"/>
        </w:tabs>
      </w:pPr>
    </w:p>
    <w:p w:rsidR="0000471A" w:rsidRDefault="0000471A" w:rsidP="00C729EF">
      <w:pPr>
        <w:pBdr>
          <w:bottom w:val="single" w:sz="4" w:space="1" w:color="auto"/>
          <w:between w:val="single" w:sz="4" w:space="1" w:color="auto"/>
        </w:pBdr>
        <w:tabs>
          <w:tab w:val="right" w:pos="3850"/>
        </w:tabs>
      </w:pPr>
    </w:p>
    <w:p w:rsidR="00D2637C" w:rsidRPr="00C81871" w:rsidRDefault="00D2637C" w:rsidP="00C729EF">
      <w:pPr>
        <w:pBdr>
          <w:bottom w:val="single" w:sz="4" w:space="1" w:color="auto"/>
          <w:between w:val="single" w:sz="4" w:space="1" w:color="auto"/>
        </w:pBdr>
        <w:tabs>
          <w:tab w:val="right" w:pos="3850"/>
        </w:tabs>
      </w:pPr>
    </w:p>
    <w:p w:rsidR="0000471A" w:rsidRPr="00C81871" w:rsidRDefault="0000471A" w:rsidP="000C109B">
      <w:pPr>
        <w:pStyle w:val="BodyText"/>
      </w:pPr>
    </w:p>
    <w:p w:rsidR="00E222DA" w:rsidRDefault="00E222DA" w:rsidP="000C109B">
      <w:pPr>
        <w:pStyle w:val="BodyText"/>
        <w:sectPr w:rsidR="00E222DA" w:rsidSect="00FD5F1B">
          <w:type w:val="continuous"/>
          <w:pgSz w:w="11907" w:h="16840" w:code="9"/>
          <w:pgMar w:top="1134" w:right="1191" w:bottom="1418" w:left="1191" w:header="567" w:footer="680" w:gutter="0"/>
          <w:cols w:num="2" w:space="720"/>
          <w:formProt w:val="0"/>
          <w:noEndnote/>
          <w:docGrid w:linePitch="299"/>
        </w:sectPr>
      </w:pPr>
    </w:p>
    <w:p w:rsidR="00E37680" w:rsidRDefault="00E37680">
      <w:r>
        <w:lastRenderedPageBreak/>
        <w:br w:type="page"/>
      </w:r>
    </w:p>
    <w:p w:rsidR="006846EF" w:rsidRDefault="00130182">
      <w:r>
        <w:lastRenderedPageBreak/>
        <w:br w:type="page"/>
      </w:r>
    </w:p>
    <w:p w:rsidR="0000471A" w:rsidRDefault="0000471A" w:rsidP="00894D26">
      <w:pPr>
        <w:pStyle w:val="TOCHeading"/>
        <w:ind w:left="0"/>
      </w:pPr>
      <w:bookmarkStart w:id="174" w:name="Abbreviations"/>
      <w:bookmarkEnd w:id="174"/>
      <w:r w:rsidRPr="0000471A">
        <w:lastRenderedPageBreak/>
        <w:t>Abbreviations and acronyms</w:t>
      </w:r>
    </w:p>
    <w:p w:rsidR="0000471A" w:rsidRPr="006161FA" w:rsidRDefault="0000471A" w:rsidP="00E64C91">
      <w:pPr>
        <w:pStyle w:val="Acronyms"/>
        <w:tabs>
          <w:tab w:val="clear" w:pos="1134"/>
          <w:tab w:val="left" w:pos="1247"/>
        </w:tabs>
        <w:spacing w:after="200"/>
        <w:ind w:left="1247" w:hanging="1247"/>
      </w:pPr>
      <w:r w:rsidRPr="00320FA2">
        <w:rPr>
          <w:rStyle w:val="emphasisbold"/>
        </w:rPr>
        <w:t>ACARA</w:t>
      </w:r>
      <w:r w:rsidRPr="009F10FF">
        <w:tab/>
        <w:t>Australian Curriculum, As</w:t>
      </w:r>
      <w:r w:rsidRPr="00ED7B56">
        <w:t xml:space="preserve">sessment </w:t>
      </w:r>
      <w:r w:rsidRPr="006161FA">
        <w:t>and Reporting Authority</w:t>
      </w:r>
    </w:p>
    <w:p w:rsidR="0000471A" w:rsidRPr="009F10FF" w:rsidRDefault="0000471A" w:rsidP="00E64C91">
      <w:pPr>
        <w:pStyle w:val="Acronyms"/>
        <w:tabs>
          <w:tab w:val="clear" w:pos="1134"/>
          <w:tab w:val="left" w:pos="1247"/>
        </w:tabs>
        <w:spacing w:after="200"/>
        <w:ind w:left="1247" w:hanging="1247"/>
      </w:pPr>
      <w:r w:rsidRPr="00320FA2">
        <w:rPr>
          <w:rStyle w:val="emphasisbold"/>
        </w:rPr>
        <w:t>ASQA</w:t>
      </w:r>
      <w:r w:rsidRPr="009F10FF">
        <w:tab/>
        <w:t>Australian Skills Quality Authority</w:t>
      </w:r>
    </w:p>
    <w:p w:rsidR="0000471A" w:rsidRPr="009F10FF" w:rsidRDefault="0000471A" w:rsidP="00E64C91">
      <w:pPr>
        <w:pStyle w:val="Acronyms"/>
        <w:tabs>
          <w:tab w:val="clear" w:pos="1134"/>
          <w:tab w:val="left" w:pos="1247"/>
        </w:tabs>
        <w:spacing w:after="200"/>
        <w:ind w:left="1247" w:hanging="1247"/>
      </w:pPr>
      <w:r w:rsidRPr="00320FA2">
        <w:rPr>
          <w:rStyle w:val="emphasisbold"/>
        </w:rPr>
        <w:t>CCAFL</w:t>
      </w:r>
      <w:r w:rsidRPr="009F10FF">
        <w:tab/>
        <w:t>Collaborative Curriculum and Assessment Framework for Languages</w:t>
      </w:r>
    </w:p>
    <w:p w:rsidR="0000471A" w:rsidRDefault="0000471A" w:rsidP="00E64C91">
      <w:pPr>
        <w:pStyle w:val="Acronyms"/>
        <w:tabs>
          <w:tab w:val="clear" w:pos="1134"/>
          <w:tab w:val="left" w:pos="1247"/>
        </w:tabs>
        <w:spacing w:after="200"/>
        <w:ind w:left="1247" w:hanging="1247"/>
      </w:pPr>
      <w:r w:rsidRPr="00320FA2">
        <w:rPr>
          <w:rStyle w:val="emphasisbold"/>
        </w:rPr>
        <w:t>DETE</w:t>
      </w:r>
      <w:r w:rsidRPr="009F10FF">
        <w:tab/>
        <w:t>Department of Education, Training and Employment</w:t>
      </w:r>
    </w:p>
    <w:p w:rsidR="0015265C" w:rsidRPr="009F10FF" w:rsidRDefault="0015265C" w:rsidP="00E64C91">
      <w:pPr>
        <w:pStyle w:val="Acronyms"/>
        <w:tabs>
          <w:tab w:val="clear" w:pos="1134"/>
          <w:tab w:val="left" w:pos="1247"/>
        </w:tabs>
        <w:spacing w:after="200"/>
        <w:ind w:left="1247" w:hanging="1247"/>
      </w:pPr>
      <w:proofErr w:type="spellStart"/>
      <w:r w:rsidRPr="00E64C91">
        <w:rPr>
          <w:b/>
        </w:rPr>
        <w:t>EASeL</w:t>
      </w:r>
      <w:proofErr w:type="spellEnd"/>
      <w:r>
        <w:tab/>
      </w:r>
      <w:r w:rsidRPr="0015265C">
        <w:t>Enrolments and Achievements for Senior Learners</w:t>
      </w:r>
    </w:p>
    <w:p w:rsidR="0000471A" w:rsidRPr="009F10FF" w:rsidRDefault="0000471A" w:rsidP="00E64C91">
      <w:pPr>
        <w:pStyle w:val="Acronyms"/>
        <w:tabs>
          <w:tab w:val="clear" w:pos="1134"/>
          <w:tab w:val="left" w:pos="1247"/>
        </w:tabs>
        <w:spacing w:after="200"/>
        <w:ind w:left="1247" w:hanging="1247"/>
      </w:pPr>
      <w:r w:rsidRPr="00320FA2">
        <w:rPr>
          <w:rStyle w:val="emphasisbold"/>
        </w:rPr>
        <w:t>FP</w:t>
      </w:r>
      <w:r w:rsidRPr="009F10FF">
        <w:tab/>
        <w:t>Field Position</w:t>
      </w:r>
    </w:p>
    <w:p w:rsidR="0000471A" w:rsidRPr="006161FA" w:rsidRDefault="0000471A" w:rsidP="00E64C91">
      <w:pPr>
        <w:pStyle w:val="Acronyms"/>
        <w:tabs>
          <w:tab w:val="clear" w:pos="1134"/>
          <w:tab w:val="left" w:pos="1247"/>
        </w:tabs>
        <w:spacing w:after="200"/>
        <w:ind w:left="1247" w:hanging="1247"/>
      </w:pPr>
      <w:r w:rsidRPr="00320FA2">
        <w:rPr>
          <w:rStyle w:val="emphasisbold"/>
        </w:rPr>
        <w:t>ICT</w:t>
      </w:r>
      <w:r w:rsidRPr="009F10FF">
        <w:tab/>
        <w:t>Information and communic</w:t>
      </w:r>
      <w:r w:rsidRPr="006161FA">
        <w:t>ations technology</w:t>
      </w:r>
    </w:p>
    <w:p w:rsidR="0000471A" w:rsidRPr="006161FA" w:rsidRDefault="0000471A" w:rsidP="00E64C91">
      <w:pPr>
        <w:pStyle w:val="Acronyms"/>
        <w:tabs>
          <w:tab w:val="clear" w:pos="1134"/>
          <w:tab w:val="left" w:pos="1247"/>
        </w:tabs>
        <w:spacing w:after="200"/>
        <w:ind w:left="1247" w:hanging="1247"/>
      </w:pPr>
      <w:r w:rsidRPr="00320FA2">
        <w:rPr>
          <w:rStyle w:val="emphasisbold"/>
        </w:rPr>
        <w:t>IEUA–QNT</w:t>
      </w:r>
      <w:r w:rsidRPr="009F10FF">
        <w:tab/>
        <w:t>Independent Education Union of Australia — Queensland and Northern Territory Branch</w:t>
      </w:r>
    </w:p>
    <w:p w:rsidR="0000471A" w:rsidRPr="009F10FF" w:rsidRDefault="0000471A" w:rsidP="00E64C91">
      <w:pPr>
        <w:pStyle w:val="Acronyms"/>
        <w:tabs>
          <w:tab w:val="clear" w:pos="1134"/>
          <w:tab w:val="left" w:pos="1247"/>
        </w:tabs>
        <w:spacing w:after="200"/>
        <w:ind w:left="1247" w:hanging="1247"/>
      </w:pPr>
      <w:r w:rsidRPr="00320FA2">
        <w:rPr>
          <w:rStyle w:val="emphasisbold"/>
        </w:rPr>
        <w:t>ISQ</w:t>
      </w:r>
      <w:r w:rsidRPr="009F10FF">
        <w:tab/>
        <w:t>Independent Schools Queensland</w:t>
      </w:r>
    </w:p>
    <w:p w:rsidR="0000471A" w:rsidRPr="00ED7B56" w:rsidRDefault="0000471A" w:rsidP="00E64C91">
      <w:pPr>
        <w:pStyle w:val="Acronyms"/>
        <w:tabs>
          <w:tab w:val="clear" w:pos="1134"/>
          <w:tab w:val="left" w:pos="1247"/>
        </w:tabs>
        <w:spacing w:after="200"/>
        <w:ind w:left="1247" w:hanging="1247"/>
      </w:pPr>
      <w:r w:rsidRPr="00320FA2">
        <w:rPr>
          <w:rStyle w:val="emphasisbold"/>
        </w:rPr>
        <w:t>NAPLAN</w:t>
      </w:r>
      <w:r w:rsidRPr="009F10FF">
        <w:tab/>
        <w:t>National</w:t>
      </w:r>
      <w:r w:rsidRPr="00ED7B56">
        <w:t xml:space="preserve"> Assessment Program — Literacy and Numeracy</w:t>
      </w:r>
    </w:p>
    <w:p w:rsidR="0000471A" w:rsidRPr="009F10FF" w:rsidRDefault="0000471A" w:rsidP="00E64C91">
      <w:pPr>
        <w:pStyle w:val="Acronyms"/>
        <w:tabs>
          <w:tab w:val="clear" w:pos="1134"/>
          <w:tab w:val="left" w:pos="1247"/>
        </w:tabs>
        <w:spacing w:after="200"/>
        <w:ind w:left="1247" w:hanging="1247"/>
      </w:pPr>
      <w:r w:rsidRPr="00320FA2">
        <w:rPr>
          <w:rStyle w:val="emphasisbold"/>
        </w:rPr>
        <w:t>OP</w:t>
      </w:r>
      <w:r w:rsidRPr="009F10FF">
        <w:tab/>
        <w:t>Overall Position</w:t>
      </w:r>
    </w:p>
    <w:p w:rsidR="0000471A" w:rsidRPr="006161FA" w:rsidRDefault="0000471A" w:rsidP="00E64C91">
      <w:pPr>
        <w:pStyle w:val="Acronyms"/>
        <w:tabs>
          <w:tab w:val="clear" w:pos="1134"/>
          <w:tab w:val="left" w:pos="1247"/>
        </w:tabs>
        <w:spacing w:after="200"/>
        <w:ind w:left="1247" w:hanging="1247"/>
      </w:pPr>
      <w:r w:rsidRPr="00320FA2">
        <w:rPr>
          <w:rStyle w:val="emphasisbold"/>
        </w:rPr>
        <w:t>P, Prep</w:t>
      </w:r>
      <w:r w:rsidRPr="006161FA">
        <w:tab/>
        <w:t>Preparatory Year</w:t>
      </w:r>
    </w:p>
    <w:p w:rsidR="008F7332" w:rsidRDefault="008F7332" w:rsidP="00E64C91">
      <w:pPr>
        <w:pStyle w:val="Acronyms"/>
        <w:tabs>
          <w:tab w:val="clear" w:pos="1134"/>
          <w:tab w:val="left" w:pos="1247"/>
        </w:tabs>
        <w:spacing w:after="200"/>
        <w:ind w:left="1247" w:hanging="1247"/>
      </w:pPr>
      <w:r>
        <w:rPr>
          <w:rStyle w:val="emphasisbold"/>
        </w:rPr>
        <w:t>QCAA</w:t>
      </w:r>
      <w:r>
        <w:rPr>
          <w:rStyle w:val="emphasisbold"/>
        </w:rPr>
        <w:tab/>
      </w:r>
      <w:r w:rsidRPr="008F7332">
        <w:t xml:space="preserve">Queensland Curriculum and Assessment </w:t>
      </w:r>
      <w:r w:rsidR="00FD3CB4">
        <w:t>Authority</w:t>
      </w:r>
    </w:p>
    <w:p w:rsidR="0000471A" w:rsidRPr="006161FA" w:rsidRDefault="0000471A" w:rsidP="00E64C91">
      <w:pPr>
        <w:pStyle w:val="Acronyms"/>
        <w:tabs>
          <w:tab w:val="clear" w:pos="1134"/>
          <w:tab w:val="left" w:pos="1247"/>
        </w:tabs>
        <w:spacing w:after="200"/>
        <w:ind w:left="1247" w:hanging="1247"/>
      </w:pPr>
      <w:r w:rsidRPr="00320FA2">
        <w:rPr>
          <w:rStyle w:val="emphasisbold"/>
        </w:rPr>
        <w:t>QCE</w:t>
      </w:r>
      <w:r w:rsidRPr="006161FA">
        <w:tab/>
        <w:t>Queensland Certificate of Education</w:t>
      </w:r>
    </w:p>
    <w:p w:rsidR="0000471A" w:rsidRPr="006161FA" w:rsidRDefault="0000471A" w:rsidP="00E64C91">
      <w:pPr>
        <w:pStyle w:val="Acronyms"/>
        <w:tabs>
          <w:tab w:val="clear" w:pos="1134"/>
          <w:tab w:val="left" w:pos="1247"/>
        </w:tabs>
        <w:spacing w:after="200"/>
        <w:ind w:left="1247" w:hanging="1247"/>
      </w:pPr>
      <w:r w:rsidRPr="00320FA2">
        <w:rPr>
          <w:rStyle w:val="emphasisbold"/>
        </w:rPr>
        <w:t>QCEC</w:t>
      </w:r>
      <w:r w:rsidRPr="006161FA">
        <w:tab/>
        <w:t>Queensland Catholic Education Commission</w:t>
      </w:r>
    </w:p>
    <w:p w:rsidR="0000471A" w:rsidRPr="009F10FF" w:rsidRDefault="0000471A" w:rsidP="00E64C91">
      <w:pPr>
        <w:pStyle w:val="Acronyms"/>
        <w:tabs>
          <w:tab w:val="clear" w:pos="1134"/>
          <w:tab w:val="left" w:pos="1247"/>
        </w:tabs>
        <w:spacing w:after="200"/>
        <w:ind w:left="1247" w:hanging="1247"/>
      </w:pPr>
      <w:r w:rsidRPr="00320FA2">
        <w:rPr>
          <w:rStyle w:val="emphasisbold"/>
        </w:rPr>
        <w:t>QCIA</w:t>
      </w:r>
      <w:r w:rsidRPr="006161FA">
        <w:tab/>
        <w:t>Queensland Certificate of Individ</w:t>
      </w:r>
      <w:r w:rsidRPr="009F10FF">
        <w:t>ual Achievement</w:t>
      </w:r>
    </w:p>
    <w:p w:rsidR="0000471A" w:rsidRPr="006161FA" w:rsidRDefault="0000471A" w:rsidP="00E64C91">
      <w:pPr>
        <w:pStyle w:val="Acronyms"/>
        <w:tabs>
          <w:tab w:val="clear" w:pos="1134"/>
          <w:tab w:val="left" w:pos="1247"/>
        </w:tabs>
        <w:spacing w:after="200"/>
        <w:ind w:left="1247" w:hanging="1247"/>
      </w:pPr>
      <w:r w:rsidRPr="00320FA2">
        <w:rPr>
          <w:rStyle w:val="emphasisbold"/>
        </w:rPr>
        <w:t>QCS</w:t>
      </w:r>
      <w:r w:rsidRPr="006161FA">
        <w:tab/>
        <w:t>Queensland Core Skills (Test)</w:t>
      </w:r>
    </w:p>
    <w:p w:rsidR="0000471A" w:rsidRPr="006161FA" w:rsidRDefault="0000471A" w:rsidP="00E64C91">
      <w:pPr>
        <w:pStyle w:val="Acronyms"/>
        <w:tabs>
          <w:tab w:val="clear" w:pos="1134"/>
          <w:tab w:val="left" w:pos="1247"/>
        </w:tabs>
        <w:spacing w:after="200"/>
        <w:ind w:left="1247" w:hanging="1247"/>
      </w:pPr>
      <w:r w:rsidRPr="00320FA2">
        <w:rPr>
          <w:rStyle w:val="emphasisbold"/>
        </w:rPr>
        <w:t>QKLG</w:t>
      </w:r>
      <w:r w:rsidRPr="006161FA">
        <w:tab/>
        <w:t>Queensland kindergarten learning guideline</w:t>
      </w:r>
    </w:p>
    <w:p w:rsidR="0000471A" w:rsidRPr="006161FA" w:rsidRDefault="0000471A" w:rsidP="00E64C91">
      <w:pPr>
        <w:pStyle w:val="Acronyms"/>
        <w:tabs>
          <w:tab w:val="clear" w:pos="1134"/>
          <w:tab w:val="left" w:pos="1247"/>
        </w:tabs>
        <w:spacing w:after="200"/>
        <w:ind w:left="1247" w:hanging="1247"/>
      </w:pPr>
      <w:r w:rsidRPr="00320FA2">
        <w:rPr>
          <w:rStyle w:val="emphasisbold"/>
        </w:rPr>
        <w:t>QSA</w:t>
      </w:r>
      <w:r w:rsidRPr="006161FA">
        <w:tab/>
        <w:t>Queensland Studies Authority</w:t>
      </w:r>
    </w:p>
    <w:p w:rsidR="0000471A" w:rsidRPr="006161FA" w:rsidRDefault="0000471A" w:rsidP="00E64C91">
      <w:pPr>
        <w:pStyle w:val="Acronyms"/>
        <w:tabs>
          <w:tab w:val="clear" w:pos="1134"/>
          <w:tab w:val="left" w:pos="1247"/>
        </w:tabs>
        <w:spacing w:after="200"/>
        <w:ind w:left="1247" w:hanging="1247"/>
      </w:pPr>
      <w:r w:rsidRPr="00320FA2">
        <w:rPr>
          <w:rStyle w:val="emphasisbold"/>
        </w:rPr>
        <w:t>RTO</w:t>
      </w:r>
      <w:r w:rsidRPr="006161FA">
        <w:tab/>
        <w:t>registered training organisation</w:t>
      </w:r>
    </w:p>
    <w:p w:rsidR="0000471A" w:rsidRPr="006161FA" w:rsidRDefault="0000471A" w:rsidP="00E64C91">
      <w:pPr>
        <w:pStyle w:val="Acronyms"/>
        <w:tabs>
          <w:tab w:val="clear" w:pos="1134"/>
          <w:tab w:val="left" w:pos="1247"/>
        </w:tabs>
        <w:spacing w:after="200"/>
        <w:ind w:left="1247" w:hanging="1247"/>
      </w:pPr>
      <w:r w:rsidRPr="00320FA2">
        <w:rPr>
          <w:rStyle w:val="emphasisbold"/>
        </w:rPr>
        <w:t>SDCS</w:t>
      </w:r>
      <w:r w:rsidRPr="006161FA">
        <w:tab/>
        <w:t>Student Data Capture System</w:t>
      </w:r>
    </w:p>
    <w:p w:rsidR="0000471A" w:rsidRPr="006161FA" w:rsidRDefault="0000471A" w:rsidP="00E64C91">
      <w:pPr>
        <w:pStyle w:val="Acronyms"/>
        <w:tabs>
          <w:tab w:val="clear" w:pos="1134"/>
          <w:tab w:val="left" w:pos="1247"/>
        </w:tabs>
        <w:spacing w:after="200"/>
        <w:ind w:left="1247" w:hanging="1247"/>
      </w:pPr>
      <w:r w:rsidRPr="00320FA2">
        <w:rPr>
          <w:rStyle w:val="emphasisbold"/>
        </w:rPr>
        <w:t>SLIMS</w:t>
      </w:r>
      <w:r w:rsidRPr="006161FA">
        <w:tab/>
        <w:t>Senior Learning Information Management System</w:t>
      </w:r>
    </w:p>
    <w:p w:rsidR="0000471A" w:rsidRPr="006161FA" w:rsidRDefault="0000471A" w:rsidP="00E64C91">
      <w:pPr>
        <w:pStyle w:val="Acronyms"/>
        <w:tabs>
          <w:tab w:val="clear" w:pos="1134"/>
          <w:tab w:val="left" w:pos="1247"/>
        </w:tabs>
        <w:spacing w:after="200"/>
        <w:ind w:left="1247" w:hanging="1247"/>
      </w:pPr>
      <w:r w:rsidRPr="00320FA2">
        <w:rPr>
          <w:rStyle w:val="emphasisbold"/>
        </w:rPr>
        <w:t>TAFE</w:t>
      </w:r>
      <w:r w:rsidRPr="006161FA">
        <w:tab/>
        <w:t>Technical and Further Education</w:t>
      </w:r>
    </w:p>
    <w:p w:rsidR="0000471A" w:rsidRPr="006161FA" w:rsidRDefault="0000471A" w:rsidP="00E64C91">
      <w:pPr>
        <w:pStyle w:val="Acronyms"/>
        <w:tabs>
          <w:tab w:val="clear" w:pos="1134"/>
          <w:tab w:val="left" w:pos="1247"/>
        </w:tabs>
        <w:spacing w:after="200"/>
        <w:ind w:left="1247" w:hanging="1247"/>
      </w:pPr>
      <w:r w:rsidRPr="00320FA2">
        <w:rPr>
          <w:rStyle w:val="emphasisbold"/>
        </w:rPr>
        <w:t>TSXPO</w:t>
      </w:r>
      <w:r w:rsidRPr="006161FA">
        <w:tab/>
        <w:t>Tertiary Studies Expo</w:t>
      </w:r>
    </w:p>
    <w:p w:rsidR="0000471A" w:rsidRPr="006161FA" w:rsidRDefault="0000471A" w:rsidP="00E64C91">
      <w:pPr>
        <w:pStyle w:val="Acronyms"/>
        <w:tabs>
          <w:tab w:val="clear" w:pos="1134"/>
          <w:tab w:val="left" w:pos="1247"/>
        </w:tabs>
        <w:spacing w:after="200"/>
        <w:ind w:left="1247" w:hanging="1247"/>
      </w:pPr>
      <w:r w:rsidRPr="00320FA2">
        <w:rPr>
          <w:rStyle w:val="emphasisbold"/>
        </w:rPr>
        <w:t>VET</w:t>
      </w:r>
      <w:r w:rsidRPr="006161FA">
        <w:tab/>
        <w:t>vocational education and training</w:t>
      </w:r>
    </w:p>
    <w:p w:rsidR="00D849F7" w:rsidRPr="00E25420" w:rsidRDefault="00D849F7" w:rsidP="000C109B">
      <w:pPr>
        <w:pStyle w:val="BodyText"/>
        <w:sectPr w:rsidR="00D849F7" w:rsidRPr="00E25420" w:rsidSect="00FD5F1B">
          <w:headerReference w:type="even" r:id="rId67"/>
          <w:headerReference w:type="default" r:id="rId68"/>
          <w:footerReference w:type="even" r:id="rId69"/>
          <w:footerReference w:type="default" r:id="rId70"/>
          <w:headerReference w:type="first" r:id="rId71"/>
          <w:type w:val="continuous"/>
          <w:pgSz w:w="11907" w:h="16840" w:code="9"/>
          <w:pgMar w:top="1134" w:right="1191" w:bottom="1418" w:left="1191" w:header="567" w:footer="680" w:gutter="0"/>
          <w:cols w:space="720"/>
          <w:formProt w:val="0"/>
          <w:noEndnote/>
          <w:docGrid w:linePitch="299"/>
        </w:sectPr>
      </w:pPr>
    </w:p>
    <w:tbl>
      <w:tblPr>
        <w:tblW w:w="11340" w:type="dxa"/>
        <w:jc w:val="center"/>
        <w:tblCellMar>
          <w:top w:w="567" w:type="dxa"/>
          <w:left w:w="567" w:type="dxa"/>
          <w:bottom w:w="567" w:type="dxa"/>
          <w:right w:w="567" w:type="dxa"/>
        </w:tblCellMar>
        <w:tblLook w:val="01E0" w:firstRow="1" w:lastRow="1" w:firstColumn="1" w:lastColumn="1" w:noHBand="0" w:noVBand="0"/>
      </w:tblPr>
      <w:tblGrid>
        <w:gridCol w:w="11340"/>
      </w:tblGrid>
      <w:tr w:rsidR="00F02392" w:rsidRPr="009719F9" w:rsidTr="00F02392">
        <w:trPr>
          <w:trHeight w:hRule="exact" w:val="4488"/>
          <w:jc w:val="center"/>
        </w:trPr>
        <w:tc>
          <w:tcPr>
            <w:tcW w:w="11340" w:type="dxa"/>
            <w:tcBorders>
              <w:top w:val="nil"/>
              <w:left w:val="nil"/>
              <w:bottom w:val="nil"/>
              <w:right w:val="nil"/>
            </w:tcBorders>
            <w:shd w:val="clear" w:color="auto" w:fill="auto"/>
            <w:tcMar>
              <w:top w:w="0" w:type="dxa"/>
              <w:right w:w="0" w:type="dxa"/>
            </w:tcMar>
            <w:vAlign w:val="bottom"/>
          </w:tcPr>
          <w:p w:rsidR="00F02392" w:rsidRPr="009719F9" w:rsidRDefault="00F02392" w:rsidP="00F02392">
            <w:pPr>
              <w:rPr>
                <w:highlight w:val="lightGray"/>
              </w:rPr>
            </w:pPr>
          </w:p>
        </w:tc>
      </w:tr>
      <w:tr w:rsidR="00F02392" w:rsidRPr="009719F9" w:rsidTr="00F02392">
        <w:trPr>
          <w:trHeight w:hRule="exact" w:val="170"/>
          <w:jc w:val="center"/>
        </w:trPr>
        <w:tc>
          <w:tcPr>
            <w:tcW w:w="11340" w:type="dxa"/>
            <w:tcBorders>
              <w:top w:val="nil"/>
              <w:left w:val="nil"/>
              <w:bottom w:val="single" w:sz="8" w:space="0" w:color="auto"/>
              <w:right w:val="nil"/>
            </w:tcBorders>
            <w:tcMar>
              <w:top w:w="0" w:type="dxa"/>
              <w:left w:w="0" w:type="dxa"/>
              <w:bottom w:w="0" w:type="dxa"/>
              <w:right w:w="0" w:type="dxa"/>
            </w:tcMar>
            <w:vAlign w:val="bottom"/>
          </w:tcPr>
          <w:p w:rsidR="00F02392" w:rsidRPr="009719F9" w:rsidRDefault="00F02392" w:rsidP="00F02392"/>
        </w:tc>
      </w:tr>
      <w:tr w:rsidR="00F02392" w:rsidRPr="002A2C14" w:rsidTr="00F02392">
        <w:trPr>
          <w:trHeight w:hRule="exact" w:val="8222"/>
          <w:jc w:val="center"/>
        </w:trPr>
        <w:tc>
          <w:tcPr>
            <w:tcW w:w="11340" w:type="dxa"/>
            <w:tcBorders>
              <w:top w:val="single" w:sz="8" w:space="0" w:color="auto"/>
              <w:left w:val="nil"/>
              <w:bottom w:val="single" w:sz="8" w:space="0" w:color="auto"/>
              <w:right w:val="nil"/>
            </w:tcBorders>
          </w:tcPr>
          <w:p w:rsidR="00F02392" w:rsidRPr="00C729EF" w:rsidRDefault="00F02392" w:rsidP="00F02392">
            <w:pPr>
              <w:pStyle w:val="QSAnamestyle"/>
            </w:pPr>
            <w:r w:rsidRPr="00C729EF">
              <w:t>Queensland Studies Authority</w:t>
            </w:r>
          </w:p>
          <w:p w:rsidR="00F02392" w:rsidRPr="009F5AA6" w:rsidRDefault="00351EA0" w:rsidP="00351EA0">
            <w:pPr>
              <w:pStyle w:val="QSAnamestyleaddress"/>
            </w:pPr>
            <w:r>
              <w:t xml:space="preserve">Level 7, </w:t>
            </w:r>
            <w:r w:rsidR="00F02392" w:rsidRPr="009F5AA6">
              <w:t>154 Melbourne Street, South Brisbane</w:t>
            </w:r>
            <w:r>
              <w:br/>
            </w:r>
            <w:r w:rsidR="00F02392" w:rsidRPr="009F5AA6">
              <w:t>PO Box 307 Spring Hill</w:t>
            </w:r>
            <w:r w:rsidR="009F5AA6" w:rsidRPr="009F5AA6">
              <w:t> </w:t>
            </w:r>
            <w:r w:rsidR="00F02392" w:rsidRPr="009F5AA6">
              <w:t>QLD</w:t>
            </w:r>
            <w:r w:rsidR="00F02392" w:rsidRPr="009F5AA6">
              <w:t> </w:t>
            </w:r>
            <w:r w:rsidR="00F02392" w:rsidRPr="009F5AA6">
              <w:t>4004</w:t>
            </w:r>
            <w:r w:rsidR="00F02392" w:rsidRPr="009F5AA6">
              <w:t> </w:t>
            </w:r>
            <w:r w:rsidR="00F02392" w:rsidRPr="009F5AA6">
              <w:t>Australia</w:t>
            </w:r>
          </w:p>
          <w:p w:rsidR="00F02392" w:rsidRPr="009F5AA6" w:rsidRDefault="00F02392" w:rsidP="00351EA0">
            <w:pPr>
              <w:pStyle w:val="QSAnamestyleaddress"/>
            </w:pPr>
            <w:r w:rsidRPr="009F5AA6">
              <w:t>T</w:t>
            </w:r>
            <w:r w:rsidRPr="009F5AA6">
              <w:t> </w:t>
            </w:r>
            <w:r w:rsidRPr="009F5AA6">
              <w:t>+61 7 3864 0299</w:t>
            </w:r>
            <w:r w:rsidR="00351EA0">
              <w:br/>
            </w:r>
            <w:r w:rsidRPr="009F5AA6">
              <w:t>F</w:t>
            </w:r>
            <w:r w:rsidRPr="009F5AA6">
              <w:t> </w:t>
            </w:r>
            <w:r w:rsidRPr="009F5AA6">
              <w:t>+61 7 3221 2553</w:t>
            </w:r>
          </w:p>
          <w:p w:rsidR="00F02392" w:rsidRPr="00351EA0" w:rsidRDefault="00F02392" w:rsidP="00351EA0">
            <w:pPr>
              <w:pStyle w:val="QSAnamestyleurl"/>
              <w:rPr>
                <w:rStyle w:val="emphasisbold"/>
                <w:b/>
              </w:rPr>
            </w:pPr>
            <w:r w:rsidRPr="00351EA0">
              <w:t>www.qsa.qld.edu.au</w:t>
            </w:r>
          </w:p>
        </w:tc>
      </w:tr>
    </w:tbl>
    <w:p w:rsidR="00894D26" w:rsidRPr="00C46B0C" w:rsidRDefault="00894D26" w:rsidP="000C109B">
      <w:pPr>
        <w:pStyle w:val="BodyText"/>
        <w:rPr>
          <w:rFonts w:eastAsia="SimSun"/>
        </w:rPr>
      </w:pPr>
    </w:p>
    <w:sectPr w:rsidR="00894D26" w:rsidRPr="00C46B0C" w:rsidSect="00FD5F1B">
      <w:headerReference w:type="even" r:id="rId72"/>
      <w:headerReference w:type="default" r:id="rId73"/>
      <w:footerReference w:type="even" r:id="rId74"/>
      <w:footerReference w:type="default" r:id="rId75"/>
      <w:headerReference w:type="first" r:id="rId76"/>
      <w:type w:val="evenPage"/>
      <w:pgSz w:w="11907" w:h="16840" w:code="9"/>
      <w:pgMar w:top="284" w:right="1191" w:bottom="1021" w:left="1021" w:header="284" w:footer="567" w:gutter="0"/>
      <w:pgNumType w:start="1"/>
      <w:cols w:space="72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700" w:rsidRDefault="005B0700">
      <w:r>
        <w:separator/>
      </w:r>
    </w:p>
    <w:p w:rsidR="005B0700" w:rsidRDefault="005B0700"/>
    <w:p w:rsidR="005B0700" w:rsidRDefault="005B0700"/>
  </w:endnote>
  <w:endnote w:type="continuationSeparator" w:id="0">
    <w:p w:rsidR="005B0700" w:rsidRDefault="005B0700">
      <w:r>
        <w:continuationSeparator/>
      </w:r>
    </w:p>
    <w:p w:rsidR="005B0700" w:rsidRDefault="005B0700"/>
    <w:p w:rsidR="005B0700" w:rsidRDefault="005B0700"/>
  </w:endnote>
  <w:endnote w:type="continuationNotice" w:id="1">
    <w:p w:rsidR="005B0700" w:rsidRDefault="005B070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2136AAB8-4017-4FE8-B64A-54F0B65FD2A8}"/>
  </w:font>
  <w:font w:name="MetaBookLF-Roman">
    <w:altName w:val="Vrinda"/>
    <w:panose1 w:val="020B0502040000020004"/>
    <w:charset w:val="00"/>
    <w:family w:val="swiss"/>
    <w:pitch w:val="variable"/>
    <w:sig w:usb0="80000027" w:usb1="00000000" w:usb2="00000000" w:usb3="00000000" w:csb0="00000001" w:csb1="00000000"/>
    <w:embedRegular r:id="rId2" w:fontKey="{318DA30F-87D0-4825-97D5-DD46226A394B}"/>
    <w:embedBold r:id="rId3" w:fontKey="{E43CD418-8C93-4482-9135-AD8ADC36B0D5}"/>
  </w:font>
  <w:font w:name="Rotis Serif Std">
    <w:altName w:val="Times New Roman"/>
    <w:panose1 w:val="00000000000000000000"/>
    <w:charset w:val="00"/>
    <w:family w:val="roman"/>
    <w:notTrueType/>
    <w:pitch w:val="variable"/>
    <w:sig w:usb0="00000003" w:usb1="00000000" w:usb2="00000000" w:usb3="00000000" w:csb0="00000001" w:csb1="00000000"/>
  </w:font>
  <w:font w:name="MetaBoldLF-Roman">
    <w:altName w:val="Segoe UI Semibold"/>
    <w:panose1 w:val="020B0802030000020004"/>
    <w:charset w:val="00"/>
    <w:family w:val="swiss"/>
    <w:pitch w:val="variable"/>
    <w:sig w:usb0="80000027" w:usb1="00000000" w:usb2="00000000" w:usb3="00000000" w:csb0="00000001" w:csb1="00000000"/>
    <w:embedRegular r:id="rId4" w:fontKey="{7DBC4B3F-5233-4CFB-A724-7BB2EF1A03B7}"/>
    <w:embedBold r:id="rId5" w:fontKey="{82A6CFC3-5E49-41D3-8215-55CF96C87C9B}"/>
  </w:font>
  <w:font w:name="MetaBoldLF-Italic">
    <w:altName w:val="MV Boli"/>
    <w:panose1 w:val="020B0802030000090004"/>
    <w:charset w:val="00"/>
    <w:family w:val="swiss"/>
    <w:pitch w:val="variable"/>
    <w:sig w:usb0="80000027" w:usb1="00000000" w:usb2="00000000" w:usb3="00000000" w:csb0="00000001" w:csb1="00000000"/>
    <w:embedRegular r:id="rId6" w:fontKey="{DF7FF1C7-8DB8-4EB6-9646-1D8F0D2AC92D}"/>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8D6DA3D4-F6FC-49F8-871D-05EF5D56B004}"/>
    <w:embedBold r:id="rId8" w:fontKey="{03F1AC63-BFC8-44F5-9BAD-E7C30D7DEA89}"/>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embedRegular r:id="rId9" w:fontKey="{4DCA8AF9-26E5-4DB5-A951-DDA1AA386CF1}"/>
  </w:font>
  <w:font w:name="Tw Cen MT">
    <w:panose1 w:val="020B0602020104020603"/>
    <w:charset w:val="00"/>
    <w:family w:val="swiss"/>
    <w:pitch w:val="variable"/>
    <w:sig w:usb0="00000007" w:usb1="00000000" w:usb2="00000000" w:usb3="00000000" w:csb0="00000003" w:csb1="00000000"/>
    <w:embedRegular r:id="rId10" w:fontKey="{B41C2DD3-4C56-40F9-84AB-EF6823846292}"/>
  </w:font>
  <w:font w:name="MetaBookLF-Italic">
    <w:altName w:val="MV Boli"/>
    <w:panose1 w:val="020B0502030000090004"/>
    <w:charset w:val="00"/>
    <w:family w:val="swiss"/>
    <w:pitch w:val="variable"/>
    <w:sig w:usb0="80000027" w:usb1="00000000" w:usb2="00000000" w:usb3="00000000" w:csb0="00000001" w:csb1="00000000"/>
    <w:embedRegular r:id="rId11" w:fontKey="{5420AA43-52F9-4CC7-ACB6-8F49696076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pPr>
      <w:pStyle w:val="Footer"/>
    </w:pPr>
    <w:r w:rsidRPr="00216E1E">
      <w:rPr>
        <w:noProof/>
      </w:rPr>
      <w:drawing>
        <wp:anchor distT="0" distB="0" distL="114300" distR="114300" simplePos="0" relativeHeight="251705344" behindDoc="0" locked="0" layoutInCell="1" allowOverlap="1" wp14:anchorId="14D73DBD" wp14:editId="20683B20">
          <wp:simplePos x="0" y="0"/>
          <wp:positionH relativeFrom="page">
            <wp:align>left</wp:align>
          </wp:positionH>
          <wp:positionV relativeFrom="page">
            <wp:align>bottom</wp:align>
          </wp:positionV>
          <wp:extent cx="2343600" cy="1022400"/>
          <wp:effectExtent l="0" t="0" r="0" b="635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s_footer_bw.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2343600" cy="1022400"/>
                  </a:xfrm>
                  <a:prstGeom prst="rect">
                    <a:avLst/>
                  </a:prstGeom>
                </pic:spPr>
              </pic:pic>
            </a:graphicData>
          </a:graphic>
          <wp14:sizeRelH relativeFrom="margin">
            <wp14:pctWidth>0</wp14:pctWidth>
          </wp14:sizeRelH>
          <wp14:sizeRelV relativeFrom="margin">
            <wp14:pctHeight>0</wp14:pctHeight>
          </wp14:sizeRelV>
        </wp:anchor>
      </w:drawing>
    </w:r>
    <w:r w:rsidRPr="00216E1E">
      <w:rPr>
        <w:noProof/>
      </w:rPr>
      <w:drawing>
        <wp:anchor distT="0" distB="0" distL="114300" distR="114300" simplePos="0" relativeHeight="251706368" behindDoc="0" locked="0" layoutInCell="1" allowOverlap="1" wp14:anchorId="59B10EB1" wp14:editId="788D94DB">
          <wp:simplePos x="0" y="0"/>
          <wp:positionH relativeFrom="page">
            <wp:align>right</wp:align>
          </wp:positionH>
          <wp:positionV relativeFrom="page">
            <wp:align>bottom</wp:align>
          </wp:positionV>
          <wp:extent cx="3315600" cy="954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style_footer_bw.jpg"/>
                  <pic:cNvPicPr/>
                </pic:nvPicPr>
                <pic:blipFill>
                  <a:blip r:embed="rId2">
                    <a:extLst>
                      <a:ext uri="{28A0092B-C50C-407E-A947-70E740481C1C}">
                        <a14:useLocalDpi xmlns:a14="http://schemas.microsoft.com/office/drawing/2010/main" val="0"/>
                      </a:ext>
                    </a:extLst>
                  </a:blip>
                  <a:stretch>
                    <a:fillRect/>
                  </a:stretch>
                </pic:blipFill>
                <pic:spPr>
                  <a:xfrm>
                    <a:off x="0" y="0"/>
                    <a:ext cx="3315600" cy="95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879" w:type="dxa"/>
      <w:tblLayout w:type="fixed"/>
      <w:tblCellMar>
        <w:left w:w="0" w:type="dxa"/>
        <w:right w:w="0" w:type="dxa"/>
      </w:tblCellMar>
      <w:tblLook w:val="0600" w:firstRow="0" w:lastRow="0" w:firstColumn="0" w:lastColumn="0" w:noHBand="1" w:noVBand="1"/>
    </w:tblPr>
    <w:tblGrid>
      <w:gridCol w:w="8458"/>
      <w:gridCol w:w="183"/>
      <w:gridCol w:w="183"/>
      <w:gridCol w:w="701"/>
    </w:tblGrid>
    <w:tr w:rsidR="005B0700" w:rsidRPr="007165FF" w:rsidTr="00EC485A">
      <w:trPr>
        <w:cantSplit/>
      </w:trPr>
      <w:tc>
        <w:tcPr>
          <w:tcW w:w="9354" w:type="dxa"/>
          <w:noWrap/>
          <w:tcMar>
            <w:left w:w="0" w:type="dxa"/>
            <w:right w:w="0" w:type="dxa"/>
          </w:tcMar>
        </w:tcPr>
        <w:p w:rsidR="005B0700" w:rsidRPr="007165FF" w:rsidRDefault="005B0700" w:rsidP="006426EB">
          <w:pPr>
            <w:pStyle w:val="Footer"/>
            <w:jc w:val="right"/>
          </w:pPr>
          <w:r>
            <w:rPr>
              <w:rFonts w:eastAsia="SimSun"/>
              <w:noProof/>
            </w:rPr>
            <w:drawing>
              <wp:anchor distT="0" distB="0" distL="114300" distR="114300" simplePos="0" relativeHeight="251719680" behindDoc="0" locked="0" layoutInCell="1" allowOverlap="1" wp14:anchorId="321F978E" wp14:editId="0105DE75">
                <wp:simplePos x="0" y="0"/>
                <wp:positionH relativeFrom="column">
                  <wp:posOffset>2693035</wp:posOffset>
                </wp:positionH>
                <wp:positionV relativeFrom="paragraph">
                  <wp:posOffset>-140335</wp:posOffset>
                </wp:positionV>
                <wp:extent cx="1324800" cy="378000"/>
                <wp:effectExtent l="19050" t="57150" r="27940" b="603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_certified.jpg"/>
                        <pic:cNvPicPr/>
                      </pic:nvPicPr>
                      <pic:blipFill>
                        <a:blip r:embed="rId1">
                          <a:extLst>
                            <a:ext uri="{28A0092B-C50C-407E-A947-70E740481C1C}">
                              <a14:useLocalDpi xmlns:a14="http://schemas.microsoft.com/office/drawing/2010/main" val="0"/>
                            </a:ext>
                          </a:extLst>
                        </a:blip>
                        <a:stretch>
                          <a:fillRect/>
                        </a:stretch>
                      </pic:blipFill>
                      <pic:spPr>
                        <a:xfrm rot="300000">
                          <a:off x="0" y="0"/>
                          <a:ext cx="1324800" cy="378000"/>
                        </a:xfrm>
                        <a:prstGeom prst="rect">
                          <a:avLst/>
                        </a:prstGeom>
                      </pic:spPr>
                    </pic:pic>
                  </a:graphicData>
                </a:graphic>
                <wp14:sizeRelH relativeFrom="margin">
                  <wp14:pctWidth>0</wp14:pctWidth>
                </wp14:sizeRelH>
                <wp14:sizeRelV relativeFrom="margin">
                  <wp14:pctHeight>0</wp14:pctHeight>
                </wp14:sizeRelV>
              </wp:anchor>
            </w:drawing>
          </w:r>
          <w:fldSimple w:instr=" STYLEREF  &quot;Heading 1&quot;  \* MERGEFORMAT ">
            <w:r w:rsidR="00297BD5">
              <w:rPr>
                <w:noProof/>
              </w:rPr>
              <w:t>Financial report 2013–14</w:t>
            </w:r>
          </w:fldSimple>
        </w:p>
      </w:tc>
      <w:tc>
        <w:tcPr>
          <w:tcW w:w="200" w:type="dxa"/>
          <w:noWrap/>
          <w:tcMar>
            <w:left w:w="0" w:type="dxa"/>
            <w:right w:w="0" w:type="dxa"/>
          </w:tcMar>
        </w:tcPr>
        <w:p w:rsidR="005B0700" w:rsidRPr="007165FF" w:rsidRDefault="005B0700" w:rsidP="00C47750">
          <w:pPr>
            <w:pStyle w:val="Footer"/>
          </w:pPr>
        </w:p>
      </w:tc>
      <w:tc>
        <w:tcPr>
          <w:tcW w:w="200" w:type="dxa"/>
          <w:tcMar>
            <w:left w:w="0" w:type="dxa"/>
            <w:right w:w="0" w:type="dxa"/>
          </w:tcMar>
        </w:tcPr>
        <w:p w:rsidR="005B0700" w:rsidRPr="007165FF" w:rsidRDefault="005B0700" w:rsidP="00C47750">
          <w:pPr>
            <w:pStyle w:val="Footer"/>
          </w:pPr>
          <w:r w:rsidRPr="007165FF">
            <w:t>|</w:t>
          </w:r>
        </w:p>
      </w:tc>
      <w:tc>
        <w:tcPr>
          <w:tcW w:w="773" w:type="dxa"/>
          <w:tcMar>
            <w:left w:w="0" w:type="dxa"/>
            <w:right w:w="0" w:type="dxa"/>
          </w:tcMar>
        </w:tcPr>
        <w:p w:rsidR="005B0700" w:rsidRPr="00ED7CB2" w:rsidRDefault="005B0700" w:rsidP="00E30EC3">
          <w:pPr>
            <w:pStyle w:val="Footer"/>
            <w:rPr>
              <w:rStyle w:val="Footerbold"/>
              <w:rFonts w:ascii="MetaBookLF-Roman" w:hAnsi="MetaBookLF-Roman"/>
              <w:b w:val="0"/>
              <w:color w:val="000000" w:themeColor="text1"/>
              <w:sz w:val="18"/>
            </w:rPr>
          </w:pPr>
          <w:r w:rsidRPr="006C4289">
            <w:fldChar w:fldCharType="begin"/>
          </w:r>
          <w:r w:rsidRPr="006C4289">
            <w:instrText xml:space="preserve">PAGE  </w:instrText>
          </w:r>
          <w:r w:rsidRPr="006C4289">
            <w:fldChar w:fldCharType="separate"/>
          </w:r>
          <w:r w:rsidR="00297BD5">
            <w:rPr>
              <w:noProof/>
            </w:rPr>
            <w:t>43</w:t>
          </w:r>
          <w:r w:rsidRPr="006C4289">
            <w:fldChar w:fldCharType="end"/>
          </w:r>
          <w:r>
            <w:t xml:space="preserve"> of </w:t>
          </w:r>
          <w:r>
            <w:fldChar w:fldCharType="begin"/>
          </w:r>
          <w:r>
            <w:instrText xml:space="preserve">= </w:instrText>
          </w:r>
          <w:fldSimple w:instr=" NUMPAGES ">
            <w:r w:rsidR="00297BD5">
              <w:rPr>
                <w:noProof/>
              </w:rPr>
              <w:instrText>47</w:instrText>
            </w:r>
          </w:fldSimple>
          <w:r>
            <w:rPr>
              <w:noProof/>
            </w:rPr>
            <w:instrText xml:space="preserve"> - 7</w:instrText>
          </w:r>
          <w:r>
            <w:instrText xml:space="preserve"> </w:instrText>
          </w:r>
          <w:r>
            <w:fldChar w:fldCharType="separate"/>
          </w:r>
          <w:r w:rsidR="00297BD5">
            <w:rPr>
              <w:noProof/>
            </w:rPr>
            <w:t>40</w:t>
          </w:r>
          <w:r>
            <w:fldChar w:fldCharType="end"/>
          </w:r>
        </w:p>
      </w:tc>
    </w:tr>
  </w:tbl>
  <w:p w:rsidR="005B0700" w:rsidRPr="007165FF" w:rsidRDefault="005B0700" w:rsidP="00A50892">
    <w:pPr>
      <w:pStyle w:val="smallspac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0" w:type="pct"/>
      <w:tblInd w:w="-794" w:type="dxa"/>
      <w:tblLayout w:type="fixed"/>
      <w:tblCellMar>
        <w:left w:w="0" w:type="dxa"/>
        <w:right w:w="0" w:type="dxa"/>
      </w:tblCellMar>
      <w:tblLook w:val="0600" w:firstRow="0" w:lastRow="0" w:firstColumn="0" w:lastColumn="0" w:noHBand="1" w:noVBand="1"/>
    </w:tblPr>
    <w:tblGrid>
      <w:gridCol w:w="652"/>
      <w:gridCol w:w="190"/>
      <w:gridCol w:w="191"/>
      <w:gridCol w:w="8606"/>
    </w:tblGrid>
    <w:tr w:rsidR="005B0700" w:rsidRPr="00342D57" w:rsidTr="00C602B1">
      <w:trPr>
        <w:cantSplit/>
      </w:trPr>
      <w:tc>
        <w:tcPr>
          <w:tcW w:w="652" w:type="dxa"/>
          <w:noWrap/>
          <w:tcMar>
            <w:left w:w="0" w:type="dxa"/>
            <w:right w:w="0" w:type="dxa"/>
          </w:tcMar>
        </w:tcPr>
        <w:p w:rsidR="005B0700" w:rsidRPr="00DD10FC" w:rsidRDefault="005B0700" w:rsidP="00C602B1">
          <w:pPr>
            <w:pStyle w:val="Footer"/>
            <w:ind w:left="-284" w:firstLine="284"/>
            <w:jc w:val="right"/>
          </w:pPr>
          <w:r w:rsidRPr="006C4289">
            <w:fldChar w:fldCharType="begin"/>
          </w:r>
          <w:r w:rsidRPr="006C4289">
            <w:instrText xml:space="preserve">PAGE  </w:instrText>
          </w:r>
          <w:r w:rsidRPr="006C4289">
            <w:fldChar w:fldCharType="separate"/>
          </w:r>
          <w:r w:rsidR="00297BD5">
            <w:rPr>
              <w:noProof/>
            </w:rPr>
            <w:t>44</w:t>
          </w:r>
          <w:r w:rsidRPr="006C4289">
            <w:fldChar w:fldCharType="end"/>
          </w:r>
          <w:r>
            <w:t xml:space="preserve"> </w:t>
          </w:r>
          <w:r w:rsidRPr="006C4289">
            <w:t>of</w:t>
          </w:r>
          <w:r>
            <w:t xml:space="preserve"> </w:t>
          </w:r>
          <w:r>
            <w:fldChar w:fldCharType="begin"/>
          </w:r>
          <w:r>
            <w:instrText xml:space="preserve">= </w:instrText>
          </w:r>
          <w:fldSimple w:instr=" NUMPAGES ">
            <w:r w:rsidR="00297BD5">
              <w:rPr>
                <w:noProof/>
              </w:rPr>
              <w:instrText>48</w:instrText>
            </w:r>
          </w:fldSimple>
          <w:r>
            <w:rPr>
              <w:noProof/>
            </w:rPr>
            <w:instrText>- 7</w:instrText>
          </w:r>
          <w:r>
            <w:instrText xml:space="preserve"> </w:instrText>
          </w:r>
          <w:r>
            <w:fldChar w:fldCharType="separate"/>
          </w:r>
          <w:r w:rsidR="00297BD5">
            <w:rPr>
              <w:noProof/>
            </w:rPr>
            <w:t>41</w:t>
          </w:r>
          <w:r>
            <w:fldChar w:fldCharType="end"/>
          </w:r>
        </w:p>
      </w:tc>
      <w:tc>
        <w:tcPr>
          <w:tcW w:w="190" w:type="dxa"/>
          <w:noWrap/>
          <w:tcMar>
            <w:left w:w="0" w:type="dxa"/>
            <w:right w:w="0" w:type="dxa"/>
          </w:tcMar>
        </w:tcPr>
        <w:p w:rsidR="005B0700" w:rsidRPr="00DD10FC" w:rsidRDefault="005B0700" w:rsidP="00C602B1">
          <w:pPr>
            <w:pStyle w:val="Footer"/>
            <w:jc w:val="right"/>
          </w:pPr>
          <w:r w:rsidRPr="00DD10FC">
            <w:t>|</w:t>
          </w:r>
        </w:p>
      </w:tc>
      <w:tc>
        <w:tcPr>
          <w:tcW w:w="191" w:type="dxa"/>
        </w:tcPr>
        <w:p w:rsidR="005B0700" w:rsidRPr="00342D57" w:rsidRDefault="005B0700" w:rsidP="00C602B1">
          <w:pPr>
            <w:pStyle w:val="Footer"/>
          </w:pPr>
        </w:p>
      </w:tc>
      <w:tc>
        <w:tcPr>
          <w:tcW w:w="8606" w:type="dxa"/>
        </w:tcPr>
        <w:p w:rsidR="005B0700" w:rsidRPr="00FE063F" w:rsidRDefault="005B0700" w:rsidP="00C602B1">
          <w:pPr>
            <w:pStyle w:val="Footer"/>
            <w:rPr>
              <w:rFonts w:eastAsia="SimSun"/>
            </w:rPr>
          </w:pPr>
          <w:r>
            <w:rPr>
              <w:rFonts w:eastAsia="SimSun"/>
              <w:noProof/>
            </w:rPr>
            <w:drawing>
              <wp:anchor distT="0" distB="0" distL="114300" distR="114300" simplePos="0" relativeHeight="251711488" behindDoc="0" locked="0" layoutInCell="1" allowOverlap="1" wp14:anchorId="572A8058" wp14:editId="148A95B9">
                <wp:simplePos x="0" y="0"/>
                <wp:positionH relativeFrom="column">
                  <wp:posOffset>2693670</wp:posOffset>
                </wp:positionH>
                <wp:positionV relativeFrom="paragraph">
                  <wp:posOffset>-141605</wp:posOffset>
                </wp:positionV>
                <wp:extent cx="1324800" cy="378000"/>
                <wp:effectExtent l="19050" t="57150" r="27940" b="603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_certified.jpg"/>
                        <pic:cNvPicPr/>
                      </pic:nvPicPr>
                      <pic:blipFill>
                        <a:blip r:embed="rId1">
                          <a:extLst>
                            <a:ext uri="{28A0092B-C50C-407E-A947-70E740481C1C}">
                              <a14:useLocalDpi xmlns:a14="http://schemas.microsoft.com/office/drawing/2010/main" val="0"/>
                            </a:ext>
                          </a:extLst>
                        </a:blip>
                        <a:stretch>
                          <a:fillRect/>
                        </a:stretch>
                      </pic:blipFill>
                      <pic:spPr>
                        <a:xfrm rot="300000">
                          <a:off x="0" y="0"/>
                          <a:ext cx="1324800" cy="378000"/>
                        </a:xfrm>
                        <a:prstGeom prst="rect">
                          <a:avLst/>
                        </a:prstGeom>
                      </pic:spPr>
                    </pic:pic>
                  </a:graphicData>
                </a:graphic>
                <wp14:sizeRelH relativeFrom="margin">
                  <wp14:pctWidth>0</wp14:pctWidth>
                </wp14:sizeRelH>
                <wp14:sizeRelV relativeFrom="margin">
                  <wp14:pctHeight>0</wp14:pctHeight>
                </wp14:sizeRelV>
              </wp:anchor>
            </w:drawing>
          </w:r>
          <w:r w:rsidRPr="007108C5">
            <w:rPr>
              <w:rFonts w:eastAsia="SimSun"/>
            </w:rPr>
            <w:t>Annual Report 201</w:t>
          </w:r>
          <w:r>
            <w:rPr>
              <w:rFonts w:eastAsia="SimSun"/>
            </w:rPr>
            <w:t>3</w:t>
          </w:r>
          <w:r w:rsidRPr="007108C5">
            <w:rPr>
              <w:rFonts w:eastAsia="SimSun"/>
            </w:rPr>
            <w:t>–1</w:t>
          </w:r>
          <w:r>
            <w:rPr>
              <w:rFonts w:eastAsia="SimSun"/>
            </w:rPr>
            <w:t>4</w:t>
          </w:r>
          <w:r>
            <w:rPr>
              <w:rFonts w:eastAsia="SimSun"/>
            </w:rPr>
            <w:t> </w:t>
          </w:r>
          <w:r w:rsidRPr="007108C5">
            <w:rPr>
              <w:rFonts w:eastAsia="SimSun"/>
            </w:rPr>
            <w:t>Queensland Studies Authority</w:t>
          </w:r>
        </w:p>
      </w:tc>
    </w:tr>
  </w:tbl>
  <w:p w:rsidR="005B0700" w:rsidRPr="00A50892" w:rsidRDefault="005B0700" w:rsidP="00A50892">
    <w:pPr>
      <w:pStyle w:val="smallspac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0" w:type="pct"/>
      <w:tblInd w:w="-794" w:type="dxa"/>
      <w:tblLayout w:type="fixed"/>
      <w:tblCellMar>
        <w:left w:w="0" w:type="dxa"/>
        <w:right w:w="0" w:type="dxa"/>
      </w:tblCellMar>
      <w:tblLook w:val="0600" w:firstRow="0" w:lastRow="0" w:firstColumn="0" w:lastColumn="0" w:noHBand="1" w:noVBand="1"/>
    </w:tblPr>
    <w:tblGrid>
      <w:gridCol w:w="652"/>
      <w:gridCol w:w="190"/>
      <w:gridCol w:w="191"/>
      <w:gridCol w:w="8606"/>
    </w:tblGrid>
    <w:tr w:rsidR="005B0700" w:rsidRPr="00342D57" w:rsidTr="00C602B1">
      <w:trPr>
        <w:cantSplit/>
      </w:trPr>
      <w:tc>
        <w:tcPr>
          <w:tcW w:w="652" w:type="dxa"/>
          <w:noWrap/>
          <w:tcMar>
            <w:left w:w="0" w:type="dxa"/>
            <w:right w:w="0" w:type="dxa"/>
          </w:tcMar>
        </w:tcPr>
        <w:p w:rsidR="005B0700" w:rsidRPr="00DD10FC" w:rsidRDefault="005B0700" w:rsidP="00C602B1">
          <w:pPr>
            <w:pStyle w:val="Footer"/>
            <w:ind w:left="-284" w:firstLine="284"/>
            <w:jc w:val="right"/>
          </w:pPr>
          <w:r w:rsidRPr="006C4289">
            <w:fldChar w:fldCharType="begin"/>
          </w:r>
          <w:r w:rsidRPr="006C4289">
            <w:instrText xml:space="preserve">PAGE  </w:instrText>
          </w:r>
          <w:r w:rsidRPr="006C4289">
            <w:fldChar w:fldCharType="separate"/>
          </w:r>
          <w:r w:rsidR="00297BD5">
            <w:rPr>
              <w:noProof/>
            </w:rPr>
            <w:t>52</w:t>
          </w:r>
          <w:r w:rsidRPr="006C4289">
            <w:fldChar w:fldCharType="end"/>
          </w:r>
          <w:r>
            <w:t xml:space="preserve"> </w:t>
          </w:r>
          <w:r w:rsidRPr="006C4289">
            <w:t>of</w:t>
          </w:r>
          <w:r>
            <w:t xml:space="preserve"> </w:t>
          </w:r>
          <w:r>
            <w:fldChar w:fldCharType="begin"/>
          </w:r>
          <w:r>
            <w:instrText xml:space="preserve">= </w:instrText>
          </w:r>
          <w:fldSimple w:instr=" NUMPAGES ">
            <w:r w:rsidR="00297BD5">
              <w:rPr>
                <w:noProof/>
              </w:rPr>
              <w:instrText>56</w:instrText>
            </w:r>
          </w:fldSimple>
          <w:r>
            <w:rPr>
              <w:noProof/>
            </w:rPr>
            <w:instrText>- 7</w:instrText>
          </w:r>
          <w:r>
            <w:instrText xml:space="preserve"> </w:instrText>
          </w:r>
          <w:r>
            <w:fldChar w:fldCharType="separate"/>
          </w:r>
          <w:r w:rsidR="00297BD5">
            <w:rPr>
              <w:noProof/>
            </w:rPr>
            <w:t>49</w:t>
          </w:r>
          <w:r>
            <w:fldChar w:fldCharType="end"/>
          </w:r>
        </w:p>
      </w:tc>
      <w:tc>
        <w:tcPr>
          <w:tcW w:w="190" w:type="dxa"/>
          <w:noWrap/>
          <w:tcMar>
            <w:left w:w="0" w:type="dxa"/>
            <w:right w:w="0" w:type="dxa"/>
          </w:tcMar>
        </w:tcPr>
        <w:p w:rsidR="005B0700" w:rsidRPr="00DD10FC" w:rsidRDefault="005B0700" w:rsidP="00C602B1">
          <w:pPr>
            <w:pStyle w:val="Footer"/>
            <w:jc w:val="right"/>
          </w:pPr>
          <w:r w:rsidRPr="00DD10FC">
            <w:t>|</w:t>
          </w:r>
        </w:p>
      </w:tc>
      <w:tc>
        <w:tcPr>
          <w:tcW w:w="191" w:type="dxa"/>
        </w:tcPr>
        <w:p w:rsidR="005B0700" w:rsidRPr="00342D57" w:rsidRDefault="005B0700" w:rsidP="00C602B1">
          <w:pPr>
            <w:pStyle w:val="Footer"/>
          </w:pPr>
        </w:p>
      </w:tc>
      <w:tc>
        <w:tcPr>
          <w:tcW w:w="8606" w:type="dxa"/>
        </w:tcPr>
        <w:p w:rsidR="005B0700" w:rsidRPr="00FE063F" w:rsidRDefault="005B0700" w:rsidP="00C602B1">
          <w:pPr>
            <w:pStyle w:val="Footer"/>
            <w:rPr>
              <w:rFonts w:eastAsia="SimSun"/>
            </w:rPr>
          </w:pPr>
          <w:r w:rsidRPr="007108C5">
            <w:rPr>
              <w:rFonts w:eastAsia="SimSun"/>
            </w:rPr>
            <w:t>Annual Report 201</w:t>
          </w:r>
          <w:r>
            <w:rPr>
              <w:rFonts w:eastAsia="SimSun"/>
            </w:rPr>
            <w:t>3</w:t>
          </w:r>
          <w:r w:rsidRPr="007108C5">
            <w:rPr>
              <w:rFonts w:eastAsia="SimSun"/>
            </w:rPr>
            <w:t>–1</w:t>
          </w:r>
          <w:r>
            <w:rPr>
              <w:rFonts w:eastAsia="SimSun"/>
            </w:rPr>
            <w:t>4</w:t>
          </w:r>
          <w:r>
            <w:rPr>
              <w:rFonts w:eastAsia="SimSun"/>
            </w:rPr>
            <w:t> </w:t>
          </w:r>
          <w:r w:rsidRPr="007108C5">
            <w:rPr>
              <w:rFonts w:eastAsia="SimSun"/>
            </w:rPr>
            <w:t>Queensland Studies Authority</w:t>
          </w:r>
        </w:p>
      </w:tc>
    </w:tr>
  </w:tbl>
  <w:p w:rsidR="005B0700" w:rsidRPr="00A50892" w:rsidRDefault="005B0700" w:rsidP="00A50892">
    <w:pPr>
      <w:pStyle w:val="smallspac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879" w:type="dxa"/>
      <w:tblLayout w:type="fixed"/>
      <w:tblCellMar>
        <w:left w:w="0" w:type="dxa"/>
        <w:right w:w="0" w:type="dxa"/>
      </w:tblCellMar>
      <w:tblLook w:val="0600" w:firstRow="0" w:lastRow="0" w:firstColumn="0" w:lastColumn="0" w:noHBand="1" w:noVBand="1"/>
    </w:tblPr>
    <w:tblGrid>
      <w:gridCol w:w="8458"/>
      <w:gridCol w:w="183"/>
      <w:gridCol w:w="183"/>
      <w:gridCol w:w="701"/>
    </w:tblGrid>
    <w:tr w:rsidR="005B0700" w:rsidRPr="007165FF" w:rsidTr="00C602B1">
      <w:trPr>
        <w:cantSplit/>
      </w:trPr>
      <w:tc>
        <w:tcPr>
          <w:tcW w:w="9354" w:type="dxa"/>
          <w:noWrap/>
          <w:tcMar>
            <w:left w:w="0" w:type="dxa"/>
            <w:right w:w="0" w:type="dxa"/>
          </w:tcMar>
        </w:tcPr>
        <w:p w:rsidR="005B0700" w:rsidRPr="007165FF" w:rsidRDefault="005A4557" w:rsidP="006426EB">
          <w:pPr>
            <w:pStyle w:val="Footer"/>
            <w:jc w:val="right"/>
          </w:pPr>
          <w:fldSimple w:instr=" STYLEREF  &quot;Heading 1&quot;  \* MERGEFORMAT ">
            <w:r w:rsidR="00297BD5">
              <w:rPr>
                <w:noProof/>
              </w:rPr>
              <w:t>Appendixes</w:t>
            </w:r>
          </w:fldSimple>
        </w:p>
      </w:tc>
      <w:tc>
        <w:tcPr>
          <w:tcW w:w="200" w:type="dxa"/>
          <w:noWrap/>
          <w:tcMar>
            <w:left w:w="0" w:type="dxa"/>
            <w:right w:w="0" w:type="dxa"/>
          </w:tcMar>
        </w:tcPr>
        <w:p w:rsidR="005B0700" w:rsidRPr="007165FF" w:rsidRDefault="005B0700" w:rsidP="00C47750">
          <w:pPr>
            <w:pStyle w:val="Footer"/>
          </w:pPr>
        </w:p>
      </w:tc>
      <w:tc>
        <w:tcPr>
          <w:tcW w:w="200" w:type="dxa"/>
          <w:tcMar>
            <w:left w:w="0" w:type="dxa"/>
            <w:right w:w="0" w:type="dxa"/>
          </w:tcMar>
        </w:tcPr>
        <w:p w:rsidR="005B0700" w:rsidRPr="007165FF" w:rsidRDefault="005B0700" w:rsidP="00C47750">
          <w:pPr>
            <w:pStyle w:val="Footer"/>
          </w:pPr>
          <w:r w:rsidRPr="007165FF">
            <w:t>|</w:t>
          </w:r>
        </w:p>
      </w:tc>
      <w:tc>
        <w:tcPr>
          <w:tcW w:w="773" w:type="dxa"/>
          <w:tcMar>
            <w:left w:w="0" w:type="dxa"/>
            <w:right w:w="0" w:type="dxa"/>
          </w:tcMar>
        </w:tcPr>
        <w:p w:rsidR="005B0700" w:rsidRPr="00ED7CB2" w:rsidRDefault="005B0700" w:rsidP="00E30EC3">
          <w:pPr>
            <w:pStyle w:val="Footer"/>
            <w:rPr>
              <w:rStyle w:val="Footerbold"/>
              <w:rFonts w:ascii="MetaBookLF-Roman" w:hAnsi="MetaBookLF-Roman"/>
              <w:b w:val="0"/>
              <w:color w:val="000000" w:themeColor="text1"/>
              <w:sz w:val="18"/>
            </w:rPr>
          </w:pPr>
          <w:r w:rsidRPr="006C4289">
            <w:fldChar w:fldCharType="begin"/>
          </w:r>
          <w:r w:rsidRPr="006C4289">
            <w:instrText xml:space="preserve">PAGE  </w:instrText>
          </w:r>
          <w:r w:rsidRPr="006C4289">
            <w:fldChar w:fldCharType="separate"/>
          </w:r>
          <w:r w:rsidR="00297BD5">
            <w:rPr>
              <w:noProof/>
            </w:rPr>
            <w:t>53</w:t>
          </w:r>
          <w:r w:rsidRPr="006C4289">
            <w:fldChar w:fldCharType="end"/>
          </w:r>
          <w:r>
            <w:t xml:space="preserve"> of </w:t>
          </w:r>
          <w:r>
            <w:fldChar w:fldCharType="begin"/>
          </w:r>
          <w:r>
            <w:instrText xml:space="preserve">= </w:instrText>
          </w:r>
          <w:fldSimple w:instr=" NUMPAGES ">
            <w:r w:rsidR="00297BD5">
              <w:rPr>
                <w:noProof/>
              </w:rPr>
              <w:instrText>59</w:instrText>
            </w:r>
          </w:fldSimple>
          <w:r>
            <w:rPr>
              <w:noProof/>
            </w:rPr>
            <w:instrText xml:space="preserve"> - 7</w:instrText>
          </w:r>
          <w:r>
            <w:instrText xml:space="preserve"> </w:instrText>
          </w:r>
          <w:r>
            <w:fldChar w:fldCharType="separate"/>
          </w:r>
          <w:r w:rsidR="00297BD5">
            <w:rPr>
              <w:noProof/>
            </w:rPr>
            <w:t>52</w:t>
          </w:r>
          <w:r>
            <w:fldChar w:fldCharType="end"/>
          </w:r>
        </w:p>
      </w:tc>
    </w:tr>
  </w:tbl>
  <w:p w:rsidR="005B0700" w:rsidRPr="007165FF" w:rsidRDefault="005B0700" w:rsidP="00A50892">
    <w:pPr>
      <w:pStyle w:val="smallspac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0" w:type="dxa"/>
      <w:tblInd w:w="-907" w:type="dxa"/>
      <w:tblLayout w:type="fixed"/>
      <w:tblCellMar>
        <w:left w:w="0" w:type="dxa"/>
        <w:right w:w="0" w:type="dxa"/>
      </w:tblCellMar>
      <w:tblLook w:val="0600" w:firstRow="0" w:lastRow="0" w:firstColumn="0" w:lastColumn="0" w:noHBand="1" w:noVBand="1"/>
    </w:tblPr>
    <w:tblGrid>
      <w:gridCol w:w="763"/>
      <w:gridCol w:w="220"/>
      <w:gridCol w:w="222"/>
      <w:gridCol w:w="10135"/>
    </w:tblGrid>
    <w:tr w:rsidR="005B0700" w:rsidRPr="00342D57" w:rsidTr="006775EA">
      <w:trPr>
        <w:cantSplit/>
      </w:trPr>
      <w:tc>
        <w:tcPr>
          <w:tcW w:w="765" w:type="dxa"/>
          <w:noWrap/>
          <w:tcMar>
            <w:left w:w="0" w:type="dxa"/>
            <w:right w:w="0" w:type="dxa"/>
          </w:tcMar>
        </w:tcPr>
        <w:p w:rsidR="005B0700" w:rsidRPr="00DD10FC" w:rsidRDefault="005B0700" w:rsidP="00C46B0C">
          <w:pPr>
            <w:pStyle w:val="Footer"/>
            <w:jc w:val="right"/>
          </w:pPr>
        </w:p>
      </w:tc>
      <w:tc>
        <w:tcPr>
          <w:tcW w:w="220" w:type="dxa"/>
          <w:noWrap/>
          <w:tcMar>
            <w:left w:w="0" w:type="dxa"/>
            <w:right w:w="0" w:type="dxa"/>
          </w:tcMar>
        </w:tcPr>
        <w:p w:rsidR="005B0700" w:rsidRPr="00DD10FC" w:rsidRDefault="005B0700" w:rsidP="00C47750">
          <w:pPr>
            <w:pStyle w:val="Footer"/>
            <w:jc w:val="right"/>
          </w:pPr>
        </w:p>
      </w:tc>
      <w:tc>
        <w:tcPr>
          <w:tcW w:w="222" w:type="dxa"/>
        </w:tcPr>
        <w:p w:rsidR="005B0700" w:rsidRPr="00342D57" w:rsidRDefault="005B0700" w:rsidP="00C47750">
          <w:pPr>
            <w:pStyle w:val="Footer"/>
          </w:pPr>
        </w:p>
      </w:tc>
      <w:tc>
        <w:tcPr>
          <w:tcW w:w="10149" w:type="dxa"/>
        </w:tcPr>
        <w:p w:rsidR="005B0700" w:rsidRPr="00FE063F" w:rsidRDefault="005B0700" w:rsidP="00103D26">
          <w:pPr>
            <w:pStyle w:val="Footer"/>
            <w:rPr>
              <w:rFonts w:eastAsia="SimSun"/>
            </w:rPr>
          </w:pPr>
        </w:p>
      </w:tc>
    </w:tr>
  </w:tbl>
  <w:p w:rsidR="005B0700" w:rsidRPr="00A50892" w:rsidRDefault="005B0700" w:rsidP="00A50892">
    <w:pPr>
      <w:pStyle w:val="smallspac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7165FF" w:rsidRDefault="005B0700" w:rsidP="000C109B">
    <w:pPr>
      <w:pStyle w:val="BodyText"/>
      <w:rPr>
        <w:rFonts w:eastAsia="SimSun"/>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8035BA" w:rsidRDefault="005B0700" w:rsidP="000C109B">
    <w:pPr>
      <w:pStyle w:val="BodyTex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39039F" w:rsidRDefault="005B0700" w:rsidP="000C109B">
    <w:pPr>
      <w:pStyle w:val="Body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A508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EC2D1D" w:rsidRDefault="005B0700" w:rsidP="00EC2D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EC2D1D" w:rsidRDefault="005B0700" w:rsidP="00A50892">
    <w:pPr>
      <w:pStyle w:val="Footer"/>
      <w:rPr>
        <w:rFonts w:eastAsia="SimSu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794" w:type="dxa"/>
      <w:tblLayout w:type="fixed"/>
      <w:tblCellMar>
        <w:left w:w="0" w:type="dxa"/>
        <w:right w:w="0" w:type="dxa"/>
      </w:tblCellMar>
      <w:tblLook w:val="0600" w:firstRow="0" w:lastRow="0" w:firstColumn="0" w:lastColumn="0" w:noHBand="1" w:noVBand="1"/>
    </w:tblPr>
    <w:tblGrid>
      <w:gridCol w:w="644"/>
      <w:gridCol w:w="188"/>
      <w:gridCol w:w="189"/>
      <w:gridCol w:w="8504"/>
    </w:tblGrid>
    <w:tr w:rsidR="005B0700" w:rsidRPr="00342D57" w:rsidTr="00853871">
      <w:trPr>
        <w:cantSplit/>
      </w:trPr>
      <w:tc>
        <w:tcPr>
          <w:tcW w:w="644" w:type="dxa"/>
          <w:noWrap/>
          <w:tcMar>
            <w:left w:w="0" w:type="dxa"/>
            <w:right w:w="0" w:type="dxa"/>
          </w:tcMar>
        </w:tcPr>
        <w:p w:rsidR="005B0700" w:rsidRPr="00DD10FC" w:rsidRDefault="005B0700" w:rsidP="00853871">
          <w:pPr>
            <w:pStyle w:val="Footer"/>
            <w:ind w:left="-284" w:firstLine="284"/>
            <w:jc w:val="right"/>
          </w:pPr>
          <w:r w:rsidRPr="006C4289">
            <w:fldChar w:fldCharType="begin"/>
          </w:r>
          <w:r w:rsidRPr="006C4289">
            <w:instrText xml:space="preserve">PAGE  </w:instrText>
          </w:r>
          <w:r w:rsidRPr="006C4289">
            <w:fldChar w:fldCharType="separate"/>
          </w:r>
          <w:r w:rsidR="00297BD5">
            <w:rPr>
              <w:noProof/>
            </w:rPr>
            <w:t>18</w:t>
          </w:r>
          <w:r w:rsidRPr="006C4289">
            <w:fldChar w:fldCharType="end"/>
          </w:r>
          <w:r>
            <w:t xml:space="preserve"> </w:t>
          </w:r>
          <w:r w:rsidRPr="006C4289">
            <w:t>of</w:t>
          </w:r>
          <w:r>
            <w:t xml:space="preserve"> </w:t>
          </w:r>
          <w:r>
            <w:fldChar w:fldCharType="begin"/>
          </w:r>
          <w:r>
            <w:instrText xml:space="preserve">= </w:instrText>
          </w:r>
          <w:fldSimple w:instr=" NUMPAGES ">
            <w:r w:rsidR="00297BD5">
              <w:rPr>
                <w:noProof/>
              </w:rPr>
              <w:instrText>24</w:instrText>
            </w:r>
          </w:fldSimple>
          <w:r>
            <w:rPr>
              <w:noProof/>
            </w:rPr>
            <w:instrText>- 7</w:instrText>
          </w:r>
          <w:r>
            <w:instrText xml:space="preserve"> </w:instrText>
          </w:r>
          <w:r>
            <w:fldChar w:fldCharType="separate"/>
          </w:r>
          <w:r w:rsidR="00297BD5">
            <w:rPr>
              <w:noProof/>
            </w:rPr>
            <w:t>17</w:t>
          </w:r>
          <w:r>
            <w:fldChar w:fldCharType="end"/>
          </w:r>
        </w:p>
      </w:tc>
      <w:tc>
        <w:tcPr>
          <w:tcW w:w="188" w:type="dxa"/>
          <w:noWrap/>
          <w:tcMar>
            <w:left w:w="0" w:type="dxa"/>
            <w:right w:w="0" w:type="dxa"/>
          </w:tcMar>
        </w:tcPr>
        <w:p w:rsidR="005B0700" w:rsidRPr="00DD10FC" w:rsidRDefault="005B0700" w:rsidP="00C47750">
          <w:pPr>
            <w:pStyle w:val="Footer"/>
            <w:jc w:val="right"/>
          </w:pPr>
          <w:r w:rsidRPr="00DD10FC">
            <w:t>|</w:t>
          </w:r>
        </w:p>
      </w:tc>
      <w:tc>
        <w:tcPr>
          <w:tcW w:w="189" w:type="dxa"/>
        </w:tcPr>
        <w:p w:rsidR="005B0700" w:rsidRPr="00342D57" w:rsidRDefault="005B0700" w:rsidP="00C47750">
          <w:pPr>
            <w:pStyle w:val="Footer"/>
          </w:pPr>
        </w:p>
      </w:tc>
      <w:tc>
        <w:tcPr>
          <w:tcW w:w="8504" w:type="dxa"/>
        </w:tcPr>
        <w:p w:rsidR="005B0700" w:rsidRPr="00FE063F" w:rsidRDefault="005B0700" w:rsidP="00103D26">
          <w:pPr>
            <w:pStyle w:val="Footer"/>
            <w:rPr>
              <w:rFonts w:eastAsia="SimSun"/>
            </w:rPr>
          </w:pPr>
          <w:r w:rsidRPr="007108C5">
            <w:rPr>
              <w:rFonts w:eastAsia="SimSun"/>
            </w:rPr>
            <w:t>Annual Report 201</w:t>
          </w:r>
          <w:r>
            <w:rPr>
              <w:rFonts w:eastAsia="SimSun"/>
            </w:rPr>
            <w:t>3</w:t>
          </w:r>
          <w:r w:rsidRPr="007108C5">
            <w:rPr>
              <w:rFonts w:eastAsia="SimSun"/>
            </w:rPr>
            <w:t>–1</w:t>
          </w:r>
          <w:r>
            <w:rPr>
              <w:rFonts w:eastAsia="SimSun"/>
            </w:rPr>
            <w:t>4</w:t>
          </w:r>
          <w:r>
            <w:rPr>
              <w:rFonts w:eastAsia="SimSun"/>
            </w:rPr>
            <w:t> </w:t>
          </w:r>
          <w:r w:rsidRPr="007108C5">
            <w:rPr>
              <w:rFonts w:eastAsia="SimSun"/>
            </w:rPr>
            <w:t>Queensland Studies Authority</w:t>
          </w:r>
        </w:p>
      </w:tc>
    </w:tr>
  </w:tbl>
  <w:p w:rsidR="005B0700" w:rsidRPr="00A50892" w:rsidRDefault="005B0700" w:rsidP="00A50892">
    <w:pPr>
      <w:pStyle w:val="smallspac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879" w:type="dxa"/>
      <w:tblLayout w:type="fixed"/>
      <w:tblCellMar>
        <w:left w:w="0" w:type="dxa"/>
        <w:right w:w="0" w:type="dxa"/>
      </w:tblCellMar>
      <w:tblLook w:val="0600" w:firstRow="0" w:lastRow="0" w:firstColumn="0" w:lastColumn="0" w:noHBand="1" w:noVBand="1"/>
    </w:tblPr>
    <w:tblGrid>
      <w:gridCol w:w="8458"/>
      <w:gridCol w:w="183"/>
      <w:gridCol w:w="183"/>
      <w:gridCol w:w="701"/>
    </w:tblGrid>
    <w:tr w:rsidR="005B0700" w:rsidRPr="007165FF" w:rsidTr="00EC485A">
      <w:trPr>
        <w:cantSplit/>
      </w:trPr>
      <w:tc>
        <w:tcPr>
          <w:tcW w:w="9354" w:type="dxa"/>
          <w:noWrap/>
          <w:tcMar>
            <w:left w:w="0" w:type="dxa"/>
            <w:right w:w="0" w:type="dxa"/>
          </w:tcMar>
        </w:tcPr>
        <w:p w:rsidR="005B0700" w:rsidRPr="007165FF" w:rsidRDefault="005B0700" w:rsidP="00EC485A">
          <w:pPr>
            <w:pStyle w:val="Footer"/>
            <w:tabs>
              <w:tab w:val="left" w:pos="1410"/>
              <w:tab w:val="right" w:pos="8458"/>
            </w:tabs>
          </w:pPr>
          <w:r>
            <w:tab/>
          </w:r>
          <w:r>
            <w:tab/>
          </w:r>
          <w:fldSimple w:instr=" STYLEREF  &quot;Heading 1&quot;  \* MERGEFORMAT ">
            <w:r w:rsidR="00297BD5">
              <w:rPr>
                <w:noProof/>
              </w:rPr>
              <w:t>Program review</w:t>
            </w:r>
          </w:fldSimple>
        </w:p>
      </w:tc>
      <w:tc>
        <w:tcPr>
          <w:tcW w:w="200" w:type="dxa"/>
          <w:noWrap/>
          <w:tcMar>
            <w:left w:w="0" w:type="dxa"/>
            <w:right w:w="0" w:type="dxa"/>
          </w:tcMar>
        </w:tcPr>
        <w:p w:rsidR="005B0700" w:rsidRPr="007165FF" w:rsidRDefault="005B0700" w:rsidP="00C47750">
          <w:pPr>
            <w:pStyle w:val="Footer"/>
          </w:pPr>
        </w:p>
      </w:tc>
      <w:tc>
        <w:tcPr>
          <w:tcW w:w="200" w:type="dxa"/>
          <w:tcMar>
            <w:left w:w="0" w:type="dxa"/>
            <w:right w:w="0" w:type="dxa"/>
          </w:tcMar>
        </w:tcPr>
        <w:p w:rsidR="005B0700" w:rsidRPr="007165FF" w:rsidRDefault="005B0700" w:rsidP="00C47750">
          <w:pPr>
            <w:pStyle w:val="Footer"/>
          </w:pPr>
          <w:r w:rsidRPr="007165FF">
            <w:t>|</w:t>
          </w:r>
        </w:p>
      </w:tc>
      <w:bookmarkStart w:id="21" w:name="_Toc274045233"/>
      <w:bookmarkStart w:id="22" w:name="_Toc300136458"/>
      <w:bookmarkEnd w:id="21"/>
      <w:bookmarkEnd w:id="22"/>
      <w:tc>
        <w:tcPr>
          <w:tcW w:w="773" w:type="dxa"/>
          <w:tcMar>
            <w:left w:w="0" w:type="dxa"/>
            <w:right w:w="0" w:type="dxa"/>
          </w:tcMar>
        </w:tcPr>
        <w:p w:rsidR="005B0700" w:rsidRPr="00ED7CB2" w:rsidRDefault="005B0700" w:rsidP="00E30EC3">
          <w:pPr>
            <w:pStyle w:val="Footer"/>
            <w:rPr>
              <w:rStyle w:val="Footerbold"/>
              <w:rFonts w:ascii="MetaBookLF-Roman" w:hAnsi="MetaBookLF-Roman"/>
              <w:b w:val="0"/>
              <w:color w:val="000000" w:themeColor="text1"/>
              <w:sz w:val="18"/>
            </w:rPr>
          </w:pPr>
          <w:r w:rsidRPr="006C4289">
            <w:fldChar w:fldCharType="begin"/>
          </w:r>
          <w:r w:rsidRPr="006C4289">
            <w:instrText xml:space="preserve">PAGE  </w:instrText>
          </w:r>
          <w:r w:rsidRPr="006C4289">
            <w:fldChar w:fldCharType="separate"/>
          </w:r>
          <w:r w:rsidR="00297BD5">
            <w:rPr>
              <w:noProof/>
            </w:rPr>
            <w:t>17</w:t>
          </w:r>
          <w:r w:rsidRPr="006C4289">
            <w:fldChar w:fldCharType="end"/>
          </w:r>
          <w:r>
            <w:t xml:space="preserve"> of </w:t>
          </w:r>
          <w:r>
            <w:fldChar w:fldCharType="begin"/>
          </w:r>
          <w:r>
            <w:instrText xml:space="preserve">= </w:instrText>
          </w:r>
          <w:fldSimple w:instr=" NUMPAGES ">
            <w:r w:rsidR="00297BD5">
              <w:rPr>
                <w:noProof/>
              </w:rPr>
              <w:instrText>21</w:instrText>
            </w:r>
          </w:fldSimple>
          <w:r>
            <w:rPr>
              <w:noProof/>
            </w:rPr>
            <w:instrText xml:space="preserve"> - 7</w:instrText>
          </w:r>
          <w:r>
            <w:instrText xml:space="preserve"> </w:instrText>
          </w:r>
          <w:r>
            <w:fldChar w:fldCharType="separate"/>
          </w:r>
          <w:r w:rsidR="00297BD5">
            <w:rPr>
              <w:noProof/>
            </w:rPr>
            <w:t>14</w:t>
          </w:r>
          <w:r>
            <w:fldChar w:fldCharType="end"/>
          </w:r>
          <w:bookmarkStart w:id="23" w:name="_Toc314059834"/>
        </w:p>
      </w:tc>
    </w:tr>
    <w:bookmarkEnd w:id="23"/>
  </w:tbl>
  <w:p w:rsidR="005B0700" w:rsidRPr="007165FF" w:rsidRDefault="005B0700" w:rsidP="00A50892">
    <w:pPr>
      <w:pStyle w:val="smallspac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794" w:type="dxa"/>
      <w:tblLayout w:type="fixed"/>
      <w:tblCellMar>
        <w:left w:w="0" w:type="dxa"/>
        <w:right w:w="0" w:type="dxa"/>
      </w:tblCellMar>
      <w:tblLook w:val="0600" w:firstRow="0" w:lastRow="0" w:firstColumn="0" w:lastColumn="0" w:noHBand="1" w:noVBand="1"/>
    </w:tblPr>
    <w:tblGrid>
      <w:gridCol w:w="644"/>
      <w:gridCol w:w="188"/>
      <w:gridCol w:w="189"/>
      <w:gridCol w:w="8504"/>
    </w:tblGrid>
    <w:tr w:rsidR="005B0700" w:rsidRPr="00342D57" w:rsidTr="00853871">
      <w:trPr>
        <w:cantSplit/>
      </w:trPr>
      <w:tc>
        <w:tcPr>
          <w:tcW w:w="644" w:type="dxa"/>
          <w:noWrap/>
          <w:tcMar>
            <w:left w:w="0" w:type="dxa"/>
            <w:right w:w="0" w:type="dxa"/>
          </w:tcMar>
        </w:tcPr>
        <w:p w:rsidR="005B0700" w:rsidRPr="00DD10FC" w:rsidRDefault="005B0700" w:rsidP="00853871">
          <w:pPr>
            <w:pStyle w:val="Footer"/>
            <w:ind w:left="-284" w:firstLine="284"/>
            <w:jc w:val="right"/>
          </w:pPr>
          <w:r w:rsidRPr="006C4289">
            <w:fldChar w:fldCharType="begin"/>
          </w:r>
          <w:r w:rsidRPr="006C4289">
            <w:instrText xml:space="preserve">PAGE  </w:instrText>
          </w:r>
          <w:r w:rsidRPr="006C4289">
            <w:fldChar w:fldCharType="separate"/>
          </w:r>
          <w:r w:rsidR="00C41AFC">
            <w:rPr>
              <w:noProof/>
            </w:rPr>
            <w:t>2</w:t>
          </w:r>
          <w:r w:rsidRPr="006C4289">
            <w:fldChar w:fldCharType="end"/>
          </w:r>
          <w:r>
            <w:t xml:space="preserve"> </w:t>
          </w:r>
          <w:r w:rsidRPr="006C4289">
            <w:t>of</w:t>
          </w:r>
          <w:r>
            <w:t xml:space="preserve"> </w:t>
          </w:r>
          <w:r>
            <w:fldChar w:fldCharType="begin"/>
          </w:r>
          <w:r>
            <w:instrText xml:space="preserve">= </w:instrText>
          </w:r>
          <w:fldSimple w:instr=" NUMPAGES ">
            <w:r w:rsidR="00C41AFC">
              <w:rPr>
                <w:noProof/>
              </w:rPr>
              <w:instrText>60</w:instrText>
            </w:r>
          </w:fldSimple>
          <w:r>
            <w:rPr>
              <w:noProof/>
            </w:rPr>
            <w:instrText>- 7</w:instrText>
          </w:r>
          <w:r>
            <w:instrText xml:space="preserve"> </w:instrText>
          </w:r>
          <w:r>
            <w:fldChar w:fldCharType="separate"/>
          </w:r>
          <w:r w:rsidR="00C41AFC">
            <w:rPr>
              <w:noProof/>
            </w:rPr>
            <w:t>53</w:t>
          </w:r>
          <w:r>
            <w:fldChar w:fldCharType="end"/>
          </w:r>
        </w:p>
      </w:tc>
      <w:tc>
        <w:tcPr>
          <w:tcW w:w="188" w:type="dxa"/>
          <w:noWrap/>
          <w:tcMar>
            <w:left w:w="0" w:type="dxa"/>
            <w:right w:w="0" w:type="dxa"/>
          </w:tcMar>
        </w:tcPr>
        <w:p w:rsidR="005B0700" w:rsidRPr="00DD10FC" w:rsidRDefault="005B0700" w:rsidP="00C47750">
          <w:pPr>
            <w:pStyle w:val="Footer"/>
            <w:jc w:val="right"/>
          </w:pPr>
          <w:r w:rsidRPr="00DD10FC">
            <w:t>|</w:t>
          </w:r>
        </w:p>
      </w:tc>
      <w:tc>
        <w:tcPr>
          <w:tcW w:w="189" w:type="dxa"/>
        </w:tcPr>
        <w:p w:rsidR="005B0700" w:rsidRPr="00342D57" w:rsidRDefault="005B0700" w:rsidP="00C47750">
          <w:pPr>
            <w:pStyle w:val="Footer"/>
          </w:pPr>
        </w:p>
      </w:tc>
      <w:tc>
        <w:tcPr>
          <w:tcW w:w="8504" w:type="dxa"/>
        </w:tcPr>
        <w:p w:rsidR="005B0700" w:rsidRPr="00FE063F" w:rsidRDefault="005B0700" w:rsidP="00103D26">
          <w:pPr>
            <w:pStyle w:val="Footer"/>
            <w:rPr>
              <w:rFonts w:eastAsia="SimSun"/>
            </w:rPr>
          </w:pPr>
          <w:r>
            <w:rPr>
              <w:rFonts w:eastAsia="SimSun"/>
              <w:noProof/>
            </w:rPr>
            <w:drawing>
              <wp:anchor distT="0" distB="0" distL="114300" distR="114300" simplePos="0" relativeHeight="251707392" behindDoc="0" locked="0" layoutInCell="1" allowOverlap="1" wp14:anchorId="673BC7EF" wp14:editId="7B7205FF">
                <wp:simplePos x="0" y="0"/>
                <wp:positionH relativeFrom="column">
                  <wp:posOffset>3004820</wp:posOffset>
                </wp:positionH>
                <wp:positionV relativeFrom="paragraph">
                  <wp:posOffset>-151130</wp:posOffset>
                </wp:positionV>
                <wp:extent cx="1324800" cy="378000"/>
                <wp:effectExtent l="19050" t="57150" r="27940" b="603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_certified.jpg"/>
                        <pic:cNvPicPr/>
                      </pic:nvPicPr>
                      <pic:blipFill>
                        <a:blip r:embed="rId1">
                          <a:extLst>
                            <a:ext uri="{28A0092B-C50C-407E-A947-70E740481C1C}">
                              <a14:useLocalDpi xmlns:a14="http://schemas.microsoft.com/office/drawing/2010/main" val="0"/>
                            </a:ext>
                          </a:extLst>
                        </a:blip>
                        <a:stretch>
                          <a:fillRect/>
                        </a:stretch>
                      </pic:blipFill>
                      <pic:spPr>
                        <a:xfrm rot="300000">
                          <a:off x="0" y="0"/>
                          <a:ext cx="1324800" cy="378000"/>
                        </a:xfrm>
                        <a:prstGeom prst="rect">
                          <a:avLst/>
                        </a:prstGeom>
                      </pic:spPr>
                    </pic:pic>
                  </a:graphicData>
                </a:graphic>
                <wp14:sizeRelH relativeFrom="margin">
                  <wp14:pctWidth>0</wp14:pctWidth>
                </wp14:sizeRelH>
                <wp14:sizeRelV relativeFrom="margin">
                  <wp14:pctHeight>0</wp14:pctHeight>
                </wp14:sizeRelV>
              </wp:anchor>
            </w:drawing>
          </w:r>
          <w:r w:rsidRPr="007108C5">
            <w:rPr>
              <w:rFonts w:eastAsia="SimSun"/>
            </w:rPr>
            <w:t>Annual Report 201</w:t>
          </w:r>
          <w:r>
            <w:rPr>
              <w:rFonts w:eastAsia="SimSun"/>
            </w:rPr>
            <w:t>3</w:t>
          </w:r>
          <w:r w:rsidRPr="007108C5">
            <w:rPr>
              <w:rFonts w:eastAsia="SimSun"/>
            </w:rPr>
            <w:t>–1</w:t>
          </w:r>
          <w:r>
            <w:rPr>
              <w:rFonts w:eastAsia="SimSun"/>
            </w:rPr>
            <w:t>4</w:t>
          </w:r>
          <w:r>
            <w:rPr>
              <w:rFonts w:eastAsia="SimSun"/>
            </w:rPr>
            <w:t> </w:t>
          </w:r>
          <w:r w:rsidRPr="007108C5">
            <w:rPr>
              <w:rFonts w:eastAsia="SimSun"/>
            </w:rPr>
            <w:t>Queensland Studies Authority</w:t>
          </w:r>
        </w:p>
      </w:tc>
    </w:tr>
  </w:tbl>
  <w:p w:rsidR="005B0700" w:rsidRPr="00A50892" w:rsidRDefault="005B0700" w:rsidP="00A50892">
    <w:pPr>
      <w:pStyle w:val="smallspac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879" w:type="dxa"/>
      <w:tblLayout w:type="fixed"/>
      <w:tblCellMar>
        <w:left w:w="0" w:type="dxa"/>
        <w:right w:w="0" w:type="dxa"/>
      </w:tblCellMar>
      <w:tblLook w:val="0600" w:firstRow="0" w:lastRow="0" w:firstColumn="0" w:lastColumn="0" w:noHBand="1" w:noVBand="1"/>
    </w:tblPr>
    <w:tblGrid>
      <w:gridCol w:w="8458"/>
      <w:gridCol w:w="183"/>
      <w:gridCol w:w="183"/>
      <w:gridCol w:w="701"/>
    </w:tblGrid>
    <w:tr w:rsidR="005B0700" w:rsidRPr="007165FF" w:rsidTr="00EC485A">
      <w:trPr>
        <w:cantSplit/>
      </w:trPr>
      <w:tc>
        <w:tcPr>
          <w:tcW w:w="9354" w:type="dxa"/>
          <w:noWrap/>
          <w:tcMar>
            <w:left w:w="0" w:type="dxa"/>
            <w:right w:w="0" w:type="dxa"/>
          </w:tcMar>
        </w:tcPr>
        <w:p w:rsidR="005B0700" w:rsidRPr="007165FF" w:rsidRDefault="005A4557" w:rsidP="006426EB">
          <w:pPr>
            <w:pStyle w:val="Footer"/>
            <w:jc w:val="right"/>
          </w:pPr>
          <w:fldSimple w:instr=" STYLEREF  &quot;Heading 1&quot;  \* MERGEFORMAT ">
            <w:r w:rsidR="00297BD5">
              <w:rPr>
                <w:noProof/>
              </w:rPr>
              <w:t>Financial report 2013–14</w:t>
            </w:r>
          </w:fldSimple>
        </w:p>
      </w:tc>
      <w:tc>
        <w:tcPr>
          <w:tcW w:w="200" w:type="dxa"/>
          <w:noWrap/>
          <w:tcMar>
            <w:left w:w="0" w:type="dxa"/>
            <w:right w:w="0" w:type="dxa"/>
          </w:tcMar>
        </w:tcPr>
        <w:p w:rsidR="005B0700" w:rsidRPr="007165FF" w:rsidRDefault="005B0700" w:rsidP="00C47750">
          <w:pPr>
            <w:pStyle w:val="Footer"/>
          </w:pPr>
        </w:p>
      </w:tc>
      <w:tc>
        <w:tcPr>
          <w:tcW w:w="200" w:type="dxa"/>
          <w:tcMar>
            <w:left w:w="0" w:type="dxa"/>
            <w:right w:w="0" w:type="dxa"/>
          </w:tcMar>
        </w:tcPr>
        <w:p w:rsidR="005B0700" w:rsidRPr="007165FF" w:rsidRDefault="005B0700" w:rsidP="00C47750">
          <w:pPr>
            <w:pStyle w:val="Footer"/>
          </w:pPr>
          <w:r w:rsidRPr="007165FF">
            <w:t>|</w:t>
          </w:r>
        </w:p>
      </w:tc>
      <w:tc>
        <w:tcPr>
          <w:tcW w:w="773" w:type="dxa"/>
          <w:tcMar>
            <w:left w:w="0" w:type="dxa"/>
            <w:right w:w="0" w:type="dxa"/>
          </w:tcMar>
        </w:tcPr>
        <w:p w:rsidR="005B0700" w:rsidRPr="00ED7CB2" w:rsidRDefault="005B0700" w:rsidP="00E30EC3">
          <w:pPr>
            <w:pStyle w:val="Footer"/>
            <w:rPr>
              <w:rStyle w:val="Footerbold"/>
              <w:rFonts w:ascii="MetaBookLF-Roman" w:hAnsi="MetaBookLF-Roman"/>
              <w:b w:val="0"/>
              <w:color w:val="000000" w:themeColor="text1"/>
              <w:sz w:val="18"/>
            </w:rPr>
          </w:pPr>
          <w:r w:rsidRPr="006C4289">
            <w:fldChar w:fldCharType="begin"/>
          </w:r>
          <w:r w:rsidRPr="006C4289">
            <w:instrText xml:space="preserve">PAGE  </w:instrText>
          </w:r>
          <w:r w:rsidRPr="006C4289">
            <w:fldChar w:fldCharType="separate"/>
          </w:r>
          <w:r w:rsidR="00297BD5">
            <w:rPr>
              <w:noProof/>
            </w:rPr>
            <w:t>19</w:t>
          </w:r>
          <w:r w:rsidRPr="006C4289">
            <w:fldChar w:fldCharType="end"/>
          </w:r>
          <w:r>
            <w:t xml:space="preserve"> of </w:t>
          </w:r>
          <w:r>
            <w:fldChar w:fldCharType="begin"/>
          </w:r>
          <w:r>
            <w:instrText xml:space="preserve">= </w:instrText>
          </w:r>
          <w:fldSimple w:instr=" NUMPAGES ">
            <w:r w:rsidR="00297BD5">
              <w:rPr>
                <w:noProof/>
              </w:rPr>
              <w:instrText>23</w:instrText>
            </w:r>
          </w:fldSimple>
          <w:r>
            <w:rPr>
              <w:noProof/>
            </w:rPr>
            <w:instrText xml:space="preserve"> - 7</w:instrText>
          </w:r>
          <w:r>
            <w:instrText xml:space="preserve"> </w:instrText>
          </w:r>
          <w:r>
            <w:fldChar w:fldCharType="separate"/>
          </w:r>
          <w:r w:rsidR="00297BD5">
            <w:rPr>
              <w:noProof/>
            </w:rPr>
            <w:t>16</w:t>
          </w:r>
          <w:r>
            <w:fldChar w:fldCharType="end"/>
          </w:r>
        </w:p>
      </w:tc>
    </w:tr>
  </w:tbl>
  <w:p w:rsidR="005B0700" w:rsidRPr="007165FF" w:rsidRDefault="005B0700" w:rsidP="00A50892">
    <w:pPr>
      <w:pStyle w:val="smallspac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794" w:type="dxa"/>
      <w:tblLayout w:type="fixed"/>
      <w:tblCellMar>
        <w:left w:w="0" w:type="dxa"/>
        <w:right w:w="0" w:type="dxa"/>
      </w:tblCellMar>
      <w:tblLook w:val="0600" w:firstRow="0" w:lastRow="0" w:firstColumn="0" w:lastColumn="0" w:noHBand="1" w:noVBand="1"/>
    </w:tblPr>
    <w:tblGrid>
      <w:gridCol w:w="644"/>
      <w:gridCol w:w="188"/>
      <w:gridCol w:w="189"/>
      <w:gridCol w:w="8504"/>
    </w:tblGrid>
    <w:tr w:rsidR="005B0700" w:rsidRPr="00342D57" w:rsidTr="00853871">
      <w:trPr>
        <w:cantSplit/>
      </w:trPr>
      <w:tc>
        <w:tcPr>
          <w:tcW w:w="644" w:type="dxa"/>
          <w:noWrap/>
          <w:tcMar>
            <w:left w:w="0" w:type="dxa"/>
            <w:right w:w="0" w:type="dxa"/>
          </w:tcMar>
        </w:tcPr>
        <w:p w:rsidR="005B0700" w:rsidRPr="00DD10FC" w:rsidRDefault="005B0700" w:rsidP="00853871">
          <w:pPr>
            <w:pStyle w:val="Footer"/>
            <w:ind w:left="-284" w:firstLine="284"/>
            <w:jc w:val="right"/>
          </w:pPr>
          <w:r w:rsidRPr="006C4289">
            <w:fldChar w:fldCharType="begin"/>
          </w:r>
          <w:r w:rsidRPr="006C4289">
            <w:instrText xml:space="preserve">PAGE  </w:instrText>
          </w:r>
          <w:r w:rsidRPr="006C4289">
            <w:fldChar w:fldCharType="separate"/>
          </w:r>
          <w:r w:rsidR="00297BD5">
            <w:rPr>
              <w:noProof/>
            </w:rPr>
            <w:t>30</w:t>
          </w:r>
          <w:r w:rsidRPr="006C4289">
            <w:fldChar w:fldCharType="end"/>
          </w:r>
          <w:r>
            <w:t xml:space="preserve"> </w:t>
          </w:r>
          <w:r w:rsidRPr="006C4289">
            <w:t>of</w:t>
          </w:r>
          <w:r>
            <w:t xml:space="preserve"> </w:t>
          </w:r>
          <w:r>
            <w:fldChar w:fldCharType="begin"/>
          </w:r>
          <w:r>
            <w:instrText xml:space="preserve">= </w:instrText>
          </w:r>
          <w:fldSimple w:instr=" NUMPAGES ">
            <w:r w:rsidR="00297BD5">
              <w:rPr>
                <w:noProof/>
              </w:rPr>
              <w:instrText>37</w:instrText>
            </w:r>
          </w:fldSimple>
          <w:r>
            <w:rPr>
              <w:noProof/>
            </w:rPr>
            <w:instrText>- 7</w:instrText>
          </w:r>
          <w:r>
            <w:instrText xml:space="preserve"> </w:instrText>
          </w:r>
          <w:r>
            <w:fldChar w:fldCharType="separate"/>
          </w:r>
          <w:r w:rsidR="00297BD5">
            <w:rPr>
              <w:noProof/>
            </w:rPr>
            <w:t>30</w:t>
          </w:r>
          <w:r>
            <w:fldChar w:fldCharType="end"/>
          </w:r>
        </w:p>
      </w:tc>
      <w:tc>
        <w:tcPr>
          <w:tcW w:w="188" w:type="dxa"/>
          <w:noWrap/>
          <w:tcMar>
            <w:left w:w="0" w:type="dxa"/>
            <w:right w:w="0" w:type="dxa"/>
          </w:tcMar>
        </w:tcPr>
        <w:p w:rsidR="005B0700" w:rsidRPr="00DD10FC" w:rsidRDefault="005B0700" w:rsidP="00C47750">
          <w:pPr>
            <w:pStyle w:val="Footer"/>
            <w:jc w:val="right"/>
          </w:pPr>
          <w:r w:rsidRPr="00DD10FC">
            <w:t>|</w:t>
          </w:r>
        </w:p>
      </w:tc>
      <w:tc>
        <w:tcPr>
          <w:tcW w:w="189" w:type="dxa"/>
        </w:tcPr>
        <w:p w:rsidR="005B0700" w:rsidRPr="00342D57" w:rsidRDefault="005B0700" w:rsidP="00C47750">
          <w:pPr>
            <w:pStyle w:val="Footer"/>
          </w:pPr>
        </w:p>
      </w:tc>
      <w:tc>
        <w:tcPr>
          <w:tcW w:w="8504" w:type="dxa"/>
        </w:tcPr>
        <w:p w:rsidR="005B0700" w:rsidRPr="00FE063F" w:rsidRDefault="005B0700" w:rsidP="00103D26">
          <w:pPr>
            <w:pStyle w:val="Footer"/>
            <w:rPr>
              <w:rFonts w:eastAsia="SimSun"/>
            </w:rPr>
          </w:pPr>
          <w:r>
            <w:rPr>
              <w:rFonts w:eastAsia="SimSun"/>
              <w:noProof/>
            </w:rPr>
            <w:drawing>
              <wp:anchor distT="0" distB="0" distL="114300" distR="114300" simplePos="0" relativeHeight="251721728" behindDoc="0" locked="0" layoutInCell="1" allowOverlap="1" wp14:anchorId="6F3B36E6" wp14:editId="4DB61216">
                <wp:simplePos x="0" y="0"/>
                <wp:positionH relativeFrom="column">
                  <wp:posOffset>3004820</wp:posOffset>
                </wp:positionH>
                <wp:positionV relativeFrom="paragraph">
                  <wp:posOffset>-151130</wp:posOffset>
                </wp:positionV>
                <wp:extent cx="1324800" cy="378000"/>
                <wp:effectExtent l="19050" t="57150" r="27940" b="603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_certified.jpg"/>
                        <pic:cNvPicPr/>
                      </pic:nvPicPr>
                      <pic:blipFill>
                        <a:blip r:embed="rId1">
                          <a:extLst>
                            <a:ext uri="{28A0092B-C50C-407E-A947-70E740481C1C}">
                              <a14:useLocalDpi xmlns:a14="http://schemas.microsoft.com/office/drawing/2010/main" val="0"/>
                            </a:ext>
                          </a:extLst>
                        </a:blip>
                        <a:stretch>
                          <a:fillRect/>
                        </a:stretch>
                      </pic:blipFill>
                      <pic:spPr>
                        <a:xfrm rot="300000">
                          <a:off x="0" y="0"/>
                          <a:ext cx="1324800" cy="378000"/>
                        </a:xfrm>
                        <a:prstGeom prst="rect">
                          <a:avLst/>
                        </a:prstGeom>
                      </pic:spPr>
                    </pic:pic>
                  </a:graphicData>
                </a:graphic>
                <wp14:sizeRelH relativeFrom="margin">
                  <wp14:pctWidth>0</wp14:pctWidth>
                </wp14:sizeRelH>
                <wp14:sizeRelV relativeFrom="margin">
                  <wp14:pctHeight>0</wp14:pctHeight>
                </wp14:sizeRelV>
              </wp:anchor>
            </w:drawing>
          </w:r>
          <w:r w:rsidRPr="007108C5">
            <w:rPr>
              <w:rFonts w:eastAsia="SimSun"/>
            </w:rPr>
            <w:t>Annual Report 201</w:t>
          </w:r>
          <w:r>
            <w:rPr>
              <w:rFonts w:eastAsia="SimSun"/>
            </w:rPr>
            <w:t>3</w:t>
          </w:r>
          <w:r w:rsidRPr="007108C5">
            <w:rPr>
              <w:rFonts w:eastAsia="SimSun"/>
            </w:rPr>
            <w:t>–1</w:t>
          </w:r>
          <w:r>
            <w:rPr>
              <w:rFonts w:eastAsia="SimSun"/>
            </w:rPr>
            <w:t>4</w:t>
          </w:r>
          <w:r>
            <w:rPr>
              <w:rFonts w:eastAsia="SimSun"/>
            </w:rPr>
            <w:t> </w:t>
          </w:r>
          <w:r w:rsidRPr="007108C5">
            <w:rPr>
              <w:rFonts w:eastAsia="SimSun"/>
            </w:rPr>
            <w:t>Queensland Studies Authority</w:t>
          </w:r>
        </w:p>
      </w:tc>
    </w:tr>
  </w:tbl>
  <w:p w:rsidR="005B0700" w:rsidRPr="00A50892" w:rsidRDefault="005B0700" w:rsidP="00A50892">
    <w:pPr>
      <w:pStyle w:val="smallspac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700" w:rsidRDefault="005B0700" w:rsidP="00AF1BB7">
      <w:r>
        <w:continuationSeparator/>
      </w:r>
    </w:p>
  </w:footnote>
  <w:footnote w:type="continuationSeparator" w:id="0">
    <w:p w:rsidR="005B0700" w:rsidRDefault="005B0700">
      <w:r>
        <w:continuationSeparator/>
      </w:r>
    </w:p>
  </w:footnote>
  <w:footnote w:type="continuationNotice" w:id="1">
    <w:p w:rsidR="005B0700" w:rsidRDefault="005B0700">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C602B1" w:rsidRDefault="005B0700" w:rsidP="00C602B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C602B1" w:rsidRDefault="005B0700" w:rsidP="00C602B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E37680" w:rsidRDefault="005B0700" w:rsidP="00E3768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8875B5" w:rsidRDefault="005B0700" w:rsidP="008875B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E37680" w:rsidRDefault="005B0700" w:rsidP="00E3768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8035BA" w:rsidRDefault="005B0700" w:rsidP="009C431C">
    <w:pPr>
      <w:pStyle w:val="smallspac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826CBE" w:rsidRDefault="005B0700" w:rsidP="00674854">
    <w:pPr>
      <w:pStyle w:val="smallspac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0C109B">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230CBD" w:rsidRDefault="005B0700" w:rsidP="000C109B">
    <w:pPr>
      <w:pStyle w:val="BodyTex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Pr="00797E13" w:rsidRDefault="005B0700" w:rsidP="00E3768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00" w:rsidRDefault="005B0700" w:rsidP="00E376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D9C"/>
    <w:multiLevelType w:val="multilevel"/>
    <w:tmpl w:val="2F16B3A2"/>
    <w:styleLink w:val="ListTableBullet"/>
    <w:lvl w:ilvl="0">
      <w:start w:val="1"/>
      <w:numFmt w:val="bullet"/>
      <w:pStyle w:val="TableBullet"/>
      <w:lvlText w:val=""/>
      <w:lvlJc w:val="left"/>
      <w:pPr>
        <w:tabs>
          <w:tab w:val="num" w:pos="227"/>
        </w:tabs>
        <w:ind w:left="227" w:hanging="227"/>
      </w:pPr>
      <w:rPr>
        <w:rFonts w:ascii="Symbol" w:hAnsi="Symbol" w:hint="default"/>
      </w:rPr>
    </w:lvl>
    <w:lvl w:ilvl="1">
      <w:start w:val="1"/>
      <w:numFmt w:val="bullet"/>
      <w:pStyle w:val="TableBullet2"/>
      <w:lvlText w:val="­"/>
      <w:lvlJc w:val="left"/>
      <w:pPr>
        <w:tabs>
          <w:tab w:val="num" w:pos="454"/>
        </w:tabs>
        <w:ind w:left="454" w:hanging="227"/>
      </w:pPr>
      <w:rPr>
        <w:rFonts w:ascii="Courier New" w:hAnsi="Courier New" w:hint="default"/>
      </w:rPr>
    </w:lvl>
    <w:lvl w:ilvl="2">
      <w:start w:val="1"/>
      <w:numFmt w:val="bullet"/>
      <w:pStyle w:val="TableBullet3"/>
      <w:lvlText w:val=""/>
      <w:lvlJc w:val="left"/>
      <w:pPr>
        <w:tabs>
          <w:tab w:val="num" w:pos="681"/>
        </w:tabs>
        <w:ind w:left="681" w:hanging="22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2043" w:hanging="2043"/>
      </w:pPr>
      <w:rPr>
        <w:rFonts w:hint="default"/>
      </w:rPr>
    </w:lvl>
  </w:abstractNum>
  <w:abstractNum w:abstractNumId="1">
    <w:nsid w:val="03FF72B3"/>
    <w:multiLevelType w:val="hybridMultilevel"/>
    <w:tmpl w:val="0D42FCB0"/>
    <w:lvl w:ilvl="0" w:tplc="0C090001">
      <w:start w:val="1"/>
      <w:numFmt w:val="bullet"/>
      <w:lvlText w:val=""/>
      <w:lvlJc w:val="left"/>
      <w:pPr>
        <w:ind w:left="1365" w:hanging="360"/>
      </w:pPr>
      <w:rPr>
        <w:rFonts w:ascii="Symbol" w:hAnsi="Symbol" w:hint="default"/>
      </w:rPr>
    </w:lvl>
    <w:lvl w:ilvl="1" w:tplc="0C090003" w:tentative="1">
      <w:start w:val="1"/>
      <w:numFmt w:val="bullet"/>
      <w:lvlText w:val="o"/>
      <w:lvlJc w:val="left"/>
      <w:pPr>
        <w:ind w:left="2085" w:hanging="360"/>
      </w:pPr>
      <w:rPr>
        <w:rFonts w:ascii="Courier New" w:hAnsi="Courier New" w:cs="Courier New" w:hint="default"/>
      </w:rPr>
    </w:lvl>
    <w:lvl w:ilvl="2" w:tplc="0C090005" w:tentative="1">
      <w:start w:val="1"/>
      <w:numFmt w:val="bullet"/>
      <w:lvlText w:val=""/>
      <w:lvlJc w:val="left"/>
      <w:pPr>
        <w:ind w:left="2805" w:hanging="360"/>
      </w:pPr>
      <w:rPr>
        <w:rFonts w:ascii="Wingdings" w:hAnsi="Wingdings" w:hint="default"/>
      </w:rPr>
    </w:lvl>
    <w:lvl w:ilvl="3" w:tplc="0C090001" w:tentative="1">
      <w:start w:val="1"/>
      <w:numFmt w:val="bullet"/>
      <w:lvlText w:val=""/>
      <w:lvlJc w:val="left"/>
      <w:pPr>
        <w:ind w:left="3525" w:hanging="360"/>
      </w:pPr>
      <w:rPr>
        <w:rFonts w:ascii="Symbol" w:hAnsi="Symbol" w:hint="default"/>
      </w:rPr>
    </w:lvl>
    <w:lvl w:ilvl="4" w:tplc="0C090003" w:tentative="1">
      <w:start w:val="1"/>
      <w:numFmt w:val="bullet"/>
      <w:lvlText w:val="o"/>
      <w:lvlJc w:val="left"/>
      <w:pPr>
        <w:ind w:left="4245" w:hanging="360"/>
      </w:pPr>
      <w:rPr>
        <w:rFonts w:ascii="Courier New" w:hAnsi="Courier New" w:cs="Courier New" w:hint="default"/>
      </w:rPr>
    </w:lvl>
    <w:lvl w:ilvl="5" w:tplc="0C090005" w:tentative="1">
      <w:start w:val="1"/>
      <w:numFmt w:val="bullet"/>
      <w:lvlText w:val=""/>
      <w:lvlJc w:val="left"/>
      <w:pPr>
        <w:ind w:left="4965" w:hanging="360"/>
      </w:pPr>
      <w:rPr>
        <w:rFonts w:ascii="Wingdings" w:hAnsi="Wingdings" w:hint="default"/>
      </w:rPr>
    </w:lvl>
    <w:lvl w:ilvl="6" w:tplc="0C090001" w:tentative="1">
      <w:start w:val="1"/>
      <w:numFmt w:val="bullet"/>
      <w:lvlText w:val=""/>
      <w:lvlJc w:val="left"/>
      <w:pPr>
        <w:ind w:left="5685" w:hanging="360"/>
      </w:pPr>
      <w:rPr>
        <w:rFonts w:ascii="Symbol" w:hAnsi="Symbol" w:hint="default"/>
      </w:rPr>
    </w:lvl>
    <w:lvl w:ilvl="7" w:tplc="0C090003" w:tentative="1">
      <w:start w:val="1"/>
      <w:numFmt w:val="bullet"/>
      <w:lvlText w:val="o"/>
      <w:lvlJc w:val="left"/>
      <w:pPr>
        <w:ind w:left="6405" w:hanging="360"/>
      </w:pPr>
      <w:rPr>
        <w:rFonts w:ascii="Courier New" w:hAnsi="Courier New" w:cs="Courier New" w:hint="default"/>
      </w:rPr>
    </w:lvl>
    <w:lvl w:ilvl="8" w:tplc="0C090005" w:tentative="1">
      <w:start w:val="1"/>
      <w:numFmt w:val="bullet"/>
      <w:lvlText w:val=""/>
      <w:lvlJc w:val="left"/>
      <w:pPr>
        <w:ind w:left="7125" w:hanging="360"/>
      </w:pPr>
      <w:rPr>
        <w:rFonts w:ascii="Wingdings" w:hAnsi="Wingdings" w:hint="default"/>
      </w:rPr>
    </w:lvl>
  </w:abstractNum>
  <w:abstractNum w:abstractNumId="2">
    <w:nsid w:val="0895624E"/>
    <w:multiLevelType w:val="multilevel"/>
    <w:tmpl w:val="AC281E02"/>
    <w:styleLink w:val="ListPara"/>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4" w:firstLine="0"/>
      </w:pPr>
      <w:rPr>
        <w:rFonts w:hint="default"/>
      </w:rPr>
    </w:lvl>
    <w:lvl w:ilvl="6">
      <w:start w:val="1"/>
      <w:numFmt w:val="none"/>
      <w:suff w:val="nothing"/>
      <w:lvlText w:val=""/>
      <w:lvlJc w:val="left"/>
      <w:pPr>
        <w:ind w:left="1988" w:firstLine="0"/>
      </w:pPr>
      <w:rPr>
        <w:rFonts w:hint="default"/>
      </w:rPr>
    </w:lvl>
    <w:lvl w:ilvl="7">
      <w:start w:val="1"/>
      <w:numFmt w:val="none"/>
      <w:suff w:val="nothing"/>
      <w:lvlText w:val=""/>
      <w:lvlJc w:val="left"/>
      <w:pPr>
        <w:ind w:left="2272" w:firstLine="0"/>
      </w:pPr>
      <w:rPr>
        <w:rFonts w:hint="default"/>
      </w:rPr>
    </w:lvl>
    <w:lvl w:ilvl="8">
      <w:start w:val="1"/>
      <w:numFmt w:val="none"/>
      <w:suff w:val="nothing"/>
      <w:lvlText w:val=""/>
      <w:lvlJc w:val="left"/>
      <w:pPr>
        <w:ind w:left="2556" w:firstLine="0"/>
      </w:pPr>
      <w:rPr>
        <w:rFonts w:hint="default"/>
      </w:rPr>
    </w:lvl>
  </w:abstractNum>
  <w:abstractNum w:abstractNumId="3">
    <w:nsid w:val="0A564698"/>
    <w:multiLevelType w:val="multilevel"/>
    <w:tmpl w:val="019E8B56"/>
    <w:name w:val="List_Bullet"/>
    <w:styleLink w:val="ListBullet"/>
    <w:lvl w:ilvl="0">
      <w:start w:val="1"/>
      <w:numFmt w:val="bullet"/>
      <w:pStyle w:val="ListBullet0"/>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Courier New" w:hAnsi="Courier New" w:hint="default"/>
      </w:rPr>
    </w:lvl>
    <w:lvl w:ilvl="2">
      <w:start w:val="1"/>
      <w:numFmt w:val="bullet"/>
      <w:pStyle w:val="ListBullet3"/>
      <w:lvlText w:val=""/>
      <w:lvlJc w:val="left"/>
      <w:pPr>
        <w:tabs>
          <w:tab w:val="num" w:pos="681"/>
        </w:tabs>
        <w:ind w:left="681" w:hanging="227"/>
      </w:pPr>
      <w:rPr>
        <w:rFonts w:ascii="Wingdings" w:hAnsi="Wingdings" w:hint="default"/>
      </w:rPr>
    </w:lvl>
    <w:lvl w:ilvl="3">
      <w:start w:val="1"/>
      <w:numFmt w:val="none"/>
      <w:suff w:val="nothing"/>
      <w:lvlText w:val=""/>
      <w:lvlJc w:val="left"/>
      <w:pPr>
        <w:ind w:left="908" w:hanging="227"/>
      </w:pPr>
      <w:rPr>
        <w:rFonts w:hint="default"/>
      </w:rPr>
    </w:lvl>
    <w:lvl w:ilvl="4">
      <w:start w:val="1"/>
      <w:numFmt w:val="none"/>
      <w:suff w:val="nothing"/>
      <w:lvlText w:val="%5"/>
      <w:lvlJc w:val="left"/>
      <w:pPr>
        <w:ind w:left="1135" w:hanging="227"/>
      </w:pPr>
      <w:rPr>
        <w:rFonts w:hint="default"/>
      </w:rPr>
    </w:lvl>
    <w:lvl w:ilvl="5">
      <w:start w:val="1"/>
      <w:numFmt w:val="none"/>
      <w:suff w:val="nothing"/>
      <w:lvlText w:val=""/>
      <w:lvlJc w:val="left"/>
      <w:pPr>
        <w:ind w:left="1362" w:hanging="227"/>
      </w:pPr>
      <w:rPr>
        <w:rFonts w:hint="default"/>
      </w:rPr>
    </w:lvl>
    <w:lvl w:ilvl="6">
      <w:start w:val="1"/>
      <w:numFmt w:val="none"/>
      <w:suff w:val="nothing"/>
      <w:lvlText w:val=""/>
      <w:lvlJc w:val="left"/>
      <w:pPr>
        <w:ind w:left="1589" w:hanging="227"/>
      </w:pPr>
      <w:rPr>
        <w:rFonts w:hint="default"/>
      </w:rPr>
    </w:lvl>
    <w:lvl w:ilvl="7">
      <w:start w:val="1"/>
      <w:numFmt w:val="none"/>
      <w:suff w:val="nothing"/>
      <w:lvlText w:val=""/>
      <w:lvlJc w:val="left"/>
      <w:pPr>
        <w:ind w:left="1816" w:hanging="227"/>
      </w:pPr>
      <w:rPr>
        <w:rFonts w:hint="default"/>
      </w:rPr>
    </w:lvl>
    <w:lvl w:ilvl="8">
      <w:start w:val="1"/>
      <w:numFmt w:val="none"/>
      <w:suff w:val="nothing"/>
      <w:lvlText w:val=""/>
      <w:lvlJc w:val="left"/>
      <w:pPr>
        <w:ind w:left="2043" w:hanging="227"/>
      </w:pPr>
      <w:rPr>
        <w:rFonts w:hint="default"/>
      </w:rPr>
    </w:lvl>
  </w:abstractNum>
  <w:abstractNum w:abstractNumId="4">
    <w:nsid w:val="0B847136"/>
    <w:multiLevelType w:val="multilevel"/>
    <w:tmpl w:val="AAE6BC1E"/>
    <w:name w:val="FinNotesNumberedList22"/>
    <w:lvl w:ilvl="0">
      <w:start w:val="1"/>
      <w:numFmt w:val="decimal"/>
      <w:lvlText w:val="%1"/>
      <w:lvlJc w:val="left"/>
      <w:pPr>
        <w:tabs>
          <w:tab w:val="num" w:pos="255"/>
        </w:tabs>
        <w:ind w:left="255" w:hanging="255"/>
      </w:pPr>
      <w:rPr>
        <w:rFonts w:hint="default"/>
      </w:rPr>
    </w:lvl>
    <w:lvl w:ilvl="1">
      <w:start w:val="1"/>
      <w:numFmt w:val="lowerLetter"/>
      <w:lvlText w:val="(%2)"/>
      <w:lvlJc w:val="left"/>
      <w:pPr>
        <w:tabs>
          <w:tab w:val="num" w:pos="567"/>
        </w:tabs>
        <w:ind w:left="567" w:hanging="312"/>
      </w:pPr>
      <w:rPr>
        <w:rFonts w:hint="default"/>
      </w:rPr>
    </w:lvl>
    <w:lvl w:ilvl="2">
      <w:start w:val="1"/>
      <w:numFmt w:val="none"/>
      <w:lvlText w:val=""/>
      <w:lvlJc w:val="left"/>
      <w:pPr>
        <w:ind w:left="567" w:firstLine="0"/>
      </w:pPr>
      <w:rPr>
        <w:rFonts w:hint="default"/>
      </w:rPr>
    </w:lvl>
    <w:lvl w:ilvl="3">
      <w:start w:val="1"/>
      <w:numFmt w:val="decimal"/>
      <w:lvlText w:val="(%4)"/>
      <w:lvlJc w:val="left"/>
      <w:pPr>
        <w:ind w:left="1020" w:hanging="255"/>
      </w:pPr>
      <w:rPr>
        <w:rFonts w:hint="default"/>
      </w:rPr>
    </w:lvl>
    <w:lvl w:ilvl="4">
      <w:start w:val="1"/>
      <w:numFmt w:val="lowerLetter"/>
      <w:lvlText w:val="(%5)"/>
      <w:lvlJc w:val="left"/>
      <w:pPr>
        <w:ind w:left="1275" w:hanging="255"/>
      </w:pPr>
      <w:rPr>
        <w:rFonts w:hint="default"/>
      </w:rPr>
    </w:lvl>
    <w:lvl w:ilvl="5">
      <w:start w:val="1"/>
      <w:numFmt w:val="lowerRoman"/>
      <w:lvlText w:val="(%6)"/>
      <w:lvlJc w:val="left"/>
      <w:pPr>
        <w:ind w:left="1530" w:hanging="255"/>
      </w:pPr>
      <w:rPr>
        <w:rFonts w:hint="default"/>
      </w:rPr>
    </w:lvl>
    <w:lvl w:ilvl="6">
      <w:start w:val="1"/>
      <w:numFmt w:val="decimal"/>
      <w:lvlText w:val="%7."/>
      <w:lvlJc w:val="left"/>
      <w:pPr>
        <w:ind w:left="1785" w:hanging="255"/>
      </w:pPr>
      <w:rPr>
        <w:rFonts w:hint="default"/>
      </w:rPr>
    </w:lvl>
    <w:lvl w:ilvl="7">
      <w:start w:val="1"/>
      <w:numFmt w:val="lowerLetter"/>
      <w:lvlText w:val="%8."/>
      <w:lvlJc w:val="left"/>
      <w:pPr>
        <w:ind w:left="2040" w:hanging="255"/>
      </w:pPr>
      <w:rPr>
        <w:rFonts w:hint="default"/>
      </w:rPr>
    </w:lvl>
    <w:lvl w:ilvl="8">
      <w:start w:val="1"/>
      <w:numFmt w:val="lowerRoman"/>
      <w:lvlText w:val="%9."/>
      <w:lvlJc w:val="left"/>
      <w:pPr>
        <w:ind w:left="2295" w:hanging="255"/>
      </w:pPr>
      <w:rPr>
        <w:rFonts w:hint="default"/>
      </w:rPr>
    </w:lvl>
  </w:abstractNum>
  <w:abstractNum w:abstractNumId="5">
    <w:nsid w:val="134E3A6D"/>
    <w:multiLevelType w:val="multilevel"/>
    <w:tmpl w:val="28746294"/>
    <w:lvl w:ilvl="0">
      <w:start w:val="1"/>
      <w:numFmt w:val="bullet"/>
      <w:pStyle w:val="Checklist"/>
      <w:lvlText w:val=""/>
      <w:lvlJc w:val="left"/>
      <w:pPr>
        <w:tabs>
          <w:tab w:val="num" w:pos="397"/>
        </w:tabs>
        <w:ind w:left="397" w:hanging="397"/>
      </w:pPr>
      <w:rPr>
        <w:rFonts w:ascii="Wingdings" w:hAnsi="Wingdings" w:hint="default"/>
        <w:color w:val="auto"/>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8C6FC5"/>
    <w:multiLevelType w:val="multilevel"/>
    <w:tmpl w:val="2F16B3A2"/>
    <w:numStyleLink w:val="ListTableBullet"/>
  </w:abstractNum>
  <w:abstractNum w:abstractNumId="7">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8">
    <w:nsid w:val="24DD7407"/>
    <w:multiLevelType w:val="multilevel"/>
    <w:tmpl w:val="957652B6"/>
    <w:name w:val="FinNotesNumberedList222"/>
    <w:lvl w:ilvl="0">
      <w:start w:val="1"/>
      <w:numFmt w:val="decimal"/>
      <w:pStyle w:val="FinH3"/>
      <w:lvlText w:val="%1"/>
      <w:lvlJc w:val="left"/>
      <w:pPr>
        <w:tabs>
          <w:tab w:val="num" w:pos="255"/>
        </w:tabs>
        <w:ind w:left="255" w:hanging="255"/>
      </w:pPr>
      <w:rPr>
        <w:rFonts w:hint="default"/>
      </w:rPr>
    </w:lvl>
    <w:lvl w:ilvl="1">
      <w:start w:val="1"/>
      <w:numFmt w:val="lowerLetter"/>
      <w:pStyle w:val="FinH4"/>
      <w:lvlText w:val="(%2)"/>
      <w:lvlJc w:val="left"/>
      <w:pPr>
        <w:tabs>
          <w:tab w:val="num" w:pos="567"/>
        </w:tabs>
        <w:ind w:left="567" w:hanging="312"/>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pStyle w:val="FinH5"/>
      <w:lvlText w:val=""/>
      <w:lvlJc w:val="left"/>
      <w:pPr>
        <w:ind w:left="567" w:firstLine="0"/>
      </w:pPr>
      <w:rPr>
        <w:rFonts w:hint="default"/>
      </w:rPr>
    </w:lvl>
    <w:lvl w:ilvl="3">
      <w:start w:val="1"/>
      <w:numFmt w:val="decimal"/>
      <w:lvlText w:val="(%4)"/>
      <w:lvlJc w:val="left"/>
      <w:pPr>
        <w:ind w:left="1020" w:hanging="255"/>
      </w:pPr>
      <w:rPr>
        <w:rFonts w:hint="default"/>
      </w:rPr>
    </w:lvl>
    <w:lvl w:ilvl="4">
      <w:start w:val="1"/>
      <w:numFmt w:val="lowerLetter"/>
      <w:lvlText w:val="(%5)"/>
      <w:lvlJc w:val="left"/>
      <w:pPr>
        <w:ind w:left="1275" w:hanging="255"/>
      </w:pPr>
      <w:rPr>
        <w:rFonts w:hint="default"/>
      </w:rPr>
    </w:lvl>
    <w:lvl w:ilvl="5">
      <w:start w:val="1"/>
      <w:numFmt w:val="lowerRoman"/>
      <w:lvlText w:val="(%6)"/>
      <w:lvlJc w:val="left"/>
      <w:pPr>
        <w:ind w:left="1530" w:hanging="255"/>
      </w:pPr>
      <w:rPr>
        <w:rFonts w:hint="default"/>
      </w:rPr>
    </w:lvl>
    <w:lvl w:ilvl="6">
      <w:start w:val="1"/>
      <w:numFmt w:val="decimal"/>
      <w:lvlText w:val="%7."/>
      <w:lvlJc w:val="left"/>
      <w:pPr>
        <w:ind w:left="1785" w:hanging="255"/>
      </w:pPr>
      <w:rPr>
        <w:rFonts w:hint="default"/>
      </w:rPr>
    </w:lvl>
    <w:lvl w:ilvl="7">
      <w:start w:val="1"/>
      <w:numFmt w:val="lowerLetter"/>
      <w:lvlText w:val="%8."/>
      <w:lvlJc w:val="left"/>
      <w:pPr>
        <w:ind w:left="2040" w:hanging="255"/>
      </w:pPr>
      <w:rPr>
        <w:rFonts w:hint="default"/>
      </w:rPr>
    </w:lvl>
    <w:lvl w:ilvl="8">
      <w:start w:val="1"/>
      <w:numFmt w:val="lowerRoman"/>
      <w:lvlText w:val="%9."/>
      <w:lvlJc w:val="left"/>
      <w:pPr>
        <w:ind w:left="2295" w:hanging="255"/>
      </w:pPr>
      <w:rPr>
        <w:rFonts w:hint="default"/>
      </w:rPr>
    </w:lvl>
  </w:abstractNum>
  <w:abstractNum w:abstractNumId="9">
    <w:nsid w:val="27301B7A"/>
    <w:multiLevelType w:val="multilevel"/>
    <w:tmpl w:val="026093CA"/>
    <w:styleLink w:val="ListTableNumber"/>
    <w:lvl w:ilvl="0">
      <w:start w:val="1"/>
      <w:numFmt w:val="decimal"/>
      <w:pStyle w:val="TableNumber"/>
      <w:lvlText w:val="%1."/>
      <w:lvlJc w:val="left"/>
      <w:pPr>
        <w:tabs>
          <w:tab w:val="num" w:pos="227"/>
        </w:tabs>
        <w:ind w:left="227" w:hanging="227"/>
      </w:pPr>
      <w:rPr>
        <w:rFonts w:hint="default"/>
      </w:rPr>
    </w:lvl>
    <w:lvl w:ilvl="1">
      <w:start w:val="1"/>
      <w:numFmt w:val="lowerLetter"/>
      <w:pStyle w:val="TableNumber2"/>
      <w:lvlText w:val="%2."/>
      <w:lvlJc w:val="left"/>
      <w:pPr>
        <w:tabs>
          <w:tab w:val="num" w:pos="454"/>
        </w:tabs>
        <w:ind w:left="454" w:hanging="227"/>
      </w:pPr>
      <w:rPr>
        <w:rFonts w:hint="default"/>
      </w:rPr>
    </w:lvl>
    <w:lvl w:ilvl="2">
      <w:start w:val="1"/>
      <w:numFmt w:val="lowerRoman"/>
      <w:pStyle w:val="TableNumber3"/>
      <w:lvlText w:val="%3."/>
      <w:lvlJc w:val="left"/>
      <w:pPr>
        <w:tabs>
          <w:tab w:val="num" w:pos="681"/>
        </w:tabs>
        <w:ind w:left="681"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29914D81"/>
    <w:multiLevelType w:val="hybridMultilevel"/>
    <w:tmpl w:val="6838C306"/>
    <w:lvl w:ilvl="0" w:tplc="0360B8AE">
      <w:start w:val="1"/>
      <w:numFmt w:val="decimal"/>
      <w:pStyle w:val="H2Appendix"/>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18C79A1"/>
    <w:multiLevelType w:val="multilevel"/>
    <w:tmpl w:val="6B307DA6"/>
    <w:name w:val="FinNotesNumberedList2"/>
    <w:lvl w:ilvl="0">
      <w:start w:val="1"/>
      <w:numFmt w:val="decimal"/>
      <w:lvlText w:val="%1"/>
      <w:lvlJc w:val="left"/>
      <w:pPr>
        <w:tabs>
          <w:tab w:val="num" w:pos="255"/>
        </w:tabs>
        <w:ind w:left="255" w:hanging="255"/>
      </w:pPr>
      <w:rPr>
        <w:rFonts w:hint="default"/>
      </w:rPr>
    </w:lvl>
    <w:lvl w:ilvl="1">
      <w:start w:val="1"/>
      <w:numFmt w:val="lowerLetter"/>
      <w:lvlText w:val="(%2)"/>
      <w:lvlJc w:val="left"/>
      <w:pPr>
        <w:tabs>
          <w:tab w:val="num" w:pos="567"/>
        </w:tabs>
        <w:ind w:left="567" w:hanging="312"/>
      </w:pPr>
      <w:rPr>
        <w:rFonts w:hint="default"/>
      </w:rPr>
    </w:lvl>
    <w:lvl w:ilvl="2">
      <w:start w:val="1"/>
      <w:numFmt w:val="none"/>
      <w:lvlText w:val=""/>
      <w:lvlJc w:val="left"/>
      <w:pPr>
        <w:ind w:left="567" w:firstLine="0"/>
      </w:pPr>
      <w:rPr>
        <w:rFonts w:hint="default"/>
      </w:rPr>
    </w:lvl>
    <w:lvl w:ilvl="3">
      <w:start w:val="1"/>
      <w:numFmt w:val="decimal"/>
      <w:lvlText w:val="(%4)"/>
      <w:lvlJc w:val="left"/>
      <w:pPr>
        <w:ind w:left="1020" w:hanging="255"/>
      </w:pPr>
      <w:rPr>
        <w:rFonts w:hint="default"/>
      </w:rPr>
    </w:lvl>
    <w:lvl w:ilvl="4">
      <w:start w:val="1"/>
      <w:numFmt w:val="lowerLetter"/>
      <w:lvlText w:val="(%5)"/>
      <w:lvlJc w:val="left"/>
      <w:pPr>
        <w:ind w:left="1275" w:hanging="255"/>
      </w:pPr>
      <w:rPr>
        <w:rFonts w:hint="default"/>
      </w:rPr>
    </w:lvl>
    <w:lvl w:ilvl="5">
      <w:start w:val="1"/>
      <w:numFmt w:val="lowerRoman"/>
      <w:lvlText w:val="(%6)"/>
      <w:lvlJc w:val="left"/>
      <w:pPr>
        <w:ind w:left="1530" w:hanging="255"/>
      </w:pPr>
      <w:rPr>
        <w:rFonts w:hint="default"/>
      </w:rPr>
    </w:lvl>
    <w:lvl w:ilvl="6">
      <w:start w:val="1"/>
      <w:numFmt w:val="decimal"/>
      <w:lvlText w:val="%7."/>
      <w:lvlJc w:val="left"/>
      <w:pPr>
        <w:ind w:left="1785" w:hanging="255"/>
      </w:pPr>
      <w:rPr>
        <w:rFonts w:hint="default"/>
      </w:rPr>
    </w:lvl>
    <w:lvl w:ilvl="7">
      <w:start w:val="1"/>
      <w:numFmt w:val="lowerLetter"/>
      <w:lvlText w:val="%8."/>
      <w:lvlJc w:val="left"/>
      <w:pPr>
        <w:ind w:left="2040" w:hanging="255"/>
      </w:pPr>
      <w:rPr>
        <w:rFonts w:hint="default"/>
      </w:rPr>
    </w:lvl>
    <w:lvl w:ilvl="8">
      <w:start w:val="1"/>
      <w:numFmt w:val="lowerRoman"/>
      <w:lvlText w:val="%9."/>
      <w:lvlJc w:val="left"/>
      <w:pPr>
        <w:ind w:left="2295" w:hanging="255"/>
      </w:pPr>
      <w:rPr>
        <w:rFonts w:hint="default"/>
      </w:rPr>
    </w:lvl>
  </w:abstractNum>
  <w:abstractNum w:abstractNumId="12">
    <w:nsid w:val="325D5FA7"/>
    <w:multiLevelType w:val="multilevel"/>
    <w:tmpl w:val="B92086C0"/>
    <w:lvl w:ilvl="0">
      <w:start w:val="1"/>
      <w:numFmt w:val="bullet"/>
      <w:pStyle w:val="Checklistchecked"/>
      <w:lvlText w:val=""/>
      <w:lvlJc w:val="left"/>
      <w:pPr>
        <w:tabs>
          <w:tab w:val="num" w:pos="397"/>
        </w:tabs>
        <w:ind w:left="397" w:hanging="397"/>
      </w:pPr>
      <w:rPr>
        <w:rFonts w:ascii="Wingdings" w:hAnsi="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2F93FD8"/>
    <w:multiLevelType w:val="singleLevel"/>
    <w:tmpl w:val="7CC2C37E"/>
    <w:lvl w:ilvl="0">
      <w:start w:val="1"/>
      <w:numFmt w:val="bullet"/>
      <w:lvlText w:val=""/>
      <w:lvlJc w:val="left"/>
      <w:pPr>
        <w:tabs>
          <w:tab w:val="num" w:pos="227"/>
        </w:tabs>
        <w:ind w:left="227" w:hanging="227"/>
      </w:pPr>
      <w:rPr>
        <w:rFonts w:ascii="Symbol" w:hAnsi="Symbol" w:hint="default"/>
        <w:b w:val="0"/>
        <w:i w:val="0"/>
        <w:color w:val="auto"/>
        <w:sz w:val="16"/>
      </w:rPr>
    </w:lvl>
  </w:abstractNum>
  <w:abstractNum w:abstractNumId="14">
    <w:nsid w:val="3F2F3E9C"/>
    <w:multiLevelType w:val="multilevel"/>
    <w:tmpl w:val="99889C20"/>
    <w:styleLink w:val="TableBullet0"/>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ourier New" w:hAnsi="Courier New" w:hint="default"/>
        <w:color w:val="auto"/>
        <w:sz w:val="18"/>
      </w:rPr>
    </w:lvl>
    <w:lvl w:ilvl="2">
      <w:start w:val="1"/>
      <w:numFmt w:val="bullet"/>
      <w:lvlText w:val="–"/>
      <w:lvlJc w:val="left"/>
      <w:pPr>
        <w:tabs>
          <w:tab w:val="num" w:pos="680"/>
        </w:tabs>
        <w:ind w:left="680" w:hanging="226"/>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nsid w:val="445A6A7A"/>
    <w:multiLevelType w:val="multilevel"/>
    <w:tmpl w:val="1C48698A"/>
    <w:styleLink w:val="ListParagraph"/>
    <w:lvl w:ilvl="0">
      <w:start w:val="1"/>
      <w:numFmt w:val="none"/>
      <w:suff w:val="nothing"/>
      <w:lvlText w:val=""/>
      <w:lvlJc w:val="left"/>
      <w:pPr>
        <w:ind w:left="397" w:firstLine="0"/>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1191"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16">
    <w:nsid w:val="534A786A"/>
    <w:multiLevelType w:val="multilevel"/>
    <w:tmpl w:val="E2A8EC80"/>
    <w:styleLink w:val="ListInstruction"/>
    <w:lvl w:ilvl="0">
      <w:start w:val="1"/>
      <w:numFmt w:val="none"/>
      <w:suff w:val="nothing"/>
      <w:lvlText w:val=""/>
      <w:lvlJc w:val="left"/>
      <w:pPr>
        <w:ind w:left="0" w:firstLine="0"/>
      </w:pPr>
      <w:rPr>
        <w:rFonts w:hint="default"/>
      </w:rPr>
    </w:lvl>
    <w:lvl w:ilvl="1">
      <w:start w:val="1"/>
      <w:numFmt w:val="bullet"/>
      <w:lvlText w:val=""/>
      <w:lvlJc w:val="left"/>
      <w:pPr>
        <w:tabs>
          <w:tab w:val="num" w:pos="397"/>
        </w:tabs>
        <w:ind w:left="397" w:hanging="397"/>
      </w:pPr>
      <w:rPr>
        <w:rFonts w:ascii="Symbol" w:hAnsi="Symbol" w:hint="default"/>
      </w:rPr>
    </w:lvl>
    <w:lvl w:ilvl="2">
      <w:start w:val="1"/>
      <w:numFmt w:val="decimal"/>
      <w:lvlText w:val="%3."/>
      <w:lvlJc w:val="left"/>
      <w:pPr>
        <w:tabs>
          <w:tab w:val="num" w:pos="397"/>
        </w:tabs>
        <w:ind w:left="397" w:hanging="397"/>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542A101D"/>
    <w:multiLevelType w:val="hybridMultilevel"/>
    <w:tmpl w:val="CD4217AE"/>
    <w:lvl w:ilvl="0" w:tplc="51BAE39A">
      <w:start w:val="1"/>
      <w:numFmt w:val="bullet"/>
      <w:lvlText w:val=""/>
      <w:lvlJc w:val="left"/>
      <w:pPr>
        <w:ind w:left="1083" w:hanging="360"/>
      </w:pPr>
      <w:rPr>
        <w:rFonts w:ascii="Symbol" w:hAnsi="Symbol" w:hint="default"/>
      </w:rPr>
    </w:lvl>
    <w:lvl w:ilvl="1" w:tplc="4A8C5D70" w:tentative="1">
      <w:start w:val="1"/>
      <w:numFmt w:val="bullet"/>
      <w:lvlText w:val="o"/>
      <w:lvlJc w:val="left"/>
      <w:pPr>
        <w:ind w:left="1803" w:hanging="360"/>
      </w:pPr>
      <w:rPr>
        <w:rFonts w:ascii="Courier New" w:hAnsi="Courier New" w:cs="Courier New" w:hint="default"/>
      </w:rPr>
    </w:lvl>
    <w:lvl w:ilvl="2" w:tplc="E80488AA" w:tentative="1">
      <w:start w:val="1"/>
      <w:numFmt w:val="bullet"/>
      <w:lvlText w:val=""/>
      <w:lvlJc w:val="left"/>
      <w:pPr>
        <w:ind w:left="2523" w:hanging="360"/>
      </w:pPr>
      <w:rPr>
        <w:rFonts w:ascii="Wingdings" w:hAnsi="Wingdings" w:hint="default"/>
      </w:rPr>
    </w:lvl>
    <w:lvl w:ilvl="3" w:tplc="88106DB0" w:tentative="1">
      <w:start w:val="1"/>
      <w:numFmt w:val="bullet"/>
      <w:lvlText w:val=""/>
      <w:lvlJc w:val="left"/>
      <w:pPr>
        <w:ind w:left="3243" w:hanging="360"/>
      </w:pPr>
      <w:rPr>
        <w:rFonts w:ascii="Symbol" w:hAnsi="Symbol" w:hint="default"/>
      </w:rPr>
    </w:lvl>
    <w:lvl w:ilvl="4" w:tplc="8E105FEA" w:tentative="1">
      <w:start w:val="1"/>
      <w:numFmt w:val="bullet"/>
      <w:lvlText w:val="o"/>
      <w:lvlJc w:val="left"/>
      <w:pPr>
        <w:ind w:left="3963" w:hanging="360"/>
      </w:pPr>
      <w:rPr>
        <w:rFonts w:ascii="Courier New" w:hAnsi="Courier New" w:cs="Courier New" w:hint="default"/>
      </w:rPr>
    </w:lvl>
    <w:lvl w:ilvl="5" w:tplc="07408E34" w:tentative="1">
      <w:start w:val="1"/>
      <w:numFmt w:val="bullet"/>
      <w:lvlText w:val=""/>
      <w:lvlJc w:val="left"/>
      <w:pPr>
        <w:ind w:left="4683" w:hanging="360"/>
      </w:pPr>
      <w:rPr>
        <w:rFonts w:ascii="Wingdings" w:hAnsi="Wingdings" w:hint="default"/>
      </w:rPr>
    </w:lvl>
    <w:lvl w:ilvl="6" w:tplc="E4A073E6" w:tentative="1">
      <w:start w:val="1"/>
      <w:numFmt w:val="bullet"/>
      <w:lvlText w:val=""/>
      <w:lvlJc w:val="left"/>
      <w:pPr>
        <w:ind w:left="5403" w:hanging="360"/>
      </w:pPr>
      <w:rPr>
        <w:rFonts w:ascii="Symbol" w:hAnsi="Symbol" w:hint="default"/>
      </w:rPr>
    </w:lvl>
    <w:lvl w:ilvl="7" w:tplc="B89008B0" w:tentative="1">
      <w:start w:val="1"/>
      <w:numFmt w:val="bullet"/>
      <w:lvlText w:val="o"/>
      <w:lvlJc w:val="left"/>
      <w:pPr>
        <w:ind w:left="6123" w:hanging="360"/>
      </w:pPr>
      <w:rPr>
        <w:rFonts w:ascii="Courier New" w:hAnsi="Courier New" w:cs="Courier New" w:hint="default"/>
      </w:rPr>
    </w:lvl>
    <w:lvl w:ilvl="8" w:tplc="B492B52A" w:tentative="1">
      <w:start w:val="1"/>
      <w:numFmt w:val="bullet"/>
      <w:lvlText w:val=""/>
      <w:lvlJc w:val="left"/>
      <w:pPr>
        <w:ind w:left="6843" w:hanging="360"/>
      </w:pPr>
      <w:rPr>
        <w:rFonts w:ascii="Wingdings" w:hAnsi="Wingdings" w:hint="default"/>
      </w:rPr>
    </w:lvl>
  </w:abstractNum>
  <w:abstractNum w:abstractNumId="18">
    <w:nsid w:val="56734299"/>
    <w:multiLevelType w:val="multilevel"/>
    <w:tmpl w:val="1760413A"/>
    <w:styleLink w:val="TableBullets"/>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nsid w:val="5ED60F19"/>
    <w:multiLevelType w:val="multilevel"/>
    <w:tmpl w:val="F1E2FAD4"/>
    <w:styleLink w:val="ListNumber"/>
    <w:lvl w:ilvl="0">
      <w:start w:val="1"/>
      <w:numFmt w:val="decimal"/>
      <w:pStyle w:val="ListNumber0"/>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601007D8"/>
    <w:multiLevelType w:val="multilevel"/>
    <w:tmpl w:val="1D222B88"/>
    <w:styleLink w:val="ListBullets"/>
    <w:lvl w:ilvl="0">
      <w:start w:val="1"/>
      <w:numFmt w:val="bullet"/>
      <w:lvlText w:val=""/>
      <w:lvlJc w:val="left"/>
      <w:pPr>
        <w:ind w:left="227" w:hanging="227"/>
      </w:pPr>
      <w:rPr>
        <w:rFonts w:ascii="Symbol" w:hAnsi="Symbol" w:hint="default"/>
        <w:color w:val="auto"/>
      </w:rPr>
    </w:lvl>
    <w:lvl w:ilvl="1">
      <w:start w:val="1"/>
      <w:numFmt w:val="bullet"/>
      <w:lvlText w:val=""/>
      <w:lvlJc w:val="left"/>
      <w:pPr>
        <w:ind w:left="454" w:hanging="227"/>
      </w:pPr>
      <w:rPr>
        <w:rFonts w:ascii="Symbol" w:hAnsi="Symbol" w:hint="default"/>
        <w:color w:val="auto"/>
      </w:rPr>
    </w:lvl>
    <w:lvl w:ilvl="2">
      <w:start w:val="1"/>
      <w:numFmt w:val="bullet"/>
      <w:lvlText w:val=""/>
      <w:lvlJc w:val="left"/>
      <w:pPr>
        <w:ind w:left="681" w:hanging="227"/>
      </w:pPr>
      <w:rPr>
        <w:rFonts w:ascii="Symbol" w:hAnsi="Symbol" w:hint="default"/>
        <w:color w:val="auto"/>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1">
    <w:nsid w:val="618C7217"/>
    <w:multiLevelType w:val="hybridMultilevel"/>
    <w:tmpl w:val="13004D46"/>
    <w:lvl w:ilvl="0" w:tplc="BD60C65E">
      <w:start w:val="1"/>
      <w:numFmt w:val="lowerLetter"/>
      <w:lvlText w:val="(%1)"/>
      <w:lvlJc w:val="left"/>
      <w:pPr>
        <w:ind w:left="646" w:hanging="419"/>
      </w:pPr>
      <w:rPr>
        <w:rFonts w:hint="default"/>
      </w:rPr>
    </w:lvl>
    <w:lvl w:ilvl="1" w:tplc="D27C5632">
      <w:start w:val="1"/>
      <w:numFmt w:val="lowerLetter"/>
      <w:lvlText w:val="%2."/>
      <w:lvlJc w:val="left"/>
      <w:pPr>
        <w:ind w:left="1365" w:hanging="360"/>
      </w:pPr>
    </w:lvl>
    <w:lvl w:ilvl="2" w:tplc="40929786" w:tentative="1">
      <w:start w:val="1"/>
      <w:numFmt w:val="lowerRoman"/>
      <w:lvlText w:val="%3."/>
      <w:lvlJc w:val="right"/>
      <w:pPr>
        <w:ind w:left="2085" w:hanging="180"/>
      </w:pPr>
    </w:lvl>
    <w:lvl w:ilvl="3" w:tplc="86B42102" w:tentative="1">
      <w:start w:val="1"/>
      <w:numFmt w:val="decimal"/>
      <w:lvlText w:val="%4."/>
      <w:lvlJc w:val="left"/>
      <w:pPr>
        <w:ind w:left="2805" w:hanging="360"/>
      </w:pPr>
    </w:lvl>
    <w:lvl w:ilvl="4" w:tplc="C492A296" w:tentative="1">
      <w:start w:val="1"/>
      <w:numFmt w:val="lowerLetter"/>
      <w:lvlText w:val="%5."/>
      <w:lvlJc w:val="left"/>
      <w:pPr>
        <w:ind w:left="3525" w:hanging="360"/>
      </w:pPr>
    </w:lvl>
    <w:lvl w:ilvl="5" w:tplc="CCCADF10" w:tentative="1">
      <w:start w:val="1"/>
      <w:numFmt w:val="lowerRoman"/>
      <w:lvlText w:val="%6."/>
      <w:lvlJc w:val="right"/>
      <w:pPr>
        <w:ind w:left="4245" w:hanging="180"/>
      </w:pPr>
    </w:lvl>
    <w:lvl w:ilvl="6" w:tplc="1D0E17F2" w:tentative="1">
      <w:start w:val="1"/>
      <w:numFmt w:val="decimal"/>
      <w:lvlText w:val="%7."/>
      <w:lvlJc w:val="left"/>
      <w:pPr>
        <w:ind w:left="4965" w:hanging="360"/>
      </w:pPr>
    </w:lvl>
    <w:lvl w:ilvl="7" w:tplc="226254C6" w:tentative="1">
      <w:start w:val="1"/>
      <w:numFmt w:val="lowerLetter"/>
      <w:lvlText w:val="%8."/>
      <w:lvlJc w:val="left"/>
      <w:pPr>
        <w:ind w:left="5685" w:hanging="360"/>
      </w:pPr>
    </w:lvl>
    <w:lvl w:ilvl="8" w:tplc="8B06D672" w:tentative="1">
      <w:start w:val="1"/>
      <w:numFmt w:val="lowerRoman"/>
      <w:lvlText w:val="%9."/>
      <w:lvlJc w:val="right"/>
      <w:pPr>
        <w:ind w:left="6405" w:hanging="180"/>
      </w:pPr>
    </w:lvl>
  </w:abstractNum>
  <w:abstractNum w:abstractNumId="22">
    <w:nsid w:val="65830D9E"/>
    <w:multiLevelType w:val="multilevel"/>
    <w:tmpl w:val="FA7AB566"/>
    <w:lvl w:ilvl="0">
      <w:start w:val="1"/>
      <w:numFmt w:val="decimal"/>
      <w:lvlText w:val="%1"/>
      <w:lvlJc w:val="left"/>
      <w:pPr>
        <w:tabs>
          <w:tab w:val="num" w:pos="255"/>
        </w:tabs>
        <w:ind w:left="255" w:hanging="255"/>
      </w:pPr>
      <w:rPr>
        <w:rFonts w:hint="default"/>
      </w:rPr>
    </w:lvl>
    <w:lvl w:ilvl="1">
      <w:start w:val="1"/>
      <w:numFmt w:val="lowerLetter"/>
      <w:lvlText w:val="(%2)"/>
      <w:lvlJc w:val="left"/>
      <w:pPr>
        <w:tabs>
          <w:tab w:val="num" w:pos="567"/>
        </w:tabs>
        <w:ind w:left="567" w:hanging="312"/>
      </w:pPr>
      <w:rPr>
        <w:rFonts w:hint="default"/>
      </w:rPr>
    </w:lvl>
    <w:lvl w:ilvl="2">
      <w:start w:val="1"/>
      <w:numFmt w:val="none"/>
      <w:lvlText w:val=""/>
      <w:lvlJc w:val="left"/>
      <w:pPr>
        <w:ind w:left="567" w:firstLine="0"/>
      </w:pPr>
      <w:rPr>
        <w:rFonts w:hint="default"/>
      </w:rPr>
    </w:lvl>
    <w:lvl w:ilvl="3">
      <w:start w:val="1"/>
      <w:numFmt w:val="decimal"/>
      <w:lvlText w:val="(%4)"/>
      <w:lvlJc w:val="left"/>
      <w:pPr>
        <w:ind w:left="1020" w:hanging="255"/>
      </w:pPr>
      <w:rPr>
        <w:rFonts w:hint="default"/>
      </w:rPr>
    </w:lvl>
    <w:lvl w:ilvl="4">
      <w:start w:val="1"/>
      <w:numFmt w:val="lowerLetter"/>
      <w:lvlText w:val="(%5)"/>
      <w:lvlJc w:val="left"/>
      <w:pPr>
        <w:ind w:left="1275" w:hanging="255"/>
      </w:pPr>
      <w:rPr>
        <w:rFonts w:hint="default"/>
      </w:rPr>
    </w:lvl>
    <w:lvl w:ilvl="5">
      <w:start w:val="1"/>
      <w:numFmt w:val="lowerRoman"/>
      <w:lvlText w:val="(%6)"/>
      <w:lvlJc w:val="left"/>
      <w:pPr>
        <w:ind w:left="1530" w:hanging="255"/>
      </w:pPr>
      <w:rPr>
        <w:rFonts w:hint="default"/>
      </w:rPr>
    </w:lvl>
    <w:lvl w:ilvl="6">
      <w:start w:val="1"/>
      <w:numFmt w:val="decimal"/>
      <w:lvlText w:val="%7."/>
      <w:lvlJc w:val="left"/>
      <w:pPr>
        <w:ind w:left="1785" w:hanging="255"/>
      </w:pPr>
      <w:rPr>
        <w:rFonts w:hint="default"/>
      </w:rPr>
    </w:lvl>
    <w:lvl w:ilvl="7">
      <w:start w:val="1"/>
      <w:numFmt w:val="lowerLetter"/>
      <w:lvlText w:val="%8."/>
      <w:lvlJc w:val="left"/>
      <w:pPr>
        <w:ind w:left="2040" w:hanging="255"/>
      </w:pPr>
      <w:rPr>
        <w:rFonts w:hint="default"/>
      </w:rPr>
    </w:lvl>
    <w:lvl w:ilvl="8">
      <w:start w:val="1"/>
      <w:numFmt w:val="lowerRoman"/>
      <w:lvlText w:val="%9."/>
      <w:lvlJc w:val="left"/>
      <w:pPr>
        <w:ind w:left="2295" w:hanging="255"/>
      </w:pPr>
      <w:rPr>
        <w:rFonts w:hint="default"/>
      </w:rPr>
    </w:lvl>
  </w:abstractNum>
  <w:abstractNum w:abstractNumId="23">
    <w:nsid w:val="66C1583C"/>
    <w:multiLevelType w:val="multilevel"/>
    <w:tmpl w:val="40F42B78"/>
    <w:styleLink w:val="ListHeadings"/>
    <w:lvl w:ilvl="0">
      <w:start w:val="1"/>
      <w:numFmt w:val="decimal"/>
      <w:lvlText w:val="%1"/>
      <w:lvlJc w:val="left"/>
      <w:pPr>
        <w:tabs>
          <w:tab w:val="num" w:pos="0"/>
        </w:tabs>
        <w:ind w:left="0" w:hanging="851"/>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67AF6AA8"/>
    <w:multiLevelType w:val="multilevel"/>
    <w:tmpl w:val="026093CA"/>
    <w:numStyleLink w:val="ListTableNumber"/>
  </w:abstractNum>
  <w:num w:numId="1">
    <w:abstractNumId w:val="3"/>
  </w:num>
  <w:num w:numId="2">
    <w:abstractNumId w:val="19"/>
  </w:num>
  <w:num w:numId="3">
    <w:abstractNumId w:val="0"/>
  </w:num>
  <w:num w:numId="4">
    <w:abstractNumId w:val="18"/>
  </w:num>
  <w:num w:numId="5">
    <w:abstractNumId w:val="14"/>
  </w:num>
  <w:num w:numId="6">
    <w:abstractNumId w:val="2"/>
  </w:num>
  <w:num w:numId="7">
    <w:abstractNumId w:val="15"/>
  </w:num>
  <w:num w:numId="8">
    <w:abstractNumId w:val="9"/>
  </w:num>
  <w:num w:numId="9">
    <w:abstractNumId w:val="19"/>
  </w:num>
  <w:num w:numId="10">
    <w:abstractNumId w:val="23"/>
  </w:num>
  <w:num w:numId="11">
    <w:abstractNumId w:val="24"/>
  </w:num>
  <w:num w:numId="12">
    <w:abstractNumId w:val="6"/>
  </w:num>
  <w:num w:numId="13">
    <w:abstractNumId w:val="16"/>
  </w:num>
  <w:num w:numId="14">
    <w:abstractNumId w:val="5"/>
  </w:num>
  <w:num w:numId="15">
    <w:abstractNumId w:val="12"/>
  </w:num>
  <w:num w:numId="16">
    <w:abstractNumId w:val="20"/>
  </w:num>
  <w:num w:numId="17">
    <w:abstractNumId w:val="7"/>
  </w:num>
  <w:num w:numId="18">
    <w:abstractNumId w:val="10"/>
  </w:num>
  <w:num w:numId="19">
    <w:abstractNumId w:val="1"/>
  </w:num>
  <w:num w:numId="20">
    <w:abstractNumId w:val="17"/>
  </w:num>
  <w:num w:numId="21">
    <w:abstractNumId w:val="21"/>
  </w:num>
  <w:num w:numId="22">
    <w:abstractNumId w:val="21"/>
    <w:lvlOverride w:ilvl="0">
      <w:startOverride w:val="17"/>
    </w:lvlOverride>
  </w:num>
  <w:num w:numId="23">
    <w:abstractNumId w:val="21"/>
    <w:lvlOverride w:ilvl="0">
      <w:startOverride w:val="21"/>
    </w:lvlOverride>
  </w:num>
  <w:num w:numId="24">
    <w:abstractNumId w:val="21"/>
    <w:lvlOverride w:ilvl="0">
      <w:startOverride w:val="29"/>
    </w:lvlOverride>
  </w:num>
  <w:num w:numId="25">
    <w:abstractNumId w:val="13"/>
  </w:num>
  <w:num w:numId="26">
    <w:abstractNumId w:val="21"/>
    <w:lvlOverride w:ilvl="0">
      <w:startOverride w:val="28"/>
    </w:lvlOverride>
  </w:num>
  <w:num w:numId="27">
    <w:abstractNumId w:val="22"/>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4"/>
  </w:num>
  <w:num w:numId="32">
    <w:abstractNumId w:val="8"/>
  </w:num>
  <w:num w:numId="33">
    <w:abstractNumId w:val="8"/>
  </w:num>
  <w:num w:numId="34">
    <w:abstractNumId w:val="8"/>
  </w:num>
  <w:num w:numId="35">
    <w:abstractNumId w:val="8"/>
    <w:lvlOverride w:ilvl="0">
      <w:startOverride w:val="1"/>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intPostScriptOverText/>
  <w:embedTrueTypeFonts/>
  <w:hideSpellingErrors/>
  <w:hideGrammaticalErrors/>
  <w:activeWritingStyle w:appName="MSWord" w:lang="en-AU"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Full" w:cryptAlgorithmClass="hash" w:cryptAlgorithmType="typeAny" w:cryptAlgorithmSid="4" w:cryptSpinCount="100000" w:hash="cD++vqfb93kECT2FvFQ1UGBlTVg=" w:salt="Wu8C4Zzn05yxowWmSZKVRA=="/>
  <w:defaultTabStop w:val="284"/>
  <w:evenAndOddHeaders/>
  <w:drawingGridHorizontalSpacing w:val="110"/>
  <w:drawingGridVerticalSpacing w:val="299"/>
  <w:displayHorizontalDrawingGridEvery w:val="0"/>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84E"/>
    <w:rsid w:val="000015E4"/>
    <w:rsid w:val="00002D5B"/>
    <w:rsid w:val="00003A28"/>
    <w:rsid w:val="00003BFC"/>
    <w:rsid w:val="0000471A"/>
    <w:rsid w:val="00004943"/>
    <w:rsid w:val="000063A2"/>
    <w:rsid w:val="00006DC0"/>
    <w:rsid w:val="00007976"/>
    <w:rsid w:val="0001015F"/>
    <w:rsid w:val="00012ABC"/>
    <w:rsid w:val="000149AF"/>
    <w:rsid w:val="0001550C"/>
    <w:rsid w:val="000156D6"/>
    <w:rsid w:val="000159C5"/>
    <w:rsid w:val="00017F0E"/>
    <w:rsid w:val="0002293A"/>
    <w:rsid w:val="00022C26"/>
    <w:rsid w:val="000231F8"/>
    <w:rsid w:val="000237F1"/>
    <w:rsid w:val="00025ADB"/>
    <w:rsid w:val="00025D91"/>
    <w:rsid w:val="00026433"/>
    <w:rsid w:val="00027A49"/>
    <w:rsid w:val="000306FD"/>
    <w:rsid w:val="000315C3"/>
    <w:rsid w:val="00032D0A"/>
    <w:rsid w:val="00033AB9"/>
    <w:rsid w:val="00033F20"/>
    <w:rsid w:val="00034EF2"/>
    <w:rsid w:val="00037AFC"/>
    <w:rsid w:val="00040EF5"/>
    <w:rsid w:val="00042417"/>
    <w:rsid w:val="00043A66"/>
    <w:rsid w:val="00045335"/>
    <w:rsid w:val="00050998"/>
    <w:rsid w:val="00051F8E"/>
    <w:rsid w:val="00054C8A"/>
    <w:rsid w:val="00055FD1"/>
    <w:rsid w:val="0005691A"/>
    <w:rsid w:val="000608DB"/>
    <w:rsid w:val="00061129"/>
    <w:rsid w:val="00062DD5"/>
    <w:rsid w:val="00062E0A"/>
    <w:rsid w:val="00062FD9"/>
    <w:rsid w:val="000658BE"/>
    <w:rsid w:val="00065D7D"/>
    <w:rsid w:val="000662F9"/>
    <w:rsid w:val="000672D7"/>
    <w:rsid w:val="0007006E"/>
    <w:rsid w:val="00070735"/>
    <w:rsid w:val="00072AAF"/>
    <w:rsid w:val="0007358E"/>
    <w:rsid w:val="00075317"/>
    <w:rsid w:val="000754F0"/>
    <w:rsid w:val="000764AB"/>
    <w:rsid w:val="000770A9"/>
    <w:rsid w:val="000775A1"/>
    <w:rsid w:val="000776AD"/>
    <w:rsid w:val="00081AD4"/>
    <w:rsid w:val="00082A7E"/>
    <w:rsid w:val="00082CA9"/>
    <w:rsid w:val="0008306F"/>
    <w:rsid w:val="00083A4B"/>
    <w:rsid w:val="000843E5"/>
    <w:rsid w:val="00084495"/>
    <w:rsid w:val="000852BB"/>
    <w:rsid w:val="0008606B"/>
    <w:rsid w:val="00086AA0"/>
    <w:rsid w:val="00092359"/>
    <w:rsid w:val="000928DA"/>
    <w:rsid w:val="000960CE"/>
    <w:rsid w:val="000964FA"/>
    <w:rsid w:val="000A0618"/>
    <w:rsid w:val="000A398B"/>
    <w:rsid w:val="000A462D"/>
    <w:rsid w:val="000A4CC7"/>
    <w:rsid w:val="000A6056"/>
    <w:rsid w:val="000A732C"/>
    <w:rsid w:val="000A7DE6"/>
    <w:rsid w:val="000B0306"/>
    <w:rsid w:val="000B10B7"/>
    <w:rsid w:val="000B2156"/>
    <w:rsid w:val="000B2694"/>
    <w:rsid w:val="000B3026"/>
    <w:rsid w:val="000B468B"/>
    <w:rsid w:val="000B477B"/>
    <w:rsid w:val="000B5663"/>
    <w:rsid w:val="000B665F"/>
    <w:rsid w:val="000B6679"/>
    <w:rsid w:val="000B6ECF"/>
    <w:rsid w:val="000C0C54"/>
    <w:rsid w:val="000C109B"/>
    <w:rsid w:val="000C256B"/>
    <w:rsid w:val="000C2615"/>
    <w:rsid w:val="000C3195"/>
    <w:rsid w:val="000C4E50"/>
    <w:rsid w:val="000C6179"/>
    <w:rsid w:val="000C6774"/>
    <w:rsid w:val="000D2D55"/>
    <w:rsid w:val="000D3FF1"/>
    <w:rsid w:val="000D4545"/>
    <w:rsid w:val="000D455D"/>
    <w:rsid w:val="000D4F32"/>
    <w:rsid w:val="000D4F7D"/>
    <w:rsid w:val="000D6636"/>
    <w:rsid w:val="000D7E9F"/>
    <w:rsid w:val="000E0468"/>
    <w:rsid w:val="000E3F33"/>
    <w:rsid w:val="000E73AE"/>
    <w:rsid w:val="000F19CA"/>
    <w:rsid w:val="000F2AB9"/>
    <w:rsid w:val="000F53CA"/>
    <w:rsid w:val="000F5BEB"/>
    <w:rsid w:val="000F6BAC"/>
    <w:rsid w:val="000F75C1"/>
    <w:rsid w:val="001007C1"/>
    <w:rsid w:val="001027FD"/>
    <w:rsid w:val="001029DB"/>
    <w:rsid w:val="00103D26"/>
    <w:rsid w:val="00106376"/>
    <w:rsid w:val="00106E41"/>
    <w:rsid w:val="00107841"/>
    <w:rsid w:val="00111134"/>
    <w:rsid w:val="001115B0"/>
    <w:rsid w:val="00112ED5"/>
    <w:rsid w:val="001133CA"/>
    <w:rsid w:val="0011400A"/>
    <w:rsid w:val="00114513"/>
    <w:rsid w:val="00114DE1"/>
    <w:rsid w:val="00115A86"/>
    <w:rsid w:val="00115E3D"/>
    <w:rsid w:val="00116A2E"/>
    <w:rsid w:val="00120DDB"/>
    <w:rsid w:val="00121209"/>
    <w:rsid w:val="00122B4F"/>
    <w:rsid w:val="00122FC3"/>
    <w:rsid w:val="00124A32"/>
    <w:rsid w:val="001252D9"/>
    <w:rsid w:val="001272C7"/>
    <w:rsid w:val="00130182"/>
    <w:rsid w:val="00130A7C"/>
    <w:rsid w:val="00130DB0"/>
    <w:rsid w:val="001310FB"/>
    <w:rsid w:val="00132A42"/>
    <w:rsid w:val="001335A3"/>
    <w:rsid w:val="00133612"/>
    <w:rsid w:val="001347FB"/>
    <w:rsid w:val="00135A8C"/>
    <w:rsid w:val="00135C0D"/>
    <w:rsid w:val="0013653C"/>
    <w:rsid w:val="0013789F"/>
    <w:rsid w:val="001413CB"/>
    <w:rsid w:val="00142C53"/>
    <w:rsid w:val="001451E0"/>
    <w:rsid w:val="00145B46"/>
    <w:rsid w:val="00147FBD"/>
    <w:rsid w:val="001513F8"/>
    <w:rsid w:val="0015265C"/>
    <w:rsid w:val="0015475A"/>
    <w:rsid w:val="0015552B"/>
    <w:rsid w:val="00155943"/>
    <w:rsid w:val="001577DF"/>
    <w:rsid w:val="00157FAC"/>
    <w:rsid w:val="0016009A"/>
    <w:rsid w:val="001604AE"/>
    <w:rsid w:val="001605FD"/>
    <w:rsid w:val="0016141B"/>
    <w:rsid w:val="00164B9A"/>
    <w:rsid w:val="00165D17"/>
    <w:rsid w:val="001703E9"/>
    <w:rsid w:val="00173368"/>
    <w:rsid w:val="00175F19"/>
    <w:rsid w:val="001763A2"/>
    <w:rsid w:val="00181A58"/>
    <w:rsid w:val="00182A1B"/>
    <w:rsid w:val="00183322"/>
    <w:rsid w:val="001849E8"/>
    <w:rsid w:val="00185766"/>
    <w:rsid w:val="001869ED"/>
    <w:rsid w:val="001944D1"/>
    <w:rsid w:val="00195644"/>
    <w:rsid w:val="00195943"/>
    <w:rsid w:val="001974B5"/>
    <w:rsid w:val="001A0B8F"/>
    <w:rsid w:val="001A19F6"/>
    <w:rsid w:val="001A23B0"/>
    <w:rsid w:val="001A246A"/>
    <w:rsid w:val="001A2BB0"/>
    <w:rsid w:val="001A2F8B"/>
    <w:rsid w:val="001A51A3"/>
    <w:rsid w:val="001A607F"/>
    <w:rsid w:val="001A618A"/>
    <w:rsid w:val="001A717E"/>
    <w:rsid w:val="001A777C"/>
    <w:rsid w:val="001B1123"/>
    <w:rsid w:val="001B2F6C"/>
    <w:rsid w:val="001B5C0D"/>
    <w:rsid w:val="001B5F92"/>
    <w:rsid w:val="001C3385"/>
    <w:rsid w:val="001C363B"/>
    <w:rsid w:val="001C4A42"/>
    <w:rsid w:val="001C61B3"/>
    <w:rsid w:val="001C6D32"/>
    <w:rsid w:val="001C6E03"/>
    <w:rsid w:val="001C7DF9"/>
    <w:rsid w:val="001D09F5"/>
    <w:rsid w:val="001D0C0C"/>
    <w:rsid w:val="001D23A9"/>
    <w:rsid w:val="001D2FEF"/>
    <w:rsid w:val="001D30BA"/>
    <w:rsid w:val="001D6268"/>
    <w:rsid w:val="001D63D5"/>
    <w:rsid w:val="001E0CD8"/>
    <w:rsid w:val="001E2E23"/>
    <w:rsid w:val="001E30D3"/>
    <w:rsid w:val="001E774F"/>
    <w:rsid w:val="001E7BC8"/>
    <w:rsid w:val="001F0C00"/>
    <w:rsid w:val="001F310E"/>
    <w:rsid w:val="001F3875"/>
    <w:rsid w:val="001F4623"/>
    <w:rsid w:val="001F5484"/>
    <w:rsid w:val="001F7EFD"/>
    <w:rsid w:val="00201B5A"/>
    <w:rsid w:val="00201EBE"/>
    <w:rsid w:val="002028FA"/>
    <w:rsid w:val="00202A38"/>
    <w:rsid w:val="002048D5"/>
    <w:rsid w:val="00205852"/>
    <w:rsid w:val="002062CC"/>
    <w:rsid w:val="002067BC"/>
    <w:rsid w:val="00207541"/>
    <w:rsid w:val="00210836"/>
    <w:rsid w:val="0021169E"/>
    <w:rsid w:val="002140C2"/>
    <w:rsid w:val="00216149"/>
    <w:rsid w:val="00216E1E"/>
    <w:rsid w:val="00220B7A"/>
    <w:rsid w:val="00221C9C"/>
    <w:rsid w:val="00223699"/>
    <w:rsid w:val="0022405D"/>
    <w:rsid w:val="00227B1B"/>
    <w:rsid w:val="00230CBD"/>
    <w:rsid w:val="0023124A"/>
    <w:rsid w:val="00232AB2"/>
    <w:rsid w:val="00232DEE"/>
    <w:rsid w:val="00234147"/>
    <w:rsid w:val="00234797"/>
    <w:rsid w:val="00235ADC"/>
    <w:rsid w:val="00235F5F"/>
    <w:rsid w:val="00240611"/>
    <w:rsid w:val="002406AA"/>
    <w:rsid w:val="00240887"/>
    <w:rsid w:val="0024161F"/>
    <w:rsid w:val="0024651E"/>
    <w:rsid w:val="00247C52"/>
    <w:rsid w:val="002508BD"/>
    <w:rsid w:val="00251809"/>
    <w:rsid w:val="00254A8F"/>
    <w:rsid w:val="002562FE"/>
    <w:rsid w:val="002576DE"/>
    <w:rsid w:val="00261A92"/>
    <w:rsid w:val="00261CF0"/>
    <w:rsid w:val="00264C14"/>
    <w:rsid w:val="00265885"/>
    <w:rsid w:val="00265F5E"/>
    <w:rsid w:val="00266B5B"/>
    <w:rsid w:val="00266D57"/>
    <w:rsid w:val="00267AF3"/>
    <w:rsid w:val="00270181"/>
    <w:rsid w:val="00270E23"/>
    <w:rsid w:val="00271742"/>
    <w:rsid w:val="00271A2D"/>
    <w:rsid w:val="002774D4"/>
    <w:rsid w:val="00280C62"/>
    <w:rsid w:val="00282768"/>
    <w:rsid w:val="00282995"/>
    <w:rsid w:val="00282B0E"/>
    <w:rsid w:val="0028380E"/>
    <w:rsid w:val="002841E3"/>
    <w:rsid w:val="00286A7F"/>
    <w:rsid w:val="00287E3C"/>
    <w:rsid w:val="00294CDA"/>
    <w:rsid w:val="0029578D"/>
    <w:rsid w:val="00296046"/>
    <w:rsid w:val="002972A8"/>
    <w:rsid w:val="00297570"/>
    <w:rsid w:val="0029779B"/>
    <w:rsid w:val="00297BD5"/>
    <w:rsid w:val="00297FA3"/>
    <w:rsid w:val="002A2C14"/>
    <w:rsid w:val="002A7569"/>
    <w:rsid w:val="002A76C9"/>
    <w:rsid w:val="002B3C50"/>
    <w:rsid w:val="002B4257"/>
    <w:rsid w:val="002C0BE1"/>
    <w:rsid w:val="002C1251"/>
    <w:rsid w:val="002C1F67"/>
    <w:rsid w:val="002C5C3C"/>
    <w:rsid w:val="002C6AFD"/>
    <w:rsid w:val="002D05D8"/>
    <w:rsid w:val="002D140E"/>
    <w:rsid w:val="002D3C23"/>
    <w:rsid w:val="002D3C32"/>
    <w:rsid w:val="002D3E40"/>
    <w:rsid w:val="002D4B80"/>
    <w:rsid w:val="002D4E39"/>
    <w:rsid w:val="002D63E4"/>
    <w:rsid w:val="002D6621"/>
    <w:rsid w:val="002D69CA"/>
    <w:rsid w:val="002D789D"/>
    <w:rsid w:val="002E00C8"/>
    <w:rsid w:val="002E0F9C"/>
    <w:rsid w:val="002E4C1F"/>
    <w:rsid w:val="002E4F3C"/>
    <w:rsid w:val="002E52F9"/>
    <w:rsid w:val="002F01A3"/>
    <w:rsid w:val="002F1C33"/>
    <w:rsid w:val="002F2691"/>
    <w:rsid w:val="002F3C99"/>
    <w:rsid w:val="002F3DCA"/>
    <w:rsid w:val="002F5B22"/>
    <w:rsid w:val="002F5BF6"/>
    <w:rsid w:val="002F671C"/>
    <w:rsid w:val="0030156E"/>
    <w:rsid w:val="003027EC"/>
    <w:rsid w:val="003044FC"/>
    <w:rsid w:val="00305912"/>
    <w:rsid w:val="00305CF5"/>
    <w:rsid w:val="00310AFE"/>
    <w:rsid w:val="00311384"/>
    <w:rsid w:val="003123C6"/>
    <w:rsid w:val="0031537C"/>
    <w:rsid w:val="0031588A"/>
    <w:rsid w:val="00317261"/>
    <w:rsid w:val="003204F2"/>
    <w:rsid w:val="00320FA2"/>
    <w:rsid w:val="003216A0"/>
    <w:rsid w:val="00322093"/>
    <w:rsid w:val="00324018"/>
    <w:rsid w:val="00324693"/>
    <w:rsid w:val="0032629C"/>
    <w:rsid w:val="00326F0C"/>
    <w:rsid w:val="0032787E"/>
    <w:rsid w:val="00327D77"/>
    <w:rsid w:val="00330653"/>
    <w:rsid w:val="00330B8F"/>
    <w:rsid w:val="00332B10"/>
    <w:rsid w:val="0033717A"/>
    <w:rsid w:val="003373DB"/>
    <w:rsid w:val="00337C22"/>
    <w:rsid w:val="00337D69"/>
    <w:rsid w:val="00340F31"/>
    <w:rsid w:val="00342D57"/>
    <w:rsid w:val="00342F5E"/>
    <w:rsid w:val="003433B8"/>
    <w:rsid w:val="00344DF1"/>
    <w:rsid w:val="003458B0"/>
    <w:rsid w:val="00351EA0"/>
    <w:rsid w:val="00352020"/>
    <w:rsid w:val="00352A1D"/>
    <w:rsid w:val="003534FF"/>
    <w:rsid w:val="0035390D"/>
    <w:rsid w:val="003604EF"/>
    <w:rsid w:val="0036276F"/>
    <w:rsid w:val="0036483A"/>
    <w:rsid w:val="00370BED"/>
    <w:rsid w:val="003717FB"/>
    <w:rsid w:val="00372DF6"/>
    <w:rsid w:val="00372E92"/>
    <w:rsid w:val="0037352C"/>
    <w:rsid w:val="00374B3F"/>
    <w:rsid w:val="00375B10"/>
    <w:rsid w:val="00377638"/>
    <w:rsid w:val="00377659"/>
    <w:rsid w:val="0038253C"/>
    <w:rsid w:val="0038291E"/>
    <w:rsid w:val="00382B93"/>
    <w:rsid w:val="00382DD6"/>
    <w:rsid w:val="003836CE"/>
    <w:rsid w:val="003838F0"/>
    <w:rsid w:val="00383A0D"/>
    <w:rsid w:val="00386766"/>
    <w:rsid w:val="0039039F"/>
    <w:rsid w:val="00391865"/>
    <w:rsid w:val="0039306E"/>
    <w:rsid w:val="00393E8B"/>
    <w:rsid w:val="003A3260"/>
    <w:rsid w:val="003A3441"/>
    <w:rsid w:val="003A5AB5"/>
    <w:rsid w:val="003A5EF5"/>
    <w:rsid w:val="003A61C1"/>
    <w:rsid w:val="003A66A9"/>
    <w:rsid w:val="003B07B0"/>
    <w:rsid w:val="003B1068"/>
    <w:rsid w:val="003B1102"/>
    <w:rsid w:val="003B1306"/>
    <w:rsid w:val="003B26EF"/>
    <w:rsid w:val="003B42B3"/>
    <w:rsid w:val="003B4E6B"/>
    <w:rsid w:val="003B5233"/>
    <w:rsid w:val="003B5F83"/>
    <w:rsid w:val="003B6531"/>
    <w:rsid w:val="003B681A"/>
    <w:rsid w:val="003B6A1B"/>
    <w:rsid w:val="003B6EE5"/>
    <w:rsid w:val="003B7039"/>
    <w:rsid w:val="003B7A55"/>
    <w:rsid w:val="003B7EBA"/>
    <w:rsid w:val="003C1FDF"/>
    <w:rsid w:val="003C43CF"/>
    <w:rsid w:val="003C53C7"/>
    <w:rsid w:val="003C7006"/>
    <w:rsid w:val="003D05A6"/>
    <w:rsid w:val="003D258C"/>
    <w:rsid w:val="003D43BD"/>
    <w:rsid w:val="003D64A0"/>
    <w:rsid w:val="003D7892"/>
    <w:rsid w:val="003D7E0F"/>
    <w:rsid w:val="003E09B1"/>
    <w:rsid w:val="003E12D4"/>
    <w:rsid w:val="003E15B1"/>
    <w:rsid w:val="003E42C3"/>
    <w:rsid w:val="003E4B69"/>
    <w:rsid w:val="003E5A98"/>
    <w:rsid w:val="003F074D"/>
    <w:rsid w:val="003F2F6C"/>
    <w:rsid w:val="003F41A1"/>
    <w:rsid w:val="003F4B6D"/>
    <w:rsid w:val="003F58BE"/>
    <w:rsid w:val="003F5BAA"/>
    <w:rsid w:val="003F6421"/>
    <w:rsid w:val="003F77DE"/>
    <w:rsid w:val="00401C6F"/>
    <w:rsid w:val="00402913"/>
    <w:rsid w:val="004037B0"/>
    <w:rsid w:val="00403A6D"/>
    <w:rsid w:val="0040556C"/>
    <w:rsid w:val="0040665F"/>
    <w:rsid w:val="00407052"/>
    <w:rsid w:val="00410116"/>
    <w:rsid w:val="004138A7"/>
    <w:rsid w:val="00415943"/>
    <w:rsid w:val="0041633A"/>
    <w:rsid w:val="004171A4"/>
    <w:rsid w:val="004175C3"/>
    <w:rsid w:val="0042084F"/>
    <w:rsid w:val="004208E6"/>
    <w:rsid w:val="00421850"/>
    <w:rsid w:val="00424CBE"/>
    <w:rsid w:val="004253A9"/>
    <w:rsid w:val="004259AD"/>
    <w:rsid w:val="004268A7"/>
    <w:rsid w:val="00427161"/>
    <w:rsid w:val="00427482"/>
    <w:rsid w:val="00431096"/>
    <w:rsid w:val="00431EEE"/>
    <w:rsid w:val="00432102"/>
    <w:rsid w:val="00432B4C"/>
    <w:rsid w:val="0043340E"/>
    <w:rsid w:val="00433800"/>
    <w:rsid w:val="004338A0"/>
    <w:rsid w:val="00437036"/>
    <w:rsid w:val="0043730D"/>
    <w:rsid w:val="00443469"/>
    <w:rsid w:val="00443BB9"/>
    <w:rsid w:val="00444C9E"/>
    <w:rsid w:val="00445283"/>
    <w:rsid w:val="00446D57"/>
    <w:rsid w:val="004476FB"/>
    <w:rsid w:val="004512BA"/>
    <w:rsid w:val="00452337"/>
    <w:rsid w:val="004526D5"/>
    <w:rsid w:val="00452BB2"/>
    <w:rsid w:val="00455BAF"/>
    <w:rsid w:val="004567EF"/>
    <w:rsid w:val="0045776C"/>
    <w:rsid w:val="00457CC1"/>
    <w:rsid w:val="00461C3D"/>
    <w:rsid w:val="00463918"/>
    <w:rsid w:val="004665E9"/>
    <w:rsid w:val="004666BD"/>
    <w:rsid w:val="00467329"/>
    <w:rsid w:val="00472274"/>
    <w:rsid w:val="00472F71"/>
    <w:rsid w:val="004730FF"/>
    <w:rsid w:val="004754D2"/>
    <w:rsid w:val="00475870"/>
    <w:rsid w:val="00475EF5"/>
    <w:rsid w:val="00475FFD"/>
    <w:rsid w:val="00476042"/>
    <w:rsid w:val="00476B19"/>
    <w:rsid w:val="0048158C"/>
    <w:rsid w:val="00482724"/>
    <w:rsid w:val="00483FA6"/>
    <w:rsid w:val="0048713F"/>
    <w:rsid w:val="00487176"/>
    <w:rsid w:val="0049214A"/>
    <w:rsid w:val="0049233E"/>
    <w:rsid w:val="004932C6"/>
    <w:rsid w:val="00494001"/>
    <w:rsid w:val="00494B2C"/>
    <w:rsid w:val="0049501B"/>
    <w:rsid w:val="00495B2E"/>
    <w:rsid w:val="004A2B64"/>
    <w:rsid w:val="004A403F"/>
    <w:rsid w:val="004A489A"/>
    <w:rsid w:val="004A6174"/>
    <w:rsid w:val="004A6FA1"/>
    <w:rsid w:val="004B3743"/>
    <w:rsid w:val="004B4120"/>
    <w:rsid w:val="004B520D"/>
    <w:rsid w:val="004B7366"/>
    <w:rsid w:val="004C0867"/>
    <w:rsid w:val="004C1296"/>
    <w:rsid w:val="004C1CBE"/>
    <w:rsid w:val="004C23FB"/>
    <w:rsid w:val="004C3954"/>
    <w:rsid w:val="004C58CA"/>
    <w:rsid w:val="004C5FFF"/>
    <w:rsid w:val="004C7384"/>
    <w:rsid w:val="004C7724"/>
    <w:rsid w:val="004D0AFC"/>
    <w:rsid w:val="004D1CA5"/>
    <w:rsid w:val="004D29E6"/>
    <w:rsid w:val="004D32EA"/>
    <w:rsid w:val="004D334A"/>
    <w:rsid w:val="004D3388"/>
    <w:rsid w:val="004D3FD2"/>
    <w:rsid w:val="004D4728"/>
    <w:rsid w:val="004D4E4A"/>
    <w:rsid w:val="004D555C"/>
    <w:rsid w:val="004D6F7B"/>
    <w:rsid w:val="004E06BF"/>
    <w:rsid w:val="004E0BFF"/>
    <w:rsid w:val="004E235F"/>
    <w:rsid w:val="004E2D68"/>
    <w:rsid w:val="004E4374"/>
    <w:rsid w:val="004E5562"/>
    <w:rsid w:val="004F11E4"/>
    <w:rsid w:val="004F2561"/>
    <w:rsid w:val="004F3B8B"/>
    <w:rsid w:val="005038D3"/>
    <w:rsid w:val="00504A44"/>
    <w:rsid w:val="00510053"/>
    <w:rsid w:val="005115FE"/>
    <w:rsid w:val="00513B5E"/>
    <w:rsid w:val="005152BB"/>
    <w:rsid w:val="00517AE0"/>
    <w:rsid w:val="0052010F"/>
    <w:rsid w:val="00520745"/>
    <w:rsid w:val="0052313B"/>
    <w:rsid w:val="00523260"/>
    <w:rsid w:val="00523445"/>
    <w:rsid w:val="005241C7"/>
    <w:rsid w:val="00525179"/>
    <w:rsid w:val="00525C59"/>
    <w:rsid w:val="00527F6D"/>
    <w:rsid w:val="00530B4D"/>
    <w:rsid w:val="00530B83"/>
    <w:rsid w:val="00531A13"/>
    <w:rsid w:val="00533077"/>
    <w:rsid w:val="0053361A"/>
    <w:rsid w:val="00533E19"/>
    <w:rsid w:val="005357FC"/>
    <w:rsid w:val="00535B1E"/>
    <w:rsid w:val="00536894"/>
    <w:rsid w:val="00536AFC"/>
    <w:rsid w:val="005370D1"/>
    <w:rsid w:val="00537D1B"/>
    <w:rsid w:val="00541FB9"/>
    <w:rsid w:val="00542440"/>
    <w:rsid w:val="00542770"/>
    <w:rsid w:val="00544019"/>
    <w:rsid w:val="00544D2C"/>
    <w:rsid w:val="00547979"/>
    <w:rsid w:val="0055092E"/>
    <w:rsid w:val="00550CC7"/>
    <w:rsid w:val="005519E1"/>
    <w:rsid w:val="00552265"/>
    <w:rsid w:val="0055229F"/>
    <w:rsid w:val="0055582C"/>
    <w:rsid w:val="00555AD0"/>
    <w:rsid w:val="00561265"/>
    <w:rsid w:val="00563BEF"/>
    <w:rsid w:val="00564208"/>
    <w:rsid w:val="0056463F"/>
    <w:rsid w:val="0056536D"/>
    <w:rsid w:val="0056777A"/>
    <w:rsid w:val="00567F79"/>
    <w:rsid w:val="005705AD"/>
    <w:rsid w:val="005718C7"/>
    <w:rsid w:val="005723E1"/>
    <w:rsid w:val="00572E3F"/>
    <w:rsid w:val="00573593"/>
    <w:rsid w:val="00575194"/>
    <w:rsid w:val="005764C2"/>
    <w:rsid w:val="00577447"/>
    <w:rsid w:val="00577D4E"/>
    <w:rsid w:val="00580046"/>
    <w:rsid w:val="0058193B"/>
    <w:rsid w:val="00585301"/>
    <w:rsid w:val="0058691F"/>
    <w:rsid w:val="00587F3E"/>
    <w:rsid w:val="0059080B"/>
    <w:rsid w:val="005917DD"/>
    <w:rsid w:val="00591CF5"/>
    <w:rsid w:val="00591ECB"/>
    <w:rsid w:val="00593EEF"/>
    <w:rsid w:val="00595601"/>
    <w:rsid w:val="00595642"/>
    <w:rsid w:val="0059592E"/>
    <w:rsid w:val="0059632D"/>
    <w:rsid w:val="00596387"/>
    <w:rsid w:val="00596545"/>
    <w:rsid w:val="00596EC7"/>
    <w:rsid w:val="00597B36"/>
    <w:rsid w:val="005A168D"/>
    <w:rsid w:val="005A1DDD"/>
    <w:rsid w:val="005A4463"/>
    <w:rsid w:val="005A4557"/>
    <w:rsid w:val="005A5C90"/>
    <w:rsid w:val="005A5EE6"/>
    <w:rsid w:val="005A7216"/>
    <w:rsid w:val="005B0700"/>
    <w:rsid w:val="005B0C5B"/>
    <w:rsid w:val="005B1206"/>
    <w:rsid w:val="005B33BF"/>
    <w:rsid w:val="005B5580"/>
    <w:rsid w:val="005B56B7"/>
    <w:rsid w:val="005C021D"/>
    <w:rsid w:val="005C0D7A"/>
    <w:rsid w:val="005C108A"/>
    <w:rsid w:val="005C295D"/>
    <w:rsid w:val="005C2A68"/>
    <w:rsid w:val="005C2B3E"/>
    <w:rsid w:val="005C5F29"/>
    <w:rsid w:val="005C6D9E"/>
    <w:rsid w:val="005C7276"/>
    <w:rsid w:val="005C7BAF"/>
    <w:rsid w:val="005C7EC4"/>
    <w:rsid w:val="005C7FB0"/>
    <w:rsid w:val="005D2A2A"/>
    <w:rsid w:val="005D4422"/>
    <w:rsid w:val="005D6321"/>
    <w:rsid w:val="005D76D6"/>
    <w:rsid w:val="005E051A"/>
    <w:rsid w:val="005E1959"/>
    <w:rsid w:val="005E1AC4"/>
    <w:rsid w:val="005E1AD6"/>
    <w:rsid w:val="005E2987"/>
    <w:rsid w:val="005E318E"/>
    <w:rsid w:val="005E4253"/>
    <w:rsid w:val="005E43ED"/>
    <w:rsid w:val="005E46AE"/>
    <w:rsid w:val="005E5D9F"/>
    <w:rsid w:val="005E5F52"/>
    <w:rsid w:val="005E66BA"/>
    <w:rsid w:val="005E6906"/>
    <w:rsid w:val="005E70B4"/>
    <w:rsid w:val="005F1162"/>
    <w:rsid w:val="005F4867"/>
    <w:rsid w:val="005F7230"/>
    <w:rsid w:val="005F7BF6"/>
    <w:rsid w:val="00601B61"/>
    <w:rsid w:val="00610048"/>
    <w:rsid w:val="00612C8E"/>
    <w:rsid w:val="0061421A"/>
    <w:rsid w:val="00615299"/>
    <w:rsid w:val="006159C5"/>
    <w:rsid w:val="006161FA"/>
    <w:rsid w:val="0062163D"/>
    <w:rsid w:val="00627339"/>
    <w:rsid w:val="00630814"/>
    <w:rsid w:val="0063081B"/>
    <w:rsid w:val="00632802"/>
    <w:rsid w:val="006345E1"/>
    <w:rsid w:val="00634658"/>
    <w:rsid w:val="00635A7B"/>
    <w:rsid w:val="00640423"/>
    <w:rsid w:val="00640D85"/>
    <w:rsid w:val="006426EB"/>
    <w:rsid w:val="00643E58"/>
    <w:rsid w:val="00644EA1"/>
    <w:rsid w:val="00645351"/>
    <w:rsid w:val="00650B7B"/>
    <w:rsid w:val="00650F0D"/>
    <w:rsid w:val="0065542E"/>
    <w:rsid w:val="00655B13"/>
    <w:rsid w:val="0065657E"/>
    <w:rsid w:val="00656C67"/>
    <w:rsid w:val="0065710C"/>
    <w:rsid w:val="00657533"/>
    <w:rsid w:val="0065791E"/>
    <w:rsid w:val="00657D40"/>
    <w:rsid w:val="0066030B"/>
    <w:rsid w:val="00660676"/>
    <w:rsid w:val="0066080B"/>
    <w:rsid w:val="00660ABF"/>
    <w:rsid w:val="00662DD9"/>
    <w:rsid w:val="006642AF"/>
    <w:rsid w:val="00665131"/>
    <w:rsid w:val="00667A40"/>
    <w:rsid w:val="0067418E"/>
    <w:rsid w:val="006741F4"/>
    <w:rsid w:val="00674854"/>
    <w:rsid w:val="00674A78"/>
    <w:rsid w:val="006775EA"/>
    <w:rsid w:val="00677CFA"/>
    <w:rsid w:val="00677F9B"/>
    <w:rsid w:val="006820D7"/>
    <w:rsid w:val="00682196"/>
    <w:rsid w:val="006829DB"/>
    <w:rsid w:val="00683A03"/>
    <w:rsid w:val="006846EF"/>
    <w:rsid w:val="00684763"/>
    <w:rsid w:val="0068634B"/>
    <w:rsid w:val="00687F0A"/>
    <w:rsid w:val="00687F39"/>
    <w:rsid w:val="006901A8"/>
    <w:rsid w:val="0069045D"/>
    <w:rsid w:val="00690616"/>
    <w:rsid w:val="00691155"/>
    <w:rsid w:val="006A0A4B"/>
    <w:rsid w:val="006A0BD1"/>
    <w:rsid w:val="006A1BE9"/>
    <w:rsid w:val="006A77BB"/>
    <w:rsid w:val="006B028E"/>
    <w:rsid w:val="006B10C0"/>
    <w:rsid w:val="006B150F"/>
    <w:rsid w:val="006B37FA"/>
    <w:rsid w:val="006B6288"/>
    <w:rsid w:val="006B6B74"/>
    <w:rsid w:val="006B74C5"/>
    <w:rsid w:val="006C0C0E"/>
    <w:rsid w:val="006C13F2"/>
    <w:rsid w:val="006C305D"/>
    <w:rsid w:val="006C3971"/>
    <w:rsid w:val="006C55DD"/>
    <w:rsid w:val="006C7958"/>
    <w:rsid w:val="006C7B26"/>
    <w:rsid w:val="006D15F0"/>
    <w:rsid w:val="006D3155"/>
    <w:rsid w:val="006D3220"/>
    <w:rsid w:val="006D5D9A"/>
    <w:rsid w:val="006E0A99"/>
    <w:rsid w:val="006E236F"/>
    <w:rsid w:val="006E2E1E"/>
    <w:rsid w:val="006E3682"/>
    <w:rsid w:val="006E3839"/>
    <w:rsid w:val="006E3AA5"/>
    <w:rsid w:val="006E5E1D"/>
    <w:rsid w:val="006E688D"/>
    <w:rsid w:val="006F0CA4"/>
    <w:rsid w:val="006F12DF"/>
    <w:rsid w:val="006F18A4"/>
    <w:rsid w:val="006F1DB6"/>
    <w:rsid w:val="006F1F7D"/>
    <w:rsid w:val="006F54FD"/>
    <w:rsid w:val="006F68B2"/>
    <w:rsid w:val="006F7432"/>
    <w:rsid w:val="007001DD"/>
    <w:rsid w:val="007011D3"/>
    <w:rsid w:val="0070220D"/>
    <w:rsid w:val="0070354E"/>
    <w:rsid w:val="0070402F"/>
    <w:rsid w:val="00705403"/>
    <w:rsid w:val="00705D18"/>
    <w:rsid w:val="00705E73"/>
    <w:rsid w:val="007108C5"/>
    <w:rsid w:val="00710D10"/>
    <w:rsid w:val="0071147E"/>
    <w:rsid w:val="0071152F"/>
    <w:rsid w:val="007119E5"/>
    <w:rsid w:val="0071251A"/>
    <w:rsid w:val="00712E1D"/>
    <w:rsid w:val="00714582"/>
    <w:rsid w:val="00715AFA"/>
    <w:rsid w:val="00715CA5"/>
    <w:rsid w:val="007165FF"/>
    <w:rsid w:val="007173EB"/>
    <w:rsid w:val="0071797E"/>
    <w:rsid w:val="007223E1"/>
    <w:rsid w:val="00723858"/>
    <w:rsid w:val="00723ED2"/>
    <w:rsid w:val="007246BC"/>
    <w:rsid w:val="007248A7"/>
    <w:rsid w:val="00724B9F"/>
    <w:rsid w:val="00725544"/>
    <w:rsid w:val="0072581A"/>
    <w:rsid w:val="00726271"/>
    <w:rsid w:val="00727C51"/>
    <w:rsid w:val="00727CF5"/>
    <w:rsid w:val="007302D3"/>
    <w:rsid w:val="00730DC7"/>
    <w:rsid w:val="00736879"/>
    <w:rsid w:val="00736D81"/>
    <w:rsid w:val="00737AEB"/>
    <w:rsid w:val="00740260"/>
    <w:rsid w:val="007403D9"/>
    <w:rsid w:val="0074270E"/>
    <w:rsid w:val="0074546C"/>
    <w:rsid w:val="00746325"/>
    <w:rsid w:val="00746B99"/>
    <w:rsid w:val="00746BDE"/>
    <w:rsid w:val="00751257"/>
    <w:rsid w:val="00753091"/>
    <w:rsid w:val="007562DF"/>
    <w:rsid w:val="00757E06"/>
    <w:rsid w:val="00760768"/>
    <w:rsid w:val="0076195B"/>
    <w:rsid w:val="00761E53"/>
    <w:rsid w:val="00765276"/>
    <w:rsid w:val="007663D0"/>
    <w:rsid w:val="00772C68"/>
    <w:rsid w:val="0077479B"/>
    <w:rsid w:val="00776896"/>
    <w:rsid w:val="00776DD4"/>
    <w:rsid w:val="00777784"/>
    <w:rsid w:val="00780325"/>
    <w:rsid w:val="00781135"/>
    <w:rsid w:val="007828A3"/>
    <w:rsid w:val="00783FAF"/>
    <w:rsid w:val="007869B1"/>
    <w:rsid w:val="007909F5"/>
    <w:rsid w:val="00791309"/>
    <w:rsid w:val="00792FA6"/>
    <w:rsid w:val="007938DF"/>
    <w:rsid w:val="00795FDE"/>
    <w:rsid w:val="00796A6E"/>
    <w:rsid w:val="00797D77"/>
    <w:rsid w:val="00797E13"/>
    <w:rsid w:val="007A143B"/>
    <w:rsid w:val="007A1CFD"/>
    <w:rsid w:val="007A3BB3"/>
    <w:rsid w:val="007A3DF3"/>
    <w:rsid w:val="007A40DD"/>
    <w:rsid w:val="007A46D2"/>
    <w:rsid w:val="007A4AD9"/>
    <w:rsid w:val="007A570B"/>
    <w:rsid w:val="007B1B77"/>
    <w:rsid w:val="007B6268"/>
    <w:rsid w:val="007B67E8"/>
    <w:rsid w:val="007C03E6"/>
    <w:rsid w:val="007C4FA7"/>
    <w:rsid w:val="007C6601"/>
    <w:rsid w:val="007C6E17"/>
    <w:rsid w:val="007C70BE"/>
    <w:rsid w:val="007C7BF6"/>
    <w:rsid w:val="007D0420"/>
    <w:rsid w:val="007D1EEA"/>
    <w:rsid w:val="007D3BA8"/>
    <w:rsid w:val="007D4685"/>
    <w:rsid w:val="007E246A"/>
    <w:rsid w:val="007E26FB"/>
    <w:rsid w:val="007E2B05"/>
    <w:rsid w:val="007E3512"/>
    <w:rsid w:val="007E4BC2"/>
    <w:rsid w:val="007E65F4"/>
    <w:rsid w:val="007F0F0F"/>
    <w:rsid w:val="007F1C6E"/>
    <w:rsid w:val="007F4F29"/>
    <w:rsid w:val="007F50BA"/>
    <w:rsid w:val="007F5B62"/>
    <w:rsid w:val="007F5B6F"/>
    <w:rsid w:val="007F5DBC"/>
    <w:rsid w:val="007F615A"/>
    <w:rsid w:val="007F6CC9"/>
    <w:rsid w:val="007F7620"/>
    <w:rsid w:val="00802636"/>
    <w:rsid w:val="00802BC3"/>
    <w:rsid w:val="00802EBC"/>
    <w:rsid w:val="00803EDB"/>
    <w:rsid w:val="00807B7E"/>
    <w:rsid w:val="00811F0E"/>
    <w:rsid w:val="00811F32"/>
    <w:rsid w:val="00812643"/>
    <w:rsid w:val="008132C9"/>
    <w:rsid w:val="0081369B"/>
    <w:rsid w:val="00813CC2"/>
    <w:rsid w:val="0081438A"/>
    <w:rsid w:val="008148A2"/>
    <w:rsid w:val="00817B91"/>
    <w:rsid w:val="00820136"/>
    <w:rsid w:val="008217FA"/>
    <w:rsid w:val="008227F9"/>
    <w:rsid w:val="0082464A"/>
    <w:rsid w:val="0082536E"/>
    <w:rsid w:val="00826CBE"/>
    <w:rsid w:val="00826E67"/>
    <w:rsid w:val="00827491"/>
    <w:rsid w:val="00827E03"/>
    <w:rsid w:val="00830F45"/>
    <w:rsid w:val="00831DF1"/>
    <w:rsid w:val="00832062"/>
    <w:rsid w:val="00832377"/>
    <w:rsid w:val="008331B9"/>
    <w:rsid w:val="00833B78"/>
    <w:rsid w:val="00834051"/>
    <w:rsid w:val="00837549"/>
    <w:rsid w:val="0084063B"/>
    <w:rsid w:val="0084063E"/>
    <w:rsid w:val="00840661"/>
    <w:rsid w:val="00841B69"/>
    <w:rsid w:val="00842121"/>
    <w:rsid w:val="0084227F"/>
    <w:rsid w:val="00842772"/>
    <w:rsid w:val="00843D78"/>
    <w:rsid w:val="00843F9F"/>
    <w:rsid w:val="00847DDF"/>
    <w:rsid w:val="00850383"/>
    <w:rsid w:val="0085043A"/>
    <w:rsid w:val="008506C3"/>
    <w:rsid w:val="00851AAA"/>
    <w:rsid w:val="0085373E"/>
    <w:rsid w:val="00853871"/>
    <w:rsid w:val="00854412"/>
    <w:rsid w:val="00855EA5"/>
    <w:rsid w:val="008566E6"/>
    <w:rsid w:val="00857358"/>
    <w:rsid w:val="00857B96"/>
    <w:rsid w:val="00860177"/>
    <w:rsid w:val="008623D9"/>
    <w:rsid w:val="00864BBF"/>
    <w:rsid w:val="00870815"/>
    <w:rsid w:val="008714CB"/>
    <w:rsid w:val="00871883"/>
    <w:rsid w:val="0087287B"/>
    <w:rsid w:val="00873BF3"/>
    <w:rsid w:val="00874258"/>
    <w:rsid w:val="0087441A"/>
    <w:rsid w:val="0087496F"/>
    <w:rsid w:val="00874EDD"/>
    <w:rsid w:val="008753D4"/>
    <w:rsid w:val="008754BB"/>
    <w:rsid w:val="00875674"/>
    <w:rsid w:val="00877FC4"/>
    <w:rsid w:val="008809FE"/>
    <w:rsid w:val="00881D29"/>
    <w:rsid w:val="00883A5B"/>
    <w:rsid w:val="00884382"/>
    <w:rsid w:val="008854E3"/>
    <w:rsid w:val="00886098"/>
    <w:rsid w:val="008875B5"/>
    <w:rsid w:val="0089022E"/>
    <w:rsid w:val="00890409"/>
    <w:rsid w:val="0089044B"/>
    <w:rsid w:val="008907E9"/>
    <w:rsid w:val="0089203A"/>
    <w:rsid w:val="00892C67"/>
    <w:rsid w:val="00894D26"/>
    <w:rsid w:val="00894F97"/>
    <w:rsid w:val="008963E9"/>
    <w:rsid w:val="00897CEF"/>
    <w:rsid w:val="008A0A64"/>
    <w:rsid w:val="008A1957"/>
    <w:rsid w:val="008A1A99"/>
    <w:rsid w:val="008A3A4F"/>
    <w:rsid w:val="008A48C0"/>
    <w:rsid w:val="008A5A23"/>
    <w:rsid w:val="008A5B82"/>
    <w:rsid w:val="008B5821"/>
    <w:rsid w:val="008B5CE7"/>
    <w:rsid w:val="008B6B38"/>
    <w:rsid w:val="008C31C5"/>
    <w:rsid w:val="008C4743"/>
    <w:rsid w:val="008C49EB"/>
    <w:rsid w:val="008C4C3E"/>
    <w:rsid w:val="008C4FB6"/>
    <w:rsid w:val="008C5CD6"/>
    <w:rsid w:val="008C6441"/>
    <w:rsid w:val="008C6A52"/>
    <w:rsid w:val="008C78DF"/>
    <w:rsid w:val="008D05BF"/>
    <w:rsid w:val="008D1420"/>
    <w:rsid w:val="008E05BD"/>
    <w:rsid w:val="008E1832"/>
    <w:rsid w:val="008E2A51"/>
    <w:rsid w:val="008E2A8C"/>
    <w:rsid w:val="008E436F"/>
    <w:rsid w:val="008E479D"/>
    <w:rsid w:val="008E5C7C"/>
    <w:rsid w:val="008E6F08"/>
    <w:rsid w:val="008E71E0"/>
    <w:rsid w:val="008E78D6"/>
    <w:rsid w:val="008F0AE3"/>
    <w:rsid w:val="008F113A"/>
    <w:rsid w:val="008F32A5"/>
    <w:rsid w:val="008F3AA0"/>
    <w:rsid w:val="008F7332"/>
    <w:rsid w:val="00900BA3"/>
    <w:rsid w:val="0090259E"/>
    <w:rsid w:val="00903380"/>
    <w:rsid w:val="00903802"/>
    <w:rsid w:val="009044EE"/>
    <w:rsid w:val="009050EE"/>
    <w:rsid w:val="00905446"/>
    <w:rsid w:val="00905E95"/>
    <w:rsid w:val="00907B77"/>
    <w:rsid w:val="00911387"/>
    <w:rsid w:val="00911871"/>
    <w:rsid w:val="009156B5"/>
    <w:rsid w:val="00916C05"/>
    <w:rsid w:val="00921223"/>
    <w:rsid w:val="00922A46"/>
    <w:rsid w:val="009231C9"/>
    <w:rsid w:val="00923CB5"/>
    <w:rsid w:val="00923E2D"/>
    <w:rsid w:val="0092482C"/>
    <w:rsid w:val="00925FBF"/>
    <w:rsid w:val="0093061F"/>
    <w:rsid w:val="00931AC0"/>
    <w:rsid w:val="00931C5A"/>
    <w:rsid w:val="00932606"/>
    <w:rsid w:val="0093269D"/>
    <w:rsid w:val="009336E9"/>
    <w:rsid w:val="0094166C"/>
    <w:rsid w:val="00942B74"/>
    <w:rsid w:val="009433A6"/>
    <w:rsid w:val="00943831"/>
    <w:rsid w:val="009446AC"/>
    <w:rsid w:val="0094576B"/>
    <w:rsid w:val="00950277"/>
    <w:rsid w:val="00953F2D"/>
    <w:rsid w:val="00954334"/>
    <w:rsid w:val="00956873"/>
    <w:rsid w:val="00956F56"/>
    <w:rsid w:val="00960A10"/>
    <w:rsid w:val="00960AAE"/>
    <w:rsid w:val="00961202"/>
    <w:rsid w:val="009625B7"/>
    <w:rsid w:val="00962F1D"/>
    <w:rsid w:val="00964DA6"/>
    <w:rsid w:val="009673AE"/>
    <w:rsid w:val="009719DD"/>
    <w:rsid w:val="009719F9"/>
    <w:rsid w:val="00971FD5"/>
    <w:rsid w:val="00974407"/>
    <w:rsid w:val="00974A36"/>
    <w:rsid w:val="00975686"/>
    <w:rsid w:val="009774BE"/>
    <w:rsid w:val="009829F5"/>
    <w:rsid w:val="00982C8E"/>
    <w:rsid w:val="00985569"/>
    <w:rsid w:val="00990CF2"/>
    <w:rsid w:val="009910C4"/>
    <w:rsid w:val="00992479"/>
    <w:rsid w:val="0099454A"/>
    <w:rsid w:val="009953C0"/>
    <w:rsid w:val="00996189"/>
    <w:rsid w:val="009A0F2D"/>
    <w:rsid w:val="009A16F9"/>
    <w:rsid w:val="009A1FA0"/>
    <w:rsid w:val="009A344C"/>
    <w:rsid w:val="009A58BA"/>
    <w:rsid w:val="009A6241"/>
    <w:rsid w:val="009A6C01"/>
    <w:rsid w:val="009A6F59"/>
    <w:rsid w:val="009A6F73"/>
    <w:rsid w:val="009B08FB"/>
    <w:rsid w:val="009B2DB1"/>
    <w:rsid w:val="009B3A76"/>
    <w:rsid w:val="009C1B98"/>
    <w:rsid w:val="009C1EEE"/>
    <w:rsid w:val="009C2833"/>
    <w:rsid w:val="009C2F4B"/>
    <w:rsid w:val="009C3369"/>
    <w:rsid w:val="009C3803"/>
    <w:rsid w:val="009C39B5"/>
    <w:rsid w:val="009C431C"/>
    <w:rsid w:val="009C5796"/>
    <w:rsid w:val="009C57D9"/>
    <w:rsid w:val="009C58CD"/>
    <w:rsid w:val="009C6BF6"/>
    <w:rsid w:val="009C765C"/>
    <w:rsid w:val="009D1327"/>
    <w:rsid w:val="009D1451"/>
    <w:rsid w:val="009D1754"/>
    <w:rsid w:val="009D2836"/>
    <w:rsid w:val="009D2CFB"/>
    <w:rsid w:val="009D33CA"/>
    <w:rsid w:val="009D397A"/>
    <w:rsid w:val="009D3D37"/>
    <w:rsid w:val="009D6DA3"/>
    <w:rsid w:val="009D74EF"/>
    <w:rsid w:val="009D76D9"/>
    <w:rsid w:val="009E3DA2"/>
    <w:rsid w:val="009E44B4"/>
    <w:rsid w:val="009E5787"/>
    <w:rsid w:val="009E58AA"/>
    <w:rsid w:val="009E6A14"/>
    <w:rsid w:val="009F045E"/>
    <w:rsid w:val="009F10FF"/>
    <w:rsid w:val="009F3008"/>
    <w:rsid w:val="009F572C"/>
    <w:rsid w:val="009F5AA6"/>
    <w:rsid w:val="00A00FFB"/>
    <w:rsid w:val="00A017F7"/>
    <w:rsid w:val="00A02195"/>
    <w:rsid w:val="00A021CB"/>
    <w:rsid w:val="00A02DC6"/>
    <w:rsid w:val="00A035A6"/>
    <w:rsid w:val="00A06320"/>
    <w:rsid w:val="00A078CE"/>
    <w:rsid w:val="00A07EF1"/>
    <w:rsid w:val="00A11C76"/>
    <w:rsid w:val="00A12063"/>
    <w:rsid w:val="00A12FEA"/>
    <w:rsid w:val="00A138FF"/>
    <w:rsid w:val="00A14C66"/>
    <w:rsid w:val="00A153B6"/>
    <w:rsid w:val="00A16911"/>
    <w:rsid w:val="00A17750"/>
    <w:rsid w:val="00A17AF7"/>
    <w:rsid w:val="00A21957"/>
    <w:rsid w:val="00A21CB7"/>
    <w:rsid w:val="00A21E1E"/>
    <w:rsid w:val="00A224CD"/>
    <w:rsid w:val="00A23112"/>
    <w:rsid w:val="00A24EE2"/>
    <w:rsid w:val="00A252FE"/>
    <w:rsid w:val="00A2731D"/>
    <w:rsid w:val="00A30425"/>
    <w:rsid w:val="00A318BA"/>
    <w:rsid w:val="00A32E71"/>
    <w:rsid w:val="00A33518"/>
    <w:rsid w:val="00A353B9"/>
    <w:rsid w:val="00A35C4A"/>
    <w:rsid w:val="00A3622C"/>
    <w:rsid w:val="00A37277"/>
    <w:rsid w:val="00A40B03"/>
    <w:rsid w:val="00A41F99"/>
    <w:rsid w:val="00A43B00"/>
    <w:rsid w:val="00A469FB"/>
    <w:rsid w:val="00A500B4"/>
    <w:rsid w:val="00A50892"/>
    <w:rsid w:val="00A508A9"/>
    <w:rsid w:val="00A552F0"/>
    <w:rsid w:val="00A56835"/>
    <w:rsid w:val="00A573E1"/>
    <w:rsid w:val="00A5748F"/>
    <w:rsid w:val="00A60306"/>
    <w:rsid w:val="00A61EBE"/>
    <w:rsid w:val="00A62A2A"/>
    <w:rsid w:val="00A62F7E"/>
    <w:rsid w:val="00A62FE3"/>
    <w:rsid w:val="00A661CA"/>
    <w:rsid w:val="00A66C25"/>
    <w:rsid w:val="00A66FB3"/>
    <w:rsid w:val="00A671D2"/>
    <w:rsid w:val="00A73CFE"/>
    <w:rsid w:val="00A75428"/>
    <w:rsid w:val="00A77EDE"/>
    <w:rsid w:val="00A83659"/>
    <w:rsid w:val="00A862B6"/>
    <w:rsid w:val="00A865AE"/>
    <w:rsid w:val="00A87C03"/>
    <w:rsid w:val="00A906A3"/>
    <w:rsid w:val="00A922F1"/>
    <w:rsid w:val="00A927BB"/>
    <w:rsid w:val="00A94909"/>
    <w:rsid w:val="00A95256"/>
    <w:rsid w:val="00A953B9"/>
    <w:rsid w:val="00AA02FD"/>
    <w:rsid w:val="00AA1093"/>
    <w:rsid w:val="00AA1ED8"/>
    <w:rsid w:val="00AA4FDD"/>
    <w:rsid w:val="00AA55F1"/>
    <w:rsid w:val="00AA5EE7"/>
    <w:rsid w:val="00AA6389"/>
    <w:rsid w:val="00AA7691"/>
    <w:rsid w:val="00AA7C0F"/>
    <w:rsid w:val="00AB0F38"/>
    <w:rsid w:val="00AB5C58"/>
    <w:rsid w:val="00AB5E19"/>
    <w:rsid w:val="00AB5F91"/>
    <w:rsid w:val="00AB639B"/>
    <w:rsid w:val="00AB649B"/>
    <w:rsid w:val="00AC081F"/>
    <w:rsid w:val="00AC0BE3"/>
    <w:rsid w:val="00AC1DA8"/>
    <w:rsid w:val="00AC330E"/>
    <w:rsid w:val="00AC3633"/>
    <w:rsid w:val="00AC3D4F"/>
    <w:rsid w:val="00AC5E37"/>
    <w:rsid w:val="00AC608A"/>
    <w:rsid w:val="00AC6413"/>
    <w:rsid w:val="00AC650D"/>
    <w:rsid w:val="00AC78AA"/>
    <w:rsid w:val="00AD0A17"/>
    <w:rsid w:val="00AD2E44"/>
    <w:rsid w:val="00AD2F8E"/>
    <w:rsid w:val="00AD301B"/>
    <w:rsid w:val="00AD3645"/>
    <w:rsid w:val="00AD3CF7"/>
    <w:rsid w:val="00AD4BE3"/>
    <w:rsid w:val="00AD72D0"/>
    <w:rsid w:val="00AE08EF"/>
    <w:rsid w:val="00AE22B3"/>
    <w:rsid w:val="00AE2541"/>
    <w:rsid w:val="00AE320F"/>
    <w:rsid w:val="00AE601B"/>
    <w:rsid w:val="00AE68EB"/>
    <w:rsid w:val="00AF04D5"/>
    <w:rsid w:val="00AF10A6"/>
    <w:rsid w:val="00AF1BB7"/>
    <w:rsid w:val="00AF1C9B"/>
    <w:rsid w:val="00AF3F1E"/>
    <w:rsid w:val="00AF4730"/>
    <w:rsid w:val="00AF543B"/>
    <w:rsid w:val="00AF563C"/>
    <w:rsid w:val="00AF6DDF"/>
    <w:rsid w:val="00AF7C2C"/>
    <w:rsid w:val="00B00435"/>
    <w:rsid w:val="00B0103F"/>
    <w:rsid w:val="00B01BB1"/>
    <w:rsid w:val="00B02B32"/>
    <w:rsid w:val="00B03671"/>
    <w:rsid w:val="00B03F7F"/>
    <w:rsid w:val="00B046A7"/>
    <w:rsid w:val="00B04CEE"/>
    <w:rsid w:val="00B05173"/>
    <w:rsid w:val="00B05FFF"/>
    <w:rsid w:val="00B07855"/>
    <w:rsid w:val="00B115C9"/>
    <w:rsid w:val="00B13F29"/>
    <w:rsid w:val="00B14F7C"/>
    <w:rsid w:val="00B16A3D"/>
    <w:rsid w:val="00B17CE8"/>
    <w:rsid w:val="00B21E60"/>
    <w:rsid w:val="00B2267E"/>
    <w:rsid w:val="00B23C73"/>
    <w:rsid w:val="00B2576D"/>
    <w:rsid w:val="00B25A47"/>
    <w:rsid w:val="00B25C54"/>
    <w:rsid w:val="00B263A6"/>
    <w:rsid w:val="00B30B8B"/>
    <w:rsid w:val="00B33B1E"/>
    <w:rsid w:val="00B34144"/>
    <w:rsid w:val="00B3438C"/>
    <w:rsid w:val="00B34A0D"/>
    <w:rsid w:val="00B36DB4"/>
    <w:rsid w:val="00B37595"/>
    <w:rsid w:val="00B40225"/>
    <w:rsid w:val="00B41438"/>
    <w:rsid w:val="00B41514"/>
    <w:rsid w:val="00B42A73"/>
    <w:rsid w:val="00B431DF"/>
    <w:rsid w:val="00B44E06"/>
    <w:rsid w:val="00B4591B"/>
    <w:rsid w:val="00B46370"/>
    <w:rsid w:val="00B465F0"/>
    <w:rsid w:val="00B4692B"/>
    <w:rsid w:val="00B46F3B"/>
    <w:rsid w:val="00B4750F"/>
    <w:rsid w:val="00B504CB"/>
    <w:rsid w:val="00B50924"/>
    <w:rsid w:val="00B51DBB"/>
    <w:rsid w:val="00B54C82"/>
    <w:rsid w:val="00B55455"/>
    <w:rsid w:val="00B55B58"/>
    <w:rsid w:val="00B55E1C"/>
    <w:rsid w:val="00B56C26"/>
    <w:rsid w:val="00B57D25"/>
    <w:rsid w:val="00B63B65"/>
    <w:rsid w:val="00B64320"/>
    <w:rsid w:val="00B65C3E"/>
    <w:rsid w:val="00B710AF"/>
    <w:rsid w:val="00B716C0"/>
    <w:rsid w:val="00B72DFF"/>
    <w:rsid w:val="00B72E49"/>
    <w:rsid w:val="00B757D7"/>
    <w:rsid w:val="00B815D0"/>
    <w:rsid w:val="00B81A0A"/>
    <w:rsid w:val="00B81BEE"/>
    <w:rsid w:val="00B85913"/>
    <w:rsid w:val="00B85ACE"/>
    <w:rsid w:val="00B86EE4"/>
    <w:rsid w:val="00B917FA"/>
    <w:rsid w:val="00B944F8"/>
    <w:rsid w:val="00B94E04"/>
    <w:rsid w:val="00B963C5"/>
    <w:rsid w:val="00B96411"/>
    <w:rsid w:val="00B96E26"/>
    <w:rsid w:val="00B9774C"/>
    <w:rsid w:val="00BA1265"/>
    <w:rsid w:val="00BA365C"/>
    <w:rsid w:val="00BA482A"/>
    <w:rsid w:val="00BA5AF0"/>
    <w:rsid w:val="00BA69D6"/>
    <w:rsid w:val="00BA6B3A"/>
    <w:rsid w:val="00BB0D6A"/>
    <w:rsid w:val="00BB397A"/>
    <w:rsid w:val="00BB4049"/>
    <w:rsid w:val="00BB49C5"/>
    <w:rsid w:val="00BB7CAD"/>
    <w:rsid w:val="00BC0355"/>
    <w:rsid w:val="00BC1A0D"/>
    <w:rsid w:val="00BC1ACD"/>
    <w:rsid w:val="00BC2B30"/>
    <w:rsid w:val="00BC35CA"/>
    <w:rsid w:val="00BC5175"/>
    <w:rsid w:val="00BC5554"/>
    <w:rsid w:val="00BC79E4"/>
    <w:rsid w:val="00BC7C9C"/>
    <w:rsid w:val="00BD2C6A"/>
    <w:rsid w:val="00BD2E58"/>
    <w:rsid w:val="00BD5986"/>
    <w:rsid w:val="00BD5D05"/>
    <w:rsid w:val="00BD6E9E"/>
    <w:rsid w:val="00BD7D94"/>
    <w:rsid w:val="00BD7E52"/>
    <w:rsid w:val="00BE0F2F"/>
    <w:rsid w:val="00BE0FE6"/>
    <w:rsid w:val="00BE336E"/>
    <w:rsid w:val="00BE365B"/>
    <w:rsid w:val="00BE41DB"/>
    <w:rsid w:val="00BE635E"/>
    <w:rsid w:val="00BE6D4F"/>
    <w:rsid w:val="00BF099B"/>
    <w:rsid w:val="00BF2545"/>
    <w:rsid w:val="00BF3C04"/>
    <w:rsid w:val="00BF415E"/>
    <w:rsid w:val="00BF4DEB"/>
    <w:rsid w:val="00BF73C6"/>
    <w:rsid w:val="00BF754C"/>
    <w:rsid w:val="00C032ED"/>
    <w:rsid w:val="00C06B50"/>
    <w:rsid w:val="00C07511"/>
    <w:rsid w:val="00C11EFE"/>
    <w:rsid w:val="00C14A0D"/>
    <w:rsid w:val="00C21D0F"/>
    <w:rsid w:val="00C22141"/>
    <w:rsid w:val="00C22A27"/>
    <w:rsid w:val="00C22BFD"/>
    <w:rsid w:val="00C23148"/>
    <w:rsid w:val="00C23A36"/>
    <w:rsid w:val="00C26F43"/>
    <w:rsid w:val="00C332AE"/>
    <w:rsid w:val="00C3628A"/>
    <w:rsid w:val="00C3632B"/>
    <w:rsid w:val="00C37A08"/>
    <w:rsid w:val="00C41AFC"/>
    <w:rsid w:val="00C42E78"/>
    <w:rsid w:val="00C46B0C"/>
    <w:rsid w:val="00C47750"/>
    <w:rsid w:val="00C47C47"/>
    <w:rsid w:val="00C50330"/>
    <w:rsid w:val="00C51328"/>
    <w:rsid w:val="00C514C5"/>
    <w:rsid w:val="00C52CEF"/>
    <w:rsid w:val="00C53A74"/>
    <w:rsid w:val="00C54032"/>
    <w:rsid w:val="00C556AD"/>
    <w:rsid w:val="00C55D43"/>
    <w:rsid w:val="00C56B26"/>
    <w:rsid w:val="00C602B1"/>
    <w:rsid w:val="00C603F0"/>
    <w:rsid w:val="00C667AC"/>
    <w:rsid w:val="00C66A5E"/>
    <w:rsid w:val="00C67FC1"/>
    <w:rsid w:val="00C70157"/>
    <w:rsid w:val="00C701E7"/>
    <w:rsid w:val="00C71348"/>
    <w:rsid w:val="00C716A9"/>
    <w:rsid w:val="00C71D8B"/>
    <w:rsid w:val="00C7212B"/>
    <w:rsid w:val="00C728D0"/>
    <w:rsid w:val="00C729EF"/>
    <w:rsid w:val="00C738D7"/>
    <w:rsid w:val="00C75DBB"/>
    <w:rsid w:val="00C83AC6"/>
    <w:rsid w:val="00C8500A"/>
    <w:rsid w:val="00C850C5"/>
    <w:rsid w:val="00C8683D"/>
    <w:rsid w:val="00C90DCF"/>
    <w:rsid w:val="00C90EBC"/>
    <w:rsid w:val="00C92B02"/>
    <w:rsid w:val="00C9669C"/>
    <w:rsid w:val="00CA11A8"/>
    <w:rsid w:val="00CA2CF2"/>
    <w:rsid w:val="00CA32C6"/>
    <w:rsid w:val="00CA3D02"/>
    <w:rsid w:val="00CA4B1E"/>
    <w:rsid w:val="00CA5C18"/>
    <w:rsid w:val="00CA68E8"/>
    <w:rsid w:val="00CA6989"/>
    <w:rsid w:val="00CA75BA"/>
    <w:rsid w:val="00CA77FB"/>
    <w:rsid w:val="00CB40E5"/>
    <w:rsid w:val="00CB6025"/>
    <w:rsid w:val="00CB7AEF"/>
    <w:rsid w:val="00CC0F6A"/>
    <w:rsid w:val="00CC1BEC"/>
    <w:rsid w:val="00CC3104"/>
    <w:rsid w:val="00CC4681"/>
    <w:rsid w:val="00CC4FF0"/>
    <w:rsid w:val="00CC56B0"/>
    <w:rsid w:val="00CC6E6B"/>
    <w:rsid w:val="00CD06CF"/>
    <w:rsid w:val="00CD0DDC"/>
    <w:rsid w:val="00CD1502"/>
    <w:rsid w:val="00CD2A94"/>
    <w:rsid w:val="00CD33D0"/>
    <w:rsid w:val="00CD764E"/>
    <w:rsid w:val="00CE01CA"/>
    <w:rsid w:val="00CE19F1"/>
    <w:rsid w:val="00CE4451"/>
    <w:rsid w:val="00CE4501"/>
    <w:rsid w:val="00CE6174"/>
    <w:rsid w:val="00CE6931"/>
    <w:rsid w:val="00CE723F"/>
    <w:rsid w:val="00CE7AD2"/>
    <w:rsid w:val="00CF1BB6"/>
    <w:rsid w:val="00CF1CD6"/>
    <w:rsid w:val="00CF4783"/>
    <w:rsid w:val="00CF65E1"/>
    <w:rsid w:val="00D00BAB"/>
    <w:rsid w:val="00D023DB"/>
    <w:rsid w:val="00D03350"/>
    <w:rsid w:val="00D04ADD"/>
    <w:rsid w:val="00D056C3"/>
    <w:rsid w:val="00D11210"/>
    <w:rsid w:val="00D132D9"/>
    <w:rsid w:val="00D14DDA"/>
    <w:rsid w:val="00D151E1"/>
    <w:rsid w:val="00D16A67"/>
    <w:rsid w:val="00D17FC3"/>
    <w:rsid w:val="00D21707"/>
    <w:rsid w:val="00D218C4"/>
    <w:rsid w:val="00D21CE7"/>
    <w:rsid w:val="00D23677"/>
    <w:rsid w:val="00D23948"/>
    <w:rsid w:val="00D2637C"/>
    <w:rsid w:val="00D26D38"/>
    <w:rsid w:val="00D26D85"/>
    <w:rsid w:val="00D275D1"/>
    <w:rsid w:val="00D32E82"/>
    <w:rsid w:val="00D3353C"/>
    <w:rsid w:val="00D34C53"/>
    <w:rsid w:val="00D34CFC"/>
    <w:rsid w:val="00D3700C"/>
    <w:rsid w:val="00D37030"/>
    <w:rsid w:val="00D37BDE"/>
    <w:rsid w:val="00D40A86"/>
    <w:rsid w:val="00D4148E"/>
    <w:rsid w:val="00D42B34"/>
    <w:rsid w:val="00D435AF"/>
    <w:rsid w:val="00D469D8"/>
    <w:rsid w:val="00D47231"/>
    <w:rsid w:val="00D474CF"/>
    <w:rsid w:val="00D475F9"/>
    <w:rsid w:val="00D50727"/>
    <w:rsid w:val="00D51864"/>
    <w:rsid w:val="00D5246A"/>
    <w:rsid w:val="00D538EC"/>
    <w:rsid w:val="00D542D1"/>
    <w:rsid w:val="00D55DCF"/>
    <w:rsid w:val="00D578E4"/>
    <w:rsid w:val="00D57EBF"/>
    <w:rsid w:val="00D60740"/>
    <w:rsid w:val="00D64DE0"/>
    <w:rsid w:val="00D64EB2"/>
    <w:rsid w:val="00D67C2F"/>
    <w:rsid w:val="00D71871"/>
    <w:rsid w:val="00D74B09"/>
    <w:rsid w:val="00D75580"/>
    <w:rsid w:val="00D7589F"/>
    <w:rsid w:val="00D76080"/>
    <w:rsid w:val="00D76150"/>
    <w:rsid w:val="00D7692B"/>
    <w:rsid w:val="00D80BAB"/>
    <w:rsid w:val="00D80D06"/>
    <w:rsid w:val="00D81D2D"/>
    <w:rsid w:val="00D849F7"/>
    <w:rsid w:val="00D86453"/>
    <w:rsid w:val="00D8654B"/>
    <w:rsid w:val="00D87F03"/>
    <w:rsid w:val="00D91735"/>
    <w:rsid w:val="00D94374"/>
    <w:rsid w:val="00D94A19"/>
    <w:rsid w:val="00D94F76"/>
    <w:rsid w:val="00D9609E"/>
    <w:rsid w:val="00D965AA"/>
    <w:rsid w:val="00D9696D"/>
    <w:rsid w:val="00D96A68"/>
    <w:rsid w:val="00D97417"/>
    <w:rsid w:val="00DA4132"/>
    <w:rsid w:val="00DA41FE"/>
    <w:rsid w:val="00DA5718"/>
    <w:rsid w:val="00DA5A0D"/>
    <w:rsid w:val="00DA5C65"/>
    <w:rsid w:val="00DA63E0"/>
    <w:rsid w:val="00DA76B6"/>
    <w:rsid w:val="00DA7DC4"/>
    <w:rsid w:val="00DB02D1"/>
    <w:rsid w:val="00DB1BDF"/>
    <w:rsid w:val="00DB49F1"/>
    <w:rsid w:val="00DB5734"/>
    <w:rsid w:val="00DB5784"/>
    <w:rsid w:val="00DB6C71"/>
    <w:rsid w:val="00DC1A42"/>
    <w:rsid w:val="00DC1DD1"/>
    <w:rsid w:val="00DC39BF"/>
    <w:rsid w:val="00DC5DE0"/>
    <w:rsid w:val="00DC7B80"/>
    <w:rsid w:val="00DC7CDE"/>
    <w:rsid w:val="00DD0B83"/>
    <w:rsid w:val="00DD10FC"/>
    <w:rsid w:val="00DD2B7F"/>
    <w:rsid w:val="00DD2C8A"/>
    <w:rsid w:val="00DD5278"/>
    <w:rsid w:val="00DD5897"/>
    <w:rsid w:val="00DD5F66"/>
    <w:rsid w:val="00DD6AA1"/>
    <w:rsid w:val="00DE178F"/>
    <w:rsid w:val="00DE240D"/>
    <w:rsid w:val="00DE30F8"/>
    <w:rsid w:val="00DE32D9"/>
    <w:rsid w:val="00DE4B3F"/>
    <w:rsid w:val="00DE6132"/>
    <w:rsid w:val="00DE6C76"/>
    <w:rsid w:val="00DE7F3C"/>
    <w:rsid w:val="00DF04A6"/>
    <w:rsid w:val="00DF1E7B"/>
    <w:rsid w:val="00DF6DDA"/>
    <w:rsid w:val="00DF7874"/>
    <w:rsid w:val="00DF7D52"/>
    <w:rsid w:val="00DF7FD6"/>
    <w:rsid w:val="00E01B42"/>
    <w:rsid w:val="00E01D2A"/>
    <w:rsid w:val="00E02DC1"/>
    <w:rsid w:val="00E03CA9"/>
    <w:rsid w:val="00E0663C"/>
    <w:rsid w:val="00E071C8"/>
    <w:rsid w:val="00E07647"/>
    <w:rsid w:val="00E076A0"/>
    <w:rsid w:val="00E07A02"/>
    <w:rsid w:val="00E10CA7"/>
    <w:rsid w:val="00E10E09"/>
    <w:rsid w:val="00E12B6F"/>
    <w:rsid w:val="00E14DBF"/>
    <w:rsid w:val="00E1566F"/>
    <w:rsid w:val="00E171BC"/>
    <w:rsid w:val="00E17348"/>
    <w:rsid w:val="00E20C55"/>
    <w:rsid w:val="00E21682"/>
    <w:rsid w:val="00E21BA0"/>
    <w:rsid w:val="00E222DA"/>
    <w:rsid w:val="00E2355E"/>
    <w:rsid w:val="00E24CB3"/>
    <w:rsid w:val="00E25200"/>
    <w:rsid w:val="00E25420"/>
    <w:rsid w:val="00E2588A"/>
    <w:rsid w:val="00E25DD9"/>
    <w:rsid w:val="00E25F79"/>
    <w:rsid w:val="00E302D0"/>
    <w:rsid w:val="00E30EC3"/>
    <w:rsid w:val="00E31920"/>
    <w:rsid w:val="00E31D79"/>
    <w:rsid w:val="00E339D6"/>
    <w:rsid w:val="00E33B61"/>
    <w:rsid w:val="00E34B4C"/>
    <w:rsid w:val="00E357BD"/>
    <w:rsid w:val="00E360AA"/>
    <w:rsid w:val="00E37680"/>
    <w:rsid w:val="00E37F50"/>
    <w:rsid w:val="00E411C4"/>
    <w:rsid w:val="00E4150C"/>
    <w:rsid w:val="00E42072"/>
    <w:rsid w:val="00E423C2"/>
    <w:rsid w:val="00E441EF"/>
    <w:rsid w:val="00E450BE"/>
    <w:rsid w:val="00E460C2"/>
    <w:rsid w:val="00E46257"/>
    <w:rsid w:val="00E46479"/>
    <w:rsid w:val="00E50B20"/>
    <w:rsid w:val="00E50CFA"/>
    <w:rsid w:val="00E516BD"/>
    <w:rsid w:val="00E51A6A"/>
    <w:rsid w:val="00E534EA"/>
    <w:rsid w:val="00E53D5D"/>
    <w:rsid w:val="00E54CE5"/>
    <w:rsid w:val="00E555D9"/>
    <w:rsid w:val="00E56377"/>
    <w:rsid w:val="00E61492"/>
    <w:rsid w:val="00E63863"/>
    <w:rsid w:val="00E64C91"/>
    <w:rsid w:val="00E651B0"/>
    <w:rsid w:val="00E67D39"/>
    <w:rsid w:val="00E71123"/>
    <w:rsid w:val="00E73328"/>
    <w:rsid w:val="00E739D1"/>
    <w:rsid w:val="00E74088"/>
    <w:rsid w:val="00E74A59"/>
    <w:rsid w:val="00E75C3B"/>
    <w:rsid w:val="00E83493"/>
    <w:rsid w:val="00E84E50"/>
    <w:rsid w:val="00E863BC"/>
    <w:rsid w:val="00E8704C"/>
    <w:rsid w:val="00E87CED"/>
    <w:rsid w:val="00E92853"/>
    <w:rsid w:val="00E93316"/>
    <w:rsid w:val="00E95306"/>
    <w:rsid w:val="00E95E3F"/>
    <w:rsid w:val="00E960B6"/>
    <w:rsid w:val="00E96F0D"/>
    <w:rsid w:val="00E97126"/>
    <w:rsid w:val="00E97230"/>
    <w:rsid w:val="00EA3F35"/>
    <w:rsid w:val="00EA5171"/>
    <w:rsid w:val="00EA6CD5"/>
    <w:rsid w:val="00EB1F3C"/>
    <w:rsid w:val="00EB2110"/>
    <w:rsid w:val="00EB263C"/>
    <w:rsid w:val="00EB3C55"/>
    <w:rsid w:val="00EB60A6"/>
    <w:rsid w:val="00EB62C8"/>
    <w:rsid w:val="00EB6AC5"/>
    <w:rsid w:val="00EB6AE6"/>
    <w:rsid w:val="00EB6D37"/>
    <w:rsid w:val="00EB7F39"/>
    <w:rsid w:val="00EC00D3"/>
    <w:rsid w:val="00EC0A8B"/>
    <w:rsid w:val="00EC1155"/>
    <w:rsid w:val="00EC242B"/>
    <w:rsid w:val="00EC2ABE"/>
    <w:rsid w:val="00EC2D1D"/>
    <w:rsid w:val="00EC485A"/>
    <w:rsid w:val="00EC4E9C"/>
    <w:rsid w:val="00EC6DF4"/>
    <w:rsid w:val="00EC6F11"/>
    <w:rsid w:val="00EC71F9"/>
    <w:rsid w:val="00EC7820"/>
    <w:rsid w:val="00EC7833"/>
    <w:rsid w:val="00EC7E0F"/>
    <w:rsid w:val="00ED0383"/>
    <w:rsid w:val="00ED0E2E"/>
    <w:rsid w:val="00ED118E"/>
    <w:rsid w:val="00ED19CF"/>
    <w:rsid w:val="00ED2D07"/>
    <w:rsid w:val="00ED3289"/>
    <w:rsid w:val="00ED3722"/>
    <w:rsid w:val="00ED3B32"/>
    <w:rsid w:val="00ED5EF1"/>
    <w:rsid w:val="00ED7B56"/>
    <w:rsid w:val="00ED7CB2"/>
    <w:rsid w:val="00EE0213"/>
    <w:rsid w:val="00EE3D31"/>
    <w:rsid w:val="00EE3F8A"/>
    <w:rsid w:val="00EE49F2"/>
    <w:rsid w:val="00EE78A0"/>
    <w:rsid w:val="00EF12C0"/>
    <w:rsid w:val="00EF2C09"/>
    <w:rsid w:val="00EF3C82"/>
    <w:rsid w:val="00EF4DAE"/>
    <w:rsid w:val="00EF4F84"/>
    <w:rsid w:val="00EF52A1"/>
    <w:rsid w:val="00EF52B6"/>
    <w:rsid w:val="00EF68D8"/>
    <w:rsid w:val="00EF7904"/>
    <w:rsid w:val="00F019E3"/>
    <w:rsid w:val="00F02392"/>
    <w:rsid w:val="00F02EC9"/>
    <w:rsid w:val="00F03358"/>
    <w:rsid w:val="00F046D6"/>
    <w:rsid w:val="00F056EE"/>
    <w:rsid w:val="00F05E3A"/>
    <w:rsid w:val="00F062A6"/>
    <w:rsid w:val="00F1125E"/>
    <w:rsid w:val="00F120D1"/>
    <w:rsid w:val="00F1218B"/>
    <w:rsid w:val="00F138F9"/>
    <w:rsid w:val="00F14A9D"/>
    <w:rsid w:val="00F170CD"/>
    <w:rsid w:val="00F1739A"/>
    <w:rsid w:val="00F17F87"/>
    <w:rsid w:val="00F20F09"/>
    <w:rsid w:val="00F2142D"/>
    <w:rsid w:val="00F2247A"/>
    <w:rsid w:val="00F23680"/>
    <w:rsid w:val="00F27C03"/>
    <w:rsid w:val="00F30063"/>
    <w:rsid w:val="00F30285"/>
    <w:rsid w:val="00F3112C"/>
    <w:rsid w:val="00F323CC"/>
    <w:rsid w:val="00F3305C"/>
    <w:rsid w:val="00F35478"/>
    <w:rsid w:val="00F36D83"/>
    <w:rsid w:val="00F37C4C"/>
    <w:rsid w:val="00F43B3B"/>
    <w:rsid w:val="00F43D93"/>
    <w:rsid w:val="00F44063"/>
    <w:rsid w:val="00F44113"/>
    <w:rsid w:val="00F449F2"/>
    <w:rsid w:val="00F44A8C"/>
    <w:rsid w:val="00F46FFE"/>
    <w:rsid w:val="00F471B0"/>
    <w:rsid w:val="00F47533"/>
    <w:rsid w:val="00F47DA8"/>
    <w:rsid w:val="00F51AED"/>
    <w:rsid w:val="00F53678"/>
    <w:rsid w:val="00F551FC"/>
    <w:rsid w:val="00F56D39"/>
    <w:rsid w:val="00F6024D"/>
    <w:rsid w:val="00F610D6"/>
    <w:rsid w:val="00F6198F"/>
    <w:rsid w:val="00F63150"/>
    <w:rsid w:val="00F6711C"/>
    <w:rsid w:val="00F67B68"/>
    <w:rsid w:val="00F70357"/>
    <w:rsid w:val="00F725AA"/>
    <w:rsid w:val="00F7355D"/>
    <w:rsid w:val="00F74F32"/>
    <w:rsid w:val="00F757CC"/>
    <w:rsid w:val="00F81803"/>
    <w:rsid w:val="00F826F5"/>
    <w:rsid w:val="00F8272A"/>
    <w:rsid w:val="00F8281C"/>
    <w:rsid w:val="00F82BA2"/>
    <w:rsid w:val="00F851A0"/>
    <w:rsid w:val="00F8637B"/>
    <w:rsid w:val="00F86574"/>
    <w:rsid w:val="00F866CA"/>
    <w:rsid w:val="00F91341"/>
    <w:rsid w:val="00F91940"/>
    <w:rsid w:val="00F93078"/>
    <w:rsid w:val="00F93AB2"/>
    <w:rsid w:val="00F94D15"/>
    <w:rsid w:val="00F96A78"/>
    <w:rsid w:val="00F97316"/>
    <w:rsid w:val="00F973AF"/>
    <w:rsid w:val="00FA0C35"/>
    <w:rsid w:val="00FA449E"/>
    <w:rsid w:val="00FA5556"/>
    <w:rsid w:val="00FA5660"/>
    <w:rsid w:val="00FA6158"/>
    <w:rsid w:val="00FB085B"/>
    <w:rsid w:val="00FB1D8F"/>
    <w:rsid w:val="00FB3234"/>
    <w:rsid w:val="00FB3438"/>
    <w:rsid w:val="00FB4BC4"/>
    <w:rsid w:val="00FB5262"/>
    <w:rsid w:val="00FB6B59"/>
    <w:rsid w:val="00FB72C7"/>
    <w:rsid w:val="00FB7550"/>
    <w:rsid w:val="00FC084E"/>
    <w:rsid w:val="00FC33F4"/>
    <w:rsid w:val="00FC52D4"/>
    <w:rsid w:val="00FC69C6"/>
    <w:rsid w:val="00FD056A"/>
    <w:rsid w:val="00FD213B"/>
    <w:rsid w:val="00FD3CB4"/>
    <w:rsid w:val="00FD500E"/>
    <w:rsid w:val="00FD5F1B"/>
    <w:rsid w:val="00FD7EFF"/>
    <w:rsid w:val="00FE063F"/>
    <w:rsid w:val="00FE32E1"/>
    <w:rsid w:val="00FE3657"/>
    <w:rsid w:val="00FE6899"/>
    <w:rsid w:val="00FE6E7C"/>
    <w:rsid w:val="00FF2306"/>
    <w:rsid w:val="00FF2469"/>
    <w:rsid w:val="00FF2AB1"/>
    <w:rsid w:val="00FF3715"/>
    <w:rsid w:val="00FF4C75"/>
    <w:rsid w:val="00FF4CEA"/>
    <w:rsid w:val="00FF7551"/>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etaBookLF-Roman" w:eastAsia="Times New Roman" w:hAnsi="MetaBookLF-Roman" w:cs="Times New Roman"/>
        <w:sz w:val="19"/>
        <w:szCs w:val="19"/>
        <w:lang w:val="en-AU" w:eastAsia="en-AU" w:bidi="ar-SA"/>
      </w:rPr>
    </w:rPrDefault>
    <w:pPrDefault>
      <w:pPr>
        <w:spacing w:before="80" w:line="252"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3" w:uiPriority="39"/>
    <w:lsdException w:name="toc 4" w:uiPriority="39"/>
    <w:lsdException w:name="toc 5" w:uiPriority="39"/>
    <w:lsdException w:name="toc 6" w:uiPriority="39"/>
    <w:lsdException w:name="Normal Indent" w:semiHidden="1"/>
    <w:lsdException w:name="index heading" w:semiHidden="1"/>
    <w:lsdException w:name="caption" w:semiHidden="1" w:uiPriority="2"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List" w:semiHidden="1"/>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uiPriority="0" w:qFormat="1"/>
    <w:lsdException w:name="List Bullet 3" w:uiPriority="0" w:qFormat="1"/>
    <w:lsdException w:name="List Bullet 4" w:semiHidden="1"/>
    <w:lsdException w:name="List Bullet 5" w:semiHidden="1"/>
    <w:lsdException w:name="List Number 2" w:uiPriority="4" w:qFormat="1"/>
    <w:lsdException w:name="List Number 3" w:uiPriority="4" w:qFormat="1"/>
    <w:lsdException w:name="List Number 4" w:semiHidden="1"/>
    <w:lsdException w:name="List Number 5" w:semiHidden="1"/>
    <w:lsdException w:name="Title"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41" w:qFormat="1"/>
    <w:lsdException w:name="Strong" w:semiHidden="1"/>
    <w:lsdException w:name="Emphasis" w:semiHidden="1" w:uiPriority="0" w:qFormat="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59"/>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2D3C32"/>
    <w:rPr>
      <w:rFonts w:ascii="Rotis Serif Std" w:hAnsi="Rotis Serif Std"/>
    </w:rPr>
  </w:style>
  <w:style w:type="paragraph" w:styleId="Heading1">
    <w:name w:val="heading 1"/>
    <w:basedOn w:val="Normal"/>
    <w:next w:val="BodyText"/>
    <w:link w:val="Heading1Char"/>
    <w:qFormat/>
    <w:rsid w:val="00A035A6"/>
    <w:pPr>
      <w:keepNext/>
      <w:keepLines/>
      <w:spacing w:before="960" w:after="480"/>
      <w:outlineLvl w:val="0"/>
    </w:pPr>
    <w:rPr>
      <w:rFonts w:ascii="MetaBoldLF-Roman" w:hAnsi="MetaBoldLF-Roman"/>
      <w:color w:val="000000" w:themeColor="text1"/>
      <w:sz w:val="56"/>
    </w:rPr>
  </w:style>
  <w:style w:type="paragraph" w:styleId="Heading2">
    <w:name w:val="heading 2"/>
    <w:basedOn w:val="Heading1"/>
    <w:next w:val="BodyText"/>
    <w:link w:val="Heading2Char"/>
    <w:qFormat/>
    <w:rsid w:val="003D7892"/>
    <w:pPr>
      <w:numPr>
        <w:ilvl w:val="1"/>
      </w:numPr>
      <w:spacing w:before="480" w:after="240" w:line="240" w:lineRule="auto"/>
      <w:outlineLvl w:val="1"/>
    </w:pPr>
    <w:rPr>
      <w:sz w:val="40"/>
    </w:rPr>
  </w:style>
  <w:style w:type="paragraph" w:styleId="Heading3">
    <w:name w:val="heading 3"/>
    <w:basedOn w:val="Heading2"/>
    <w:next w:val="BodyText"/>
    <w:link w:val="Heading3Char"/>
    <w:qFormat/>
    <w:rsid w:val="003838F0"/>
    <w:pPr>
      <w:numPr>
        <w:ilvl w:val="0"/>
      </w:numPr>
      <w:spacing w:before="280" w:after="200"/>
      <w:outlineLvl w:val="2"/>
    </w:pPr>
    <w:rPr>
      <w:sz w:val="30"/>
      <w:szCs w:val="28"/>
    </w:rPr>
  </w:style>
  <w:style w:type="paragraph" w:styleId="Heading4">
    <w:name w:val="heading 4"/>
    <w:basedOn w:val="Heading3"/>
    <w:next w:val="BodyText"/>
    <w:link w:val="Heading4Char"/>
    <w:qFormat/>
    <w:rsid w:val="003717FB"/>
    <w:pPr>
      <w:spacing w:before="200" w:after="80"/>
      <w:outlineLvl w:val="3"/>
    </w:pPr>
    <w:rPr>
      <w:rFonts w:ascii="MetaBoldLF-Italic" w:hAnsi="MetaBoldLF-Italic"/>
      <w:color w:val="auto"/>
      <w:sz w:val="24"/>
      <w:szCs w:val="24"/>
    </w:rPr>
  </w:style>
  <w:style w:type="paragraph" w:styleId="Heading5">
    <w:name w:val="heading 5"/>
    <w:basedOn w:val="H3Appendix"/>
    <w:next w:val="BodyText"/>
    <w:link w:val="Heading5Char"/>
    <w:qFormat/>
    <w:rsid w:val="00CD06CF"/>
    <w:pPr>
      <w:ind w:right="-284"/>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35A6"/>
    <w:rPr>
      <w:rFonts w:ascii="MetaBoldLF-Roman" w:hAnsi="MetaBoldLF-Roman"/>
      <w:color w:val="000000" w:themeColor="text1"/>
      <w:sz w:val="56"/>
    </w:rPr>
  </w:style>
  <w:style w:type="character" w:customStyle="1" w:styleId="Heading2Char">
    <w:name w:val="Heading 2 Char"/>
    <w:basedOn w:val="Heading1Char"/>
    <w:link w:val="Heading2"/>
    <w:rsid w:val="003D7892"/>
    <w:rPr>
      <w:rFonts w:ascii="MetaBoldLF-Roman" w:hAnsi="MetaBoldLF-Roman"/>
      <w:color w:val="000000" w:themeColor="text1"/>
      <w:sz w:val="40"/>
    </w:rPr>
  </w:style>
  <w:style w:type="character" w:customStyle="1" w:styleId="Heading3Char">
    <w:name w:val="Heading 3 Char"/>
    <w:basedOn w:val="Heading2Char"/>
    <w:link w:val="Heading3"/>
    <w:rsid w:val="003838F0"/>
    <w:rPr>
      <w:rFonts w:ascii="MetaBoldLF-Roman" w:hAnsi="MetaBoldLF-Roman"/>
      <w:b w:val="0"/>
      <w:color w:val="000000" w:themeColor="text1"/>
      <w:sz w:val="30"/>
      <w:szCs w:val="28"/>
    </w:rPr>
  </w:style>
  <w:style w:type="character" w:customStyle="1" w:styleId="Heading4Char">
    <w:name w:val="Heading 4 Char"/>
    <w:basedOn w:val="Heading3Char"/>
    <w:link w:val="Heading4"/>
    <w:rsid w:val="003717FB"/>
    <w:rPr>
      <w:rFonts w:ascii="MetaBoldLF-Italic" w:hAnsi="MetaBoldLF-Italic"/>
      <w:b w:val="0"/>
      <w:color w:val="000000" w:themeColor="text1"/>
      <w:sz w:val="24"/>
      <w:szCs w:val="24"/>
    </w:rPr>
  </w:style>
  <w:style w:type="paragraph" w:styleId="TableofFigures">
    <w:name w:val="table of figures"/>
    <w:basedOn w:val="TableText"/>
    <w:next w:val="Normal"/>
    <w:uiPriority w:val="99"/>
    <w:rsid w:val="00943831"/>
    <w:pPr>
      <w:ind w:right="113"/>
      <w:jc w:val="right"/>
    </w:pPr>
  </w:style>
  <w:style w:type="paragraph" w:customStyle="1" w:styleId="Checklistchecked">
    <w:name w:val="Checklist checked"/>
    <w:basedOn w:val="Checklist"/>
    <w:uiPriority w:val="8"/>
    <w:qFormat/>
    <w:rsid w:val="00953F2D"/>
    <w:pPr>
      <w:numPr>
        <w:numId w:val="15"/>
      </w:numPr>
    </w:pPr>
  </w:style>
  <w:style w:type="numbering" w:customStyle="1" w:styleId="ListBullet">
    <w:name w:val="List_Bullet"/>
    <w:uiPriority w:val="99"/>
    <w:rsid w:val="007403D9"/>
    <w:pPr>
      <w:numPr>
        <w:numId w:val="1"/>
      </w:numPr>
    </w:pPr>
  </w:style>
  <w:style w:type="paragraph" w:customStyle="1" w:styleId="Checklist">
    <w:name w:val="Checklist"/>
    <w:basedOn w:val="Normal"/>
    <w:uiPriority w:val="8"/>
    <w:qFormat/>
    <w:rsid w:val="00953F2D"/>
    <w:pPr>
      <w:numPr>
        <w:numId w:val="14"/>
      </w:numPr>
      <w:spacing w:after="120" w:line="264" w:lineRule="auto"/>
    </w:pPr>
  </w:style>
  <w:style w:type="paragraph" w:styleId="TOC4">
    <w:name w:val="toc 4"/>
    <w:basedOn w:val="ListBullet0"/>
    <w:next w:val="Normal"/>
    <w:uiPriority w:val="39"/>
    <w:rsid w:val="00C55D43"/>
    <w:pPr>
      <w:spacing w:before="52"/>
    </w:pPr>
  </w:style>
  <w:style w:type="paragraph" w:styleId="FootnoteText">
    <w:name w:val="footnote text"/>
    <w:basedOn w:val="Normal"/>
    <w:uiPriority w:val="99"/>
    <w:semiHidden/>
    <w:rsid w:val="00DF1E7B"/>
    <w:pPr>
      <w:widowControl w:val="0"/>
    </w:pPr>
    <w:rPr>
      <w:sz w:val="20"/>
    </w:rPr>
  </w:style>
  <w:style w:type="table" w:styleId="TableGrid">
    <w:name w:val="Table Grid"/>
    <w:basedOn w:val="TableNormal"/>
    <w:uiPriority w:val="59"/>
    <w:rsid w:val="009C2833"/>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113" w:type="dxa"/>
        <w:right w:w="108" w:type="dxa"/>
      </w:tblCellMar>
    </w:tblPr>
  </w:style>
  <w:style w:type="paragraph" w:styleId="TOC1">
    <w:name w:val="toc 1"/>
    <w:next w:val="Normal"/>
    <w:uiPriority w:val="39"/>
    <w:qFormat/>
    <w:rsid w:val="00D64EB2"/>
    <w:pPr>
      <w:tabs>
        <w:tab w:val="right" w:leader="dot" w:pos="9072"/>
      </w:tabs>
      <w:spacing w:before="120" w:line="240" w:lineRule="auto"/>
      <w:ind w:left="425" w:right="1134"/>
    </w:pPr>
    <w:rPr>
      <w:rFonts w:ascii="Rotis Serif Std" w:hAnsi="Rotis Serif Std"/>
      <w:b/>
      <w:noProof/>
      <w:color w:val="000000" w:themeColor="text1"/>
      <w:sz w:val="24"/>
      <w:szCs w:val="28"/>
    </w:rPr>
  </w:style>
  <w:style w:type="paragraph" w:styleId="TOC2">
    <w:name w:val="toc 2"/>
    <w:basedOn w:val="TOC1"/>
    <w:next w:val="Normal"/>
    <w:uiPriority w:val="39"/>
    <w:rsid w:val="006A77BB"/>
    <w:pPr>
      <w:tabs>
        <w:tab w:val="left" w:pos="426"/>
        <w:tab w:val="left" w:pos="709"/>
      </w:tabs>
      <w:spacing w:before="40"/>
    </w:pPr>
    <w:rPr>
      <w:b w:val="0"/>
      <w:sz w:val="20"/>
      <w:szCs w:val="24"/>
      <w:lang w:eastAsia="en-US"/>
    </w:rPr>
  </w:style>
  <w:style w:type="paragraph" w:styleId="BalloonText">
    <w:name w:val="Balloon Text"/>
    <w:basedOn w:val="Normal"/>
    <w:uiPriority w:val="99"/>
    <w:semiHidden/>
    <w:rsid w:val="00FF4CEA"/>
    <w:rPr>
      <w:rFonts w:ascii="Tahoma" w:hAnsi="Tahoma" w:cs="Tahoma"/>
      <w:sz w:val="16"/>
      <w:szCs w:val="16"/>
    </w:rPr>
  </w:style>
  <w:style w:type="character" w:styleId="CommentReference">
    <w:name w:val="annotation reference"/>
    <w:basedOn w:val="DefaultParagraphFont"/>
    <w:uiPriority w:val="99"/>
    <w:semiHidden/>
    <w:rsid w:val="00FF4CEA"/>
    <w:rPr>
      <w:sz w:val="16"/>
      <w:szCs w:val="16"/>
    </w:rPr>
  </w:style>
  <w:style w:type="paragraph" w:styleId="CommentText">
    <w:name w:val="annotation text"/>
    <w:basedOn w:val="Normal"/>
    <w:uiPriority w:val="99"/>
    <w:semiHidden/>
    <w:rsid w:val="00FF4CEA"/>
  </w:style>
  <w:style w:type="paragraph" w:styleId="CommentSubject">
    <w:name w:val="annotation subject"/>
    <w:basedOn w:val="CommentText"/>
    <w:next w:val="CommentText"/>
    <w:uiPriority w:val="99"/>
    <w:semiHidden/>
    <w:rsid w:val="00FF4CEA"/>
    <w:rPr>
      <w:b/>
      <w:bCs/>
    </w:rPr>
  </w:style>
  <w:style w:type="numbering" w:customStyle="1" w:styleId="ListTableBullet">
    <w:name w:val="List_Table Bullet"/>
    <w:uiPriority w:val="99"/>
    <w:rsid w:val="00715AFA"/>
    <w:pPr>
      <w:numPr>
        <w:numId w:val="3"/>
      </w:numPr>
    </w:pPr>
  </w:style>
  <w:style w:type="paragraph" w:styleId="DocumentMap">
    <w:name w:val="Document Map"/>
    <w:basedOn w:val="Normal"/>
    <w:uiPriority w:val="99"/>
    <w:semiHidden/>
    <w:rsid w:val="00FF4CEA"/>
    <w:pPr>
      <w:shd w:val="clear" w:color="auto" w:fill="000080"/>
    </w:pPr>
    <w:rPr>
      <w:rFonts w:ascii="Tahoma" w:hAnsi="Tahoma" w:cs="Tahoma"/>
    </w:rPr>
  </w:style>
  <w:style w:type="character" w:styleId="FootnoteReference">
    <w:name w:val="footnote reference"/>
    <w:basedOn w:val="DefaultParagraphFont"/>
    <w:uiPriority w:val="99"/>
    <w:semiHidden/>
    <w:rsid w:val="00FF4CEA"/>
    <w:rPr>
      <w:vertAlign w:val="superscript"/>
    </w:rPr>
  </w:style>
  <w:style w:type="paragraph" w:styleId="TOC3">
    <w:name w:val="toc 3"/>
    <w:basedOn w:val="TOC2"/>
    <w:next w:val="Normal"/>
    <w:uiPriority w:val="39"/>
    <w:rsid w:val="00D151E1"/>
    <w:pPr>
      <w:ind w:left="680"/>
    </w:pPr>
    <w:rPr>
      <w:szCs w:val="22"/>
    </w:rPr>
  </w:style>
  <w:style w:type="paragraph" w:styleId="Header">
    <w:name w:val="header"/>
    <w:basedOn w:val="Normal"/>
    <w:uiPriority w:val="99"/>
    <w:semiHidden/>
    <w:rsid w:val="00E37680"/>
    <w:pPr>
      <w:tabs>
        <w:tab w:val="center" w:pos="4718"/>
        <w:tab w:val="right" w:pos="9505"/>
      </w:tabs>
    </w:pPr>
  </w:style>
  <w:style w:type="paragraph" w:styleId="Footer">
    <w:name w:val="footer"/>
    <w:basedOn w:val="Normal"/>
    <w:uiPriority w:val="99"/>
    <w:rsid w:val="00ED7CB2"/>
    <w:pPr>
      <w:widowControl w:val="0"/>
    </w:pPr>
    <w:rPr>
      <w:color w:val="000000" w:themeColor="text1"/>
      <w:sz w:val="18"/>
      <w:szCs w:val="16"/>
    </w:rPr>
  </w:style>
  <w:style w:type="character" w:styleId="Hyperlink">
    <w:name w:val="Hyperlink"/>
    <w:uiPriority w:val="99"/>
    <w:qFormat/>
    <w:rsid w:val="00BF415E"/>
    <w:rPr>
      <w:color w:val="auto"/>
      <w:u w:val="none"/>
    </w:rPr>
  </w:style>
  <w:style w:type="character" w:styleId="FollowedHyperlink">
    <w:name w:val="FollowedHyperlink"/>
    <w:basedOn w:val="Hyperlink"/>
    <w:uiPriority w:val="41"/>
    <w:qFormat/>
    <w:rsid w:val="00DF1E7B"/>
    <w:rPr>
      <w:color w:val="auto"/>
      <w:u w:val="none"/>
    </w:rPr>
  </w:style>
  <w:style w:type="paragraph" w:customStyle="1" w:styleId="footnoteseparator">
    <w:name w:val="footnote separator"/>
    <w:basedOn w:val="Normal"/>
    <w:uiPriority w:val="99"/>
    <w:semiHidden/>
    <w:rsid w:val="00E56377"/>
    <w:pPr>
      <w:pBdr>
        <w:top w:val="single" w:sz="4" w:space="1" w:color="00948D"/>
      </w:pBdr>
      <w:tabs>
        <w:tab w:val="right" w:leader="underscore" w:pos="8505"/>
      </w:tabs>
    </w:pPr>
    <w:rPr>
      <w:color w:val="00928F"/>
      <w:sz w:val="4"/>
      <w:szCs w:val="22"/>
    </w:rPr>
  </w:style>
  <w:style w:type="paragraph" w:customStyle="1" w:styleId="QSAnamestyle">
    <w:name w:val="QSA namestyle"/>
    <w:uiPriority w:val="16"/>
    <w:qFormat/>
    <w:rsid w:val="00351EA0"/>
    <w:pPr>
      <w:spacing w:after="40" w:line="300" w:lineRule="atLeast"/>
      <w:ind w:left="284"/>
    </w:pPr>
    <w:rPr>
      <w:rFonts w:ascii="MetaBoldLF-Roman" w:hAnsi="MetaBoldLF-Roman"/>
      <w:sz w:val="26"/>
      <w:szCs w:val="26"/>
    </w:rPr>
  </w:style>
  <w:style w:type="paragraph" w:customStyle="1" w:styleId="QSAnamestyleaddress">
    <w:name w:val="QSA namestyle address"/>
    <w:uiPriority w:val="17"/>
    <w:qFormat/>
    <w:rsid w:val="00351EA0"/>
    <w:pPr>
      <w:tabs>
        <w:tab w:val="left" w:pos="993"/>
      </w:tabs>
      <w:spacing w:before="60"/>
      <w:ind w:left="284"/>
    </w:pPr>
    <w:rPr>
      <w:rFonts w:ascii="Rotis Serif Std" w:hAnsi="Rotis Serif Std"/>
      <w:szCs w:val="18"/>
    </w:rPr>
  </w:style>
  <w:style w:type="paragraph" w:customStyle="1" w:styleId="QSAnamestyleurl">
    <w:name w:val="QSA namestyle url"/>
    <w:uiPriority w:val="18"/>
    <w:qFormat/>
    <w:rsid w:val="00351EA0"/>
    <w:pPr>
      <w:spacing w:before="40" w:line="240" w:lineRule="atLeast"/>
      <w:ind w:left="284"/>
    </w:pPr>
    <w:rPr>
      <w:rFonts w:ascii="Rotis Serif Std" w:hAnsi="Rotis Serif Std"/>
      <w:b/>
    </w:rPr>
  </w:style>
  <w:style w:type="paragraph" w:customStyle="1" w:styleId="Reference">
    <w:name w:val="Reference"/>
    <w:basedOn w:val="Normal"/>
    <w:uiPriority w:val="99"/>
    <w:semiHidden/>
    <w:rsid w:val="00FF4CEA"/>
    <w:pPr>
      <w:tabs>
        <w:tab w:val="left" w:pos="284"/>
      </w:tabs>
      <w:ind w:left="284" w:hanging="284"/>
    </w:pPr>
  </w:style>
  <w:style w:type="character" w:customStyle="1" w:styleId="Footerbold">
    <w:name w:val="Footer bold"/>
    <w:uiPriority w:val="99"/>
    <w:semiHidden/>
    <w:qFormat/>
    <w:rsid w:val="00FF4CEA"/>
    <w:rPr>
      <w:rFonts w:ascii="Arial" w:hAnsi="Arial"/>
      <w:b/>
      <w:color w:val="00948D"/>
      <w:sz w:val="16"/>
    </w:rPr>
  </w:style>
  <w:style w:type="character" w:styleId="PlaceholderText">
    <w:name w:val="Placeholder Text"/>
    <w:basedOn w:val="DefaultParagraphFont"/>
    <w:uiPriority w:val="99"/>
    <w:semiHidden/>
    <w:rsid w:val="00FF4CEA"/>
    <w:rPr>
      <w:color w:val="FF0000"/>
    </w:rPr>
  </w:style>
  <w:style w:type="paragraph" w:customStyle="1" w:styleId="smallspace">
    <w:name w:val="_small space"/>
    <w:basedOn w:val="Normal"/>
    <w:rsid w:val="00ED7CB2"/>
    <w:rPr>
      <w:rFonts w:eastAsia="SimSun"/>
      <w:sz w:val="2"/>
      <w:szCs w:val="2"/>
    </w:rPr>
  </w:style>
  <w:style w:type="character" w:customStyle="1" w:styleId="Heading5Char">
    <w:name w:val="Heading 5 Char"/>
    <w:basedOn w:val="DefaultParagraphFont"/>
    <w:link w:val="Heading5"/>
    <w:rsid w:val="00CD06CF"/>
    <w:rPr>
      <w:rFonts w:ascii="MetaBoldLF-Roman" w:eastAsia="MS Mincho" w:hAnsi="MetaBoldLF-Roman" w:cs="MS Mincho"/>
      <w:kern w:val="28"/>
      <w:sz w:val="22"/>
      <w:szCs w:val="28"/>
    </w:rPr>
  </w:style>
  <w:style w:type="paragraph" w:styleId="Caption">
    <w:name w:val="caption"/>
    <w:basedOn w:val="Heading5"/>
    <w:next w:val="Normal"/>
    <w:uiPriority w:val="2"/>
    <w:qFormat/>
    <w:rsid w:val="009D2CFB"/>
    <w:pPr>
      <w:tabs>
        <w:tab w:val="left" w:pos="1134"/>
      </w:tabs>
      <w:spacing w:before="240" w:after="80"/>
      <w:outlineLvl w:val="9"/>
    </w:pPr>
    <w:rPr>
      <w:bCs/>
      <w:szCs w:val="18"/>
    </w:rPr>
  </w:style>
  <w:style w:type="paragraph" w:styleId="Title">
    <w:name w:val="Title"/>
    <w:basedOn w:val="Normal"/>
    <w:next w:val="Subtitle"/>
    <w:link w:val="TitleChar"/>
    <w:uiPriority w:val="99"/>
    <w:qFormat/>
    <w:rsid w:val="008566E6"/>
    <w:pPr>
      <w:keepNext/>
      <w:widowControl w:val="0"/>
      <w:spacing w:before="200" w:line="680" w:lineRule="atLeast"/>
      <w:ind w:left="40"/>
    </w:pPr>
    <w:rPr>
      <w:rFonts w:ascii="MetaBoldLF-Roman" w:eastAsia="SimSun" w:hAnsi="MetaBoldLF-Roman" w:cs="Arial"/>
      <w:noProof/>
      <w:kern w:val="28"/>
      <w:sz w:val="94"/>
      <w:szCs w:val="94"/>
    </w:rPr>
  </w:style>
  <w:style w:type="character" w:customStyle="1" w:styleId="TitleChar">
    <w:name w:val="Title Char"/>
    <w:basedOn w:val="DefaultParagraphFont"/>
    <w:link w:val="Title"/>
    <w:uiPriority w:val="99"/>
    <w:rsid w:val="008566E6"/>
    <w:rPr>
      <w:rFonts w:ascii="MetaBoldLF-Roman" w:eastAsia="SimSun" w:hAnsi="MetaBoldLF-Roman" w:cs="Arial"/>
      <w:noProof/>
      <w:kern w:val="28"/>
      <w:sz w:val="94"/>
      <w:szCs w:val="94"/>
    </w:rPr>
  </w:style>
  <w:style w:type="paragraph" w:styleId="Subtitle">
    <w:name w:val="Subtitle"/>
    <w:basedOn w:val="Normal"/>
    <w:next w:val="Normal"/>
    <w:link w:val="SubtitleChar"/>
    <w:uiPriority w:val="99"/>
    <w:qFormat/>
    <w:rsid w:val="00F6198F"/>
    <w:pPr>
      <w:spacing w:before="340"/>
      <w:ind w:left="40"/>
    </w:pPr>
    <w:rPr>
      <w:rFonts w:ascii="MetaBoldLF-Roman" w:eastAsia="SimSun" w:hAnsi="MetaBoldLF-Roman"/>
      <w:sz w:val="40"/>
      <w:szCs w:val="35"/>
    </w:rPr>
  </w:style>
  <w:style w:type="character" w:customStyle="1" w:styleId="SubtitleChar">
    <w:name w:val="Subtitle Char"/>
    <w:basedOn w:val="DefaultParagraphFont"/>
    <w:link w:val="Subtitle"/>
    <w:uiPriority w:val="99"/>
    <w:rsid w:val="00F6198F"/>
    <w:rPr>
      <w:rFonts w:ascii="MetaBoldLF-Roman" w:eastAsia="SimSun" w:hAnsi="MetaBoldLF-Roman"/>
      <w:sz w:val="40"/>
      <w:szCs w:val="35"/>
    </w:rPr>
  </w:style>
  <w:style w:type="paragraph" w:styleId="Date">
    <w:name w:val="Date"/>
    <w:basedOn w:val="Normal"/>
    <w:next w:val="Normal"/>
    <w:link w:val="DateChar"/>
    <w:uiPriority w:val="99"/>
    <w:qFormat/>
    <w:rsid w:val="00A035A6"/>
    <w:pPr>
      <w:spacing w:before="0"/>
    </w:pPr>
    <w:rPr>
      <w:rFonts w:ascii="MetaBoldLF-Roman" w:eastAsia="SimSun" w:hAnsi="MetaBoldLF-Roman"/>
      <w:kern w:val="28"/>
      <w:sz w:val="28"/>
    </w:rPr>
  </w:style>
  <w:style w:type="character" w:customStyle="1" w:styleId="DateChar">
    <w:name w:val="Date Char"/>
    <w:basedOn w:val="DefaultParagraphFont"/>
    <w:link w:val="Date"/>
    <w:uiPriority w:val="99"/>
    <w:rsid w:val="00A035A6"/>
    <w:rPr>
      <w:rFonts w:ascii="MetaBoldLF-Roman" w:eastAsia="SimSun" w:hAnsi="MetaBoldLF-Roman"/>
      <w:kern w:val="28"/>
      <w:sz w:val="28"/>
    </w:rPr>
  </w:style>
  <w:style w:type="paragraph" w:styleId="TOCHeading">
    <w:name w:val="TOC Heading"/>
    <w:basedOn w:val="Heading1"/>
    <w:next w:val="Normal"/>
    <w:uiPriority w:val="99"/>
    <w:qFormat/>
    <w:rsid w:val="00D3700C"/>
    <w:pPr>
      <w:spacing w:before="0" w:after="400"/>
      <w:ind w:left="425"/>
    </w:pPr>
    <w:rPr>
      <w:rFonts w:cs="Tahoma"/>
      <w:bCs/>
      <w:sz w:val="44"/>
    </w:rPr>
  </w:style>
  <w:style w:type="paragraph" w:customStyle="1" w:styleId="Tabletextfigures">
    <w:name w:val="Table text figures"/>
    <w:link w:val="TabletextfiguresChar"/>
    <w:rsid w:val="00CA75BA"/>
    <w:pPr>
      <w:widowControl w:val="0"/>
      <w:tabs>
        <w:tab w:val="decimal" w:pos="616"/>
      </w:tabs>
      <w:spacing w:before="0" w:line="220" w:lineRule="atLeast"/>
    </w:pPr>
    <w:rPr>
      <w:rFonts w:eastAsia="SimSun"/>
      <w:sz w:val="18"/>
      <w:szCs w:val="18"/>
      <w:lang w:eastAsia="en-US"/>
    </w:rPr>
  </w:style>
  <w:style w:type="paragraph" w:styleId="ListNumber0">
    <w:name w:val="List Number"/>
    <w:aliases w:val="Numbered level 1"/>
    <w:basedOn w:val="Normal"/>
    <w:qFormat/>
    <w:rsid w:val="00FF4CEA"/>
    <w:pPr>
      <w:numPr>
        <w:numId w:val="9"/>
      </w:numPr>
      <w:spacing w:after="120" w:line="264" w:lineRule="auto"/>
    </w:pPr>
  </w:style>
  <w:style w:type="paragraph" w:styleId="ListNumber2">
    <w:name w:val="List Number 2"/>
    <w:aliases w:val="Numbered level 2"/>
    <w:basedOn w:val="Normal"/>
    <w:uiPriority w:val="4"/>
    <w:qFormat/>
    <w:rsid w:val="0090259E"/>
    <w:pPr>
      <w:numPr>
        <w:ilvl w:val="1"/>
        <w:numId w:val="9"/>
      </w:numPr>
      <w:spacing w:before="60"/>
    </w:pPr>
  </w:style>
  <w:style w:type="paragraph" w:styleId="ListNumber3">
    <w:name w:val="List Number 3"/>
    <w:aliases w:val="Numbered level 3"/>
    <w:basedOn w:val="Normal"/>
    <w:uiPriority w:val="4"/>
    <w:qFormat/>
    <w:rsid w:val="00FF4CEA"/>
    <w:pPr>
      <w:numPr>
        <w:ilvl w:val="2"/>
        <w:numId w:val="9"/>
      </w:numPr>
      <w:spacing w:after="120" w:line="264" w:lineRule="auto"/>
    </w:pPr>
  </w:style>
  <w:style w:type="numbering" w:customStyle="1" w:styleId="ListNumber">
    <w:name w:val="List_Number"/>
    <w:uiPriority w:val="99"/>
    <w:rsid w:val="00FF4CEA"/>
    <w:pPr>
      <w:numPr>
        <w:numId w:val="2"/>
      </w:numPr>
    </w:pPr>
  </w:style>
  <w:style w:type="paragraph" w:customStyle="1" w:styleId="TableBullet2">
    <w:name w:val="Table Bullet 2"/>
    <w:basedOn w:val="TableBullet"/>
    <w:uiPriority w:val="5"/>
    <w:qFormat/>
    <w:rsid w:val="00715AFA"/>
    <w:pPr>
      <w:widowControl w:val="0"/>
      <w:numPr>
        <w:ilvl w:val="1"/>
      </w:numPr>
    </w:pPr>
    <w:rPr>
      <w:szCs w:val="18"/>
    </w:rPr>
  </w:style>
  <w:style w:type="paragraph" w:customStyle="1" w:styleId="TableText">
    <w:name w:val="Table Text"/>
    <w:basedOn w:val="Normal"/>
    <w:link w:val="TableTextChar"/>
    <w:qFormat/>
    <w:rsid w:val="00827E03"/>
    <w:pPr>
      <w:spacing w:before="40" w:after="40"/>
    </w:pPr>
    <w:rPr>
      <w:sz w:val="20"/>
    </w:rPr>
  </w:style>
  <w:style w:type="paragraph" w:customStyle="1" w:styleId="TableBullet">
    <w:name w:val="Table Bullet"/>
    <w:basedOn w:val="TableText"/>
    <w:qFormat/>
    <w:rsid w:val="00715AFA"/>
    <w:pPr>
      <w:numPr>
        <w:numId w:val="12"/>
      </w:numPr>
      <w:tabs>
        <w:tab w:val="left" w:pos="284"/>
      </w:tabs>
    </w:pPr>
    <w:rPr>
      <w:lang w:eastAsia="en-US"/>
    </w:rPr>
  </w:style>
  <w:style w:type="paragraph" w:customStyle="1" w:styleId="ID">
    <w:name w:val="ID"/>
    <w:basedOn w:val="Normal"/>
    <w:uiPriority w:val="99"/>
    <w:qFormat/>
    <w:rsid w:val="00FF4CEA"/>
    <w:rPr>
      <w:color w:val="797979" w:themeColor="background2" w:themeShade="80"/>
      <w:sz w:val="10"/>
      <w:szCs w:val="10"/>
    </w:rPr>
  </w:style>
  <w:style w:type="paragraph" w:styleId="BodyText">
    <w:name w:val="Body Text"/>
    <w:basedOn w:val="Normal"/>
    <w:link w:val="BodyTextChar"/>
    <w:qFormat/>
    <w:rsid w:val="00F120D1"/>
    <w:pPr>
      <w:spacing w:before="100" w:line="250" w:lineRule="auto"/>
    </w:pPr>
  </w:style>
  <w:style w:type="character" w:customStyle="1" w:styleId="BodyTextChar">
    <w:name w:val="Body Text Char"/>
    <w:basedOn w:val="DefaultParagraphFont"/>
    <w:link w:val="BodyText"/>
    <w:rsid w:val="00F120D1"/>
    <w:rPr>
      <w:rFonts w:ascii="Rotis Serif Std" w:hAnsi="Rotis Serif Std"/>
    </w:rPr>
  </w:style>
  <w:style w:type="paragraph" w:styleId="ListBullet0">
    <w:name w:val="List Bullet"/>
    <w:aliases w:val="Bullets level 1"/>
    <w:basedOn w:val="Normal"/>
    <w:qFormat/>
    <w:rsid w:val="00723858"/>
    <w:pPr>
      <w:numPr>
        <w:numId w:val="1"/>
      </w:numPr>
      <w:spacing w:before="56" w:line="240" w:lineRule="auto"/>
    </w:pPr>
  </w:style>
  <w:style w:type="paragraph" w:styleId="ListBullet2">
    <w:name w:val="List Bullet 2"/>
    <w:aliases w:val="Bullets level 2"/>
    <w:basedOn w:val="ListBullet0"/>
    <w:qFormat/>
    <w:rsid w:val="008F7332"/>
    <w:pPr>
      <w:numPr>
        <w:ilvl w:val="1"/>
      </w:numPr>
    </w:pPr>
  </w:style>
  <w:style w:type="paragraph" w:styleId="ListBullet3">
    <w:name w:val="List Bullet 3"/>
    <w:aliases w:val="Bullets level 3"/>
    <w:basedOn w:val="Normal"/>
    <w:qFormat/>
    <w:rsid w:val="007403D9"/>
    <w:pPr>
      <w:numPr>
        <w:ilvl w:val="2"/>
        <w:numId w:val="1"/>
      </w:numPr>
      <w:spacing w:after="120" w:line="264" w:lineRule="auto"/>
    </w:pPr>
  </w:style>
  <w:style w:type="numbering" w:customStyle="1" w:styleId="ListHeadings">
    <w:name w:val="List_Headings"/>
    <w:uiPriority w:val="99"/>
    <w:rsid w:val="00B05FFF"/>
    <w:pPr>
      <w:numPr>
        <w:numId w:val="10"/>
      </w:numPr>
    </w:pPr>
  </w:style>
  <w:style w:type="paragraph" w:styleId="TOC5">
    <w:name w:val="toc 5"/>
    <w:basedOn w:val="TOC2"/>
    <w:next w:val="Normal"/>
    <w:uiPriority w:val="39"/>
    <w:rsid w:val="009E44B4"/>
    <w:pPr>
      <w:tabs>
        <w:tab w:val="left" w:pos="680"/>
      </w:tabs>
      <w:ind w:left="680" w:hanging="680"/>
    </w:pPr>
  </w:style>
  <w:style w:type="paragraph" w:styleId="TOC6">
    <w:name w:val="toc 6"/>
    <w:basedOn w:val="TOC3"/>
    <w:next w:val="Normal"/>
    <w:uiPriority w:val="39"/>
    <w:rsid w:val="00907B77"/>
    <w:pPr>
      <w:tabs>
        <w:tab w:val="left" w:pos="1531"/>
      </w:tabs>
      <w:ind w:left="1531" w:hanging="851"/>
    </w:pPr>
  </w:style>
  <w:style w:type="paragraph" w:styleId="TOC9">
    <w:name w:val="toc 9"/>
    <w:basedOn w:val="Normal"/>
    <w:next w:val="Normal"/>
    <w:uiPriority w:val="99"/>
    <w:semiHidden/>
    <w:rsid w:val="00C9669C"/>
    <w:pPr>
      <w:tabs>
        <w:tab w:val="left" w:pos="1134"/>
        <w:tab w:val="right" w:leader="dot" w:pos="8505"/>
      </w:tabs>
      <w:ind w:left="1134" w:right="1134" w:hanging="1134"/>
    </w:pPr>
  </w:style>
  <w:style w:type="paragraph" w:styleId="TOC7">
    <w:name w:val="toc 7"/>
    <w:basedOn w:val="Normal"/>
    <w:next w:val="Normal"/>
    <w:uiPriority w:val="99"/>
    <w:semiHidden/>
    <w:rsid w:val="004C1CBE"/>
  </w:style>
  <w:style w:type="paragraph" w:styleId="TOC8">
    <w:name w:val="toc 8"/>
    <w:basedOn w:val="Normal"/>
    <w:next w:val="Normal"/>
    <w:uiPriority w:val="99"/>
    <w:semiHidden/>
    <w:rsid w:val="004C1CBE"/>
  </w:style>
  <w:style w:type="character" w:customStyle="1" w:styleId="TabletextfiguresChar">
    <w:name w:val="Table text figures Char"/>
    <w:link w:val="Tabletextfigures"/>
    <w:rsid w:val="00CA75BA"/>
    <w:rPr>
      <w:rFonts w:ascii="MetaBookLF-Roman" w:eastAsia="SimSun" w:hAnsi="MetaBookLF-Roman"/>
      <w:sz w:val="18"/>
      <w:szCs w:val="18"/>
      <w:lang w:eastAsia="en-US"/>
    </w:rPr>
  </w:style>
  <w:style w:type="paragraph" w:styleId="Quote">
    <w:name w:val="Quote"/>
    <w:aliases w:val="Block Quote"/>
    <w:basedOn w:val="Normal"/>
    <w:next w:val="Normal"/>
    <w:link w:val="QuoteChar"/>
    <w:uiPriority w:val="39"/>
    <w:qFormat/>
    <w:rsid w:val="00FF4CEA"/>
    <w:pPr>
      <w:spacing w:before="120" w:after="120" w:line="264" w:lineRule="auto"/>
      <w:ind w:left="284" w:right="284"/>
    </w:pPr>
    <w:rPr>
      <w:sz w:val="18"/>
    </w:rPr>
  </w:style>
  <w:style w:type="character" w:customStyle="1" w:styleId="QuoteChar">
    <w:name w:val="Quote Char"/>
    <w:aliases w:val="Block Quote Char"/>
    <w:basedOn w:val="DefaultParagraphFont"/>
    <w:link w:val="Quote"/>
    <w:uiPriority w:val="39"/>
    <w:rsid w:val="00FF4CEA"/>
    <w:rPr>
      <w:sz w:val="18"/>
    </w:rPr>
  </w:style>
  <w:style w:type="paragraph" w:customStyle="1" w:styleId="TableBullet3">
    <w:name w:val="Table Bullet 3"/>
    <w:basedOn w:val="TableBullet2"/>
    <w:uiPriority w:val="5"/>
    <w:qFormat/>
    <w:rsid w:val="00715AFA"/>
    <w:pPr>
      <w:numPr>
        <w:ilvl w:val="2"/>
      </w:numPr>
    </w:pPr>
  </w:style>
  <w:style w:type="paragraph" w:customStyle="1" w:styleId="TableNumber2">
    <w:name w:val="Table Number 2"/>
    <w:basedOn w:val="TableNumber"/>
    <w:uiPriority w:val="5"/>
    <w:qFormat/>
    <w:rsid w:val="00715AFA"/>
    <w:pPr>
      <w:numPr>
        <w:ilvl w:val="1"/>
      </w:numPr>
    </w:pPr>
  </w:style>
  <w:style w:type="paragraph" w:customStyle="1" w:styleId="TableNumber">
    <w:name w:val="Table Number"/>
    <w:basedOn w:val="TableText"/>
    <w:qFormat/>
    <w:rsid w:val="007F4F29"/>
    <w:pPr>
      <w:numPr>
        <w:numId w:val="11"/>
      </w:numPr>
    </w:pPr>
    <w:rPr>
      <w:rFonts w:eastAsia="Cordia New" w:cs="Tw Cen MT"/>
      <w:szCs w:val="22"/>
      <w:lang w:eastAsia="en-US"/>
    </w:rPr>
  </w:style>
  <w:style w:type="numbering" w:customStyle="1" w:styleId="TableBullets">
    <w:name w:val="TableBullets"/>
    <w:uiPriority w:val="99"/>
    <w:rsid w:val="00FF4CEA"/>
    <w:pPr>
      <w:numPr>
        <w:numId w:val="4"/>
      </w:numPr>
    </w:pPr>
  </w:style>
  <w:style w:type="numbering" w:customStyle="1" w:styleId="TableBullet0">
    <w:name w:val="TableBullet"/>
    <w:uiPriority w:val="99"/>
    <w:rsid w:val="00FF4CEA"/>
    <w:pPr>
      <w:numPr>
        <w:numId w:val="5"/>
      </w:numPr>
    </w:pPr>
  </w:style>
  <w:style w:type="numbering" w:customStyle="1" w:styleId="ListPara">
    <w:name w:val="ListPara"/>
    <w:uiPriority w:val="99"/>
    <w:rsid w:val="00FF4CEA"/>
    <w:pPr>
      <w:numPr>
        <w:numId w:val="6"/>
      </w:numPr>
    </w:pPr>
  </w:style>
  <w:style w:type="character" w:customStyle="1" w:styleId="TableTextChar">
    <w:name w:val="Table Text Char"/>
    <w:link w:val="TableText"/>
    <w:rsid w:val="00827E03"/>
    <w:rPr>
      <w:rFonts w:ascii="Rotis Serif Std" w:hAnsi="Rotis Serif Std"/>
      <w:sz w:val="20"/>
    </w:rPr>
  </w:style>
  <w:style w:type="numbering" w:customStyle="1" w:styleId="ListParagraph">
    <w:name w:val="List_Paragraph"/>
    <w:uiPriority w:val="99"/>
    <w:rsid w:val="00FF4CEA"/>
    <w:pPr>
      <w:numPr>
        <w:numId w:val="7"/>
      </w:numPr>
    </w:pPr>
  </w:style>
  <w:style w:type="paragraph" w:customStyle="1" w:styleId="TableNumber3">
    <w:name w:val="Table Number 3"/>
    <w:basedOn w:val="TableNumber2"/>
    <w:uiPriority w:val="5"/>
    <w:qFormat/>
    <w:rsid w:val="00715AFA"/>
    <w:pPr>
      <w:numPr>
        <w:ilvl w:val="2"/>
      </w:numPr>
    </w:pPr>
  </w:style>
  <w:style w:type="numbering" w:customStyle="1" w:styleId="ListTableNumber">
    <w:name w:val="List_TableNumber"/>
    <w:uiPriority w:val="99"/>
    <w:rsid w:val="00715AFA"/>
    <w:pPr>
      <w:numPr>
        <w:numId w:val="8"/>
      </w:numPr>
    </w:pPr>
  </w:style>
  <w:style w:type="table" w:styleId="Table3Deffects3">
    <w:name w:val="Table 3D effects 3"/>
    <w:basedOn w:val="TableNormal"/>
    <w:rsid w:val="00FF4CEA"/>
    <w:pPr>
      <w:spacing w:before="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C7EC4"/>
    <w:rPr>
      <w:rFonts w:ascii="Arial" w:hAnsi="Arial"/>
      <w:color w:val="auto"/>
      <w:u w:val="none"/>
    </w:rPr>
  </w:style>
  <w:style w:type="numbering" w:customStyle="1" w:styleId="ListInstruction">
    <w:name w:val="List_Instruction"/>
    <w:uiPriority w:val="99"/>
    <w:rsid w:val="00D51864"/>
    <w:pPr>
      <w:numPr>
        <w:numId w:val="13"/>
      </w:numPr>
    </w:pPr>
  </w:style>
  <w:style w:type="character" w:styleId="Emphasis">
    <w:name w:val="Emphasis"/>
    <w:aliases w:val="emphasis — italic"/>
    <w:qFormat/>
    <w:rsid w:val="00A21E1E"/>
    <w:rPr>
      <w:rFonts w:ascii="Rotis Serif Std" w:hAnsi="Rotis Serif Std"/>
      <w:i/>
      <w:iCs/>
    </w:rPr>
  </w:style>
  <w:style w:type="paragraph" w:customStyle="1" w:styleId="Highlightstables">
    <w:name w:val="Highlights tables"/>
    <w:basedOn w:val="TableText"/>
    <w:qFormat/>
    <w:rsid w:val="00587F3E"/>
    <w:pPr>
      <w:widowControl w:val="0"/>
      <w:spacing w:line="240" w:lineRule="auto"/>
      <w:jc w:val="center"/>
    </w:pPr>
    <w:rPr>
      <w:rFonts w:ascii="MetaBookLF-Roman" w:eastAsia="SimSun" w:hAnsi="MetaBookLF-Roman"/>
      <w:szCs w:val="18"/>
      <w:lang w:eastAsia="en-US"/>
    </w:rPr>
  </w:style>
  <w:style w:type="paragraph" w:customStyle="1" w:styleId="Districtaddressblock">
    <w:name w:val="District address block"/>
    <w:basedOn w:val="BodyText"/>
    <w:uiPriority w:val="42"/>
    <w:qFormat/>
    <w:rsid w:val="001A2BB0"/>
    <w:pPr>
      <w:spacing w:before="0"/>
    </w:pPr>
  </w:style>
  <w:style w:type="paragraph" w:customStyle="1" w:styleId="Tablehead">
    <w:name w:val="Table head"/>
    <w:basedOn w:val="Normal"/>
    <w:next w:val="Normal"/>
    <w:rsid w:val="00BC5554"/>
    <w:pPr>
      <w:spacing w:before="40" w:after="40" w:line="240" w:lineRule="auto"/>
    </w:pPr>
    <w:rPr>
      <w:rFonts w:ascii="MetaBoldLF-Roman" w:eastAsia="SimSun" w:hAnsi="MetaBoldLF-Roman"/>
    </w:rPr>
  </w:style>
  <w:style w:type="numbering" w:customStyle="1" w:styleId="ListBullets">
    <w:name w:val="ListBullets"/>
    <w:uiPriority w:val="99"/>
    <w:rsid w:val="001A2F8B"/>
    <w:pPr>
      <w:numPr>
        <w:numId w:val="16"/>
      </w:numPr>
    </w:pPr>
  </w:style>
  <w:style w:type="paragraph" w:customStyle="1" w:styleId="Authoritymember">
    <w:name w:val="Authority member"/>
    <w:basedOn w:val="Normal"/>
    <w:qFormat/>
    <w:rsid w:val="003D7892"/>
    <w:pPr>
      <w:spacing w:before="40" w:after="20"/>
      <w:ind w:left="227"/>
    </w:pPr>
    <w:rPr>
      <w:rFonts w:eastAsia="SimSun"/>
      <w:i/>
    </w:rPr>
  </w:style>
  <w:style w:type="paragraph" w:customStyle="1" w:styleId="Normallead-in">
    <w:name w:val="Normal lead-in"/>
    <w:basedOn w:val="Normal"/>
    <w:next w:val="ListBullet0"/>
    <w:rsid w:val="0065657E"/>
    <w:pPr>
      <w:keepNext/>
    </w:pPr>
    <w:rPr>
      <w:rFonts w:eastAsia="SimSun"/>
    </w:rPr>
  </w:style>
  <w:style w:type="paragraph" w:customStyle="1" w:styleId="Headingdistrictoffice">
    <w:name w:val="Heading district office"/>
    <w:basedOn w:val="Normal"/>
    <w:next w:val="Normal"/>
    <w:rsid w:val="00FD213B"/>
    <w:pPr>
      <w:spacing w:before="0" w:after="20" w:line="240" w:lineRule="auto"/>
    </w:pPr>
    <w:rPr>
      <w:rFonts w:ascii="MetaBoldLF-Roman" w:eastAsia="SimSun" w:hAnsi="MetaBoldLF-Roman"/>
      <w:sz w:val="22"/>
      <w:szCs w:val="22"/>
      <w:lang w:eastAsia="en-US"/>
    </w:rPr>
  </w:style>
  <w:style w:type="numbering" w:customStyle="1" w:styleId="BulletsList">
    <w:name w:val="BulletsList"/>
    <w:uiPriority w:val="99"/>
    <w:rsid w:val="0049501B"/>
    <w:pPr>
      <w:numPr>
        <w:numId w:val="17"/>
      </w:numPr>
    </w:pPr>
  </w:style>
  <w:style w:type="paragraph" w:customStyle="1" w:styleId="H2Appendix">
    <w:name w:val="H2 Appendix"/>
    <w:basedOn w:val="Heading2"/>
    <w:next w:val="Normal"/>
    <w:qFormat/>
    <w:rsid w:val="00F120D1"/>
    <w:pPr>
      <w:numPr>
        <w:ilvl w:val="0"/>
        <w:numId w:val="18"/>
      </w:numPr>
      <w:spacing w:before="320" w:after="180"/>
      <w:ind w:left="0" w:hanging="357"/>
    </w:pPr>
    <w:rPr>
      <w:rFonts w:eastAsia="MS Mincho" w:cs="MS Mincho"/>
      <w:color w:val="auto"/>
      <w:kern w:val="28"/>
      <w:sz w:val="32"/>
      <w:szCs w:val="36"/>
    </w:rPr>
  </w:style>
  <w:style w:type="paragraph" w:customStyle="1" w:styleId="Acronyms">
    <w:name w:val="Acronyms"/>
    <w:basedOn w:val="Normal"/>
    <w:qFormat/>
    <w:rsid w:val="00E64C91"/>
    <w:pPr>
      <w:tabs>
        <w:tab w:val="left" w:pos="1134"/>
      </w:tabs>
      <w:spacing w:before="0" w:after="180"/>
      <w:ind w:left="1134" w:hanging="1134"/>
    </w:pPr>
    <w:rPr>
      <w:rFonts w:eastAsia="SimSun"/>
      <w:sz w:val="20"/>
    </w:rPr>
  </w:style>
  <w:style w:type="paragraph" w:styleId="Revision">
    <w:name w:val="Revision"/>
    <w:hidden/>
    <w:uiPriority w:val="99"/>
    <w:semiHidden/>
    <w:rsid w:val="00F7355D"/>
    <w:pPr>
      <w:spacing w:before="0" w:line="240" w:lineRule="auto"/>
    </w:pPr>
  </w:style>
  <w:style w:type="paragraph" w:styleId="ListParagraph0">
    <w:name w:val="List Paragraph"/>
    <w:basedOn w:val="Normal"/>
    <w:uiPriority w:val="34"/>
    <w:qFormat/>
    <w:rsid w:val="00C70157"/>
    <w:pPr>
      <w:spacing w:before="0"/>
      <w:ind w:left="720"/>
      <w:contextualSpacing/>
    </w:pPr>
  </w:style>
  <w:style w:type="paragraph" w:customStyle="1" w:styleId="Chairsletter">
    <w:name w:val="Chair's letter"/>
    <w:basedOn w:val="BodyText"/>
    <w:uiPriority w:val="42"/>
    <w:qFormat/>
    <w:rsid w:val="000B6ECF"/>
    <w:pPr>
      <w:ind w:right="849"/>
    </w:pPr>
  </w:style>
  <w:style w:type="character" w:customStyle="1" w:styleId="emphasisbold">
    <w:name w:val="emphasis — bold"/>
    <w:uiPriority w:val="1"/>
    <w:qFormat/>
    <w:rsid w:val="00A21E1E"/>
    <w:rPr>
      <w:b/>
    </w:rPr>
  </w:style>
  <w:style w:type="character" w:customStyle="1" w:styleId="emphasisbolditalic">
    <w:name w:val="emphasis — bold italic"/>
    <w:uiPriority w:val="1"/>
    <w:qFormat/>
    <w:rsid w:val="00A21E1E"/>
    <w:rPr>
      <w:b/>
      <w:i/>
    </w:rPr>
  </w:style>
  <w:style w:type="paragraph" w:customStyle="1" w:styleId="mediumspace">
    <w:name w:val="_medium space"/>
    <w:basedOn w:val="smallspace"/>
    <w:qFormat/>
    <w:rsid w:val="00CC0F6A"/>
    <w:pPr>
      <w:spacing w:before="0" w:line="240" w:lineRule="auto"/>
    </w:pPr>
    <w:rPr>
      <w:sz w:val="16"/>
    </w:rPr>
  </w:style>
  <w:style w:type="paragraph" w:customStyle="1" w:styleId="H3Appendix">
    <w:name w:val="H3 Appendix"/>
    <w:basedOn w:val="H2Appendix"/>
    <w:uiPriority w:val="42"/>
    <w:qFormat/>
    <w:rsid w:val="00D96A68"/>
    <w:pPr>
      <w:numPr>
        <w:numId w:val="0"/>
      </w:numPr>
      <w:spacing w:before="200" w:after="100"/>
      <w:outlineLvl w:val="2"/>
    </w:pPr>
    <w:rPr>
      <w:sz w:val="22"/>
      <w:szCs w:val="28"/>
    </w:rPr>
  </w:style>
  <w:style w:type="paragraph" w:customStyle="1" w:styleId="TOCentry">
    <w:name w:val="TOC_entry"/>
    <w:basedOn w:val="mediumspace"/>
    <w:next w:val="BodyText"/>
    <w:uiPriority w:val="42"/>
    <w:qFormat/>
    <w:rsid w:val="00802EBC"/>
    <w:rPr>
      <w:sz w:val="12"/>
    </w:rPr>
  </w:style>
  <w:style w:type="paragraph" w:customStyle="1" w:styleId="Heading5nonavigation">
    <w:name w:val="Heading 5 no navigation"/>
    <w:next w:val="Normal"/>
    <w:uiPriority w:val="42"/>
    <w:rsid w:val="00463918"/>
    <w:pPr>
      <w:spacing w:before="160" w:after="40"/>
    </w:pPr>
    <w:rPr>
      <w:rFonts w:ascii="MetaBoldLF-Roman" w:hAnsi="MetaBoldLF-Roman"/>
      <w:bCs/>
      <w:iCs/>
      <w:sz w:val="20"/>
      <w:szCs w:val="20"/>
    </w:rPr>
  </w:style>
  <w:style w:type="table" w:styleId="Table3Deffects1">
    <w:name w:val="Table 3D effects 1"/>
    <w:basedOn w:val="TableNormal"/>
    <w:rsid w:val="00772C6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EndnoteText">
    <w:name w:val="endnote text"/>
    <w:basedOn w:val="Normal"/>
    <w:link w:val="EndnoteTextChar"/>
    <w:uiPriority w:val="99"/>
    <w:semiHidden/>
    <w:rsid w:val="00AF1BB7"/>
    <w:pPr>
      <w:spacing w:before="0" w:line="240" w:lineRule="auto"/>
    </w:pPr>
    <w:rPr>
      <w:sz w:val="20"/>
      <w:szCs w:val="20"/>
    </w:rPr>
  </w:style>
  <w:style w:type="paragraph" w:styleId="BodyText3">
    <w:name w:val="Body Text 3"/>
    <w:basedOn w:val="Normal"/>
    <w:link w:val="BodyText3Char"/>
    <w:uiPriority w:val="99"/>
    <w:semiHidden/>
    <w:rsid w:val="005D4422"/>
    <w:pPr>
      <w:spacing w:after="120"/>
    </w:pPr>
    <w:rPr>
      <w:sz w:val="16"/>
      <w:szCs w:val="16"/>
    </w:rPr>
  </w:style>
  <w:style w:type="character" w:customStyle="1" w:styleId="BodyText3Char">
    <w:name w:val="Body Text 3 Char"/>
    <w:basedOn w:val="DefaultParagraphFont"/>
    <w:link w:val="BodyText3"/>
    <w:uiPriority w:val="99"/>
    <w:semiHidden/>
    <w:rsid w:val="005D4422"/>
    <w:rPr>
      <w:rFonts w:ascii="Rotis Serif Std" w:hAnsi="Rotis Serif Std"/>
      <w:sz w:val="16"/>
      <w:szCs w:val="16"/>
    </w:rPr>
  </w:style>
  <w:style w:type="paragraph" w:customStyle="1" w:styleId="Bodytextlead-in">
    <w:name w:val="Body text lead-in"/>
    <w:basedOn w:val="BodyText"/>
    <w:uiPriority w:val="42"/>
    <w:qFormat/>
    <w:rsid w:val="005D4422"/>
    <w:pPr>
      <w:keepNext/>
    </w:pPr>
  </w:style>
  <w:style w:type="character" w:customStyle="1" w:styleId="EndnoteTextChar">
    <w:name w:val="Endnote Text Char"/>
    <w:basedOn w:val="DefaultParagraphFont"/>
    <w:link w:val="EndnoteText"/>
    <w:uiPriority w:val="99"/>
    <w:semiHidden/>
    <w:rsid w:val="00AF1BB7"/>
    <w:rPr>
      <w:rFonts w:ascii="Rotis Serif Std" w:hAnsi="Rotis Serif Std"/>
      <w:sz w:val="20"/>
      <w:szCs w:val="20"/>
    </w:rPr>
  </w:style>
  <w:style w:type="character" w:styleId="EndnoteReference">
    <w:name w:val="endnote reference"/>
    <w:basedOn w:val="DefaultParagraphFont"/>
    <w:uiPriority w:val="99"/>
    <w:semiHidden/>
    <w:rsid w:val="00AF1BB7"/>
    <w:rPr>
      <w:vertAlign w:val="superscript"/>
    </w:rPr>
  </w:style>
  <w:style w:type="character" w:customStyle="1" w:styleId="hi-lite">
    <w:name w:val="hi-lite"/>
    <w:uiPriority w:val="8"/>
    <w:qFormat/>
    <w:rPr>
      <w:bdr w:val="none" w:sz="0" w:space="0" w:color="auto"/>
      <w:shd w:val="clear" w:color="auto" w:fill="90ECE1"/>
    </w:rPr>
  </w:style>
  <w:style w:type="paragraph" w:customStyle="1" w:styleId="Heading2Financials">
    <w:name w:val="Heading 2 Financials"/>
    <w:basedOn w:val="Heading2"/>
    <w:next w:val="BodyText"/>
    <w:uiPriority w:val="42"/>
    <w:qFormat/>
    <w:rsid w:val="00797E13"/>
    <w:pPr>
      <w:spacing w:before="0" w:after="0"/>
    </w:pPr>
  </w:style>
  <w:style w:type="paragraph" w:customStyle="1" w:styleId="FinH3">
    <w:name w:val="Fin H3"/>
    <w:basedOn w:val="Normal"/>
    <w:next w:val="Finnormal"/>
    <w:uiPriority w:val="42"/>
    <w:qFormat/>
    <w:rsid w:val="004526D5"/>
    <w:pPr>
      <w:numPr>
        <w:numId w:val="32"/>
      </w:numPr>
      <w:tabs>
        <w:tab w:val="left" w:pos="284"/>
        <w:tab w:val="left" w:pos="851"/>
      </w:tabs>
      <w:spacing w:before="120" w:after="120" w:line="240" w:lineRule="auto"/>
    </w:pPr>
    <w:rPr>
      <w:rFonts w:ascii="Arial" w:hAnsi="Arial" w:cs="Arial"/>
      <w:b/>
      <w:sz w:val="20"/>
      <w:szCs w:val="16"/>
    </w:rPr>
  </w:style>
  <w:style w:type="paragraph" w:customStyle="1" w:styleId="Finnormal">
    <w:name w:val="Fin normal"/>
    <w:basedOn w:val="Normal"/>
    <w:uiPriority w:val="42"/>
    <w:qFormat/>
    <w:rsid w:val="003B1306"/>
    <w:pPr>
      <w:tabs>
        <w:tab w:val="left" w:pos="284"/>
        <w:tab w:val="left" w:pos="851"/>
      </w:tabs>
      <w:spacing w:after="80" w:line="240" w:lineRule="auto"/>
    </w:pPr>
    <w:rPr>
      <w:rFonts w:ascii="Arial" w:hAnsi="Arial" w:cs="Arial"/>
      <w:sz w:val="16"/>
      <w:szCs w:val="16"/>
    </w:rPr>
  </w:style>
  <w:style w:type="paragraph" w:customStyle="1" w:styleId="FinH4">
    <w:name w:val="Fin H4"/>
    <w:basedOn w:val="ListParagraph0"/>
    <w:uiPriority w:val="42"/>
    <w:qFormat/>
    <w:rsid w:val="00342F5E"/>
    <w:pPr>
      <w:numPr>
        <w:ilvl w:val="1"/>
        <w:numId w:val="32"/>
      </w:numPr>
      <w:spacing w:before="60" w:after="20" w:line="240" w:lineRule="auto"/>
      <w:ind w:right="-227"/>
    </w:pPr>
    <w:rPr>
      <w:rFonts w:ascii="Arial" w:hAnsi="Arial" w:cs="Arial"/>
      <w:b/>
      <w:sz w:val="18"/>
      <w:szCs w:val="16"/>
    </w:rPr>
  </w:style>
  <w:style w:type="paragraph" w:customStyle="1" w:styleId="Finnormalindent">
    <w:name w:val="Fin normal indent"/>
    <w:basedOn w:val="Normal"/>
    <w:uiPriority w:val="42"/>
    <w:qFormat/>
    <w:rsid w:val="00A021CB"/>
    <w:pPr>
      <w:spacing w:before="60"/>
      <w:ind w:left="567"/>
    </w:pPr>
    <w:rPr>
      <w:rFonts w:ascii="Arial" w:hAnsi="Arial" w:cs="Arial"/>
      <w:sz w:val="16"/>
      <w:szCs w:val="16"/>
    </w:rPr>
  </w:style>
  <w:style w:type="paragraph" w:customStyle="1" w:styleId="FinH5">
    <w:name w:val="Fin H5"/>
    <w:basedOn w:val="Finnormalindent"/>
    <w:uiPriority w:val="42"/>
    <w:qFormat/>
    <w:rsid w:val="00657533"/>
    <w:pPr>
      <w:numPr>
        <w:ilvl w:val="2"/>
        <w:numId w:val="32"/>
      </w:numPr>
    </w:pPr>
    <w:rPr>
      <w:i/>
    </w:rPr>
  </w:style>
  <w:style w:type="paragraph" w:customStyle="1" w:styleId="Heading2Financialfollower">
    <w:name w:val="Heading 2 Financial follower"/>
    <w:basedOn w:val="Heading2Financials"/>
    <w:next w:val="BodyText"/>
    <w:uiPriority w:val="42"/>
    <w:qFormat/>
    <w:rsid w:val="009D2836"/>
    <w:pPr>
      <w:spacing w:after="240"/>
      <w:outlineLvl w:val="9"/>
    </w:pPr>
    <w:rPr>
      <w:sz w:val="32"/>
    </w:rPr>
  </w:style>
  <w:style w:type="paragraph" w:customStyle="1" w:styleId="FinF4continuation">
    <w:name w:val="FinF4 continuation"/>
    <w:basedOn w:val="Normal"/>
    <w:uiPriority w:val="42"/>
    <w:qFormat/>
    <w:rsid w:val="00342F5E"/>
    <w:pPr>
      <w:ind w:left="153" w:right="-284"/>
    </w:pPr>
    <w:rPr>
      <w:rFonts w:asciiTheme="majorHAnsi" w:hAnsiTheme="majorHAnsi" w:cstheme="majorHAnsi"/>
      <w:b/>
      <w:sz w:val="18"/>
      <w:szCs w:val="16"/>
    </w:rPr>
  </w:style>
  <w:style w:type="paragraph" w:customStyle="1" w:styleId="FinF3continuation">
    <w:name w:val="FinF3 continuation"/>
    <w:basedOn w:val="FinF4continuation"/>
    <w:uiPriority w:val="42"/>
    <w:qFormat/>
    <w:rsid w:val="00342F5E"/>
    <w:pPr>
      <w:keepNext/>
      <w:spacing w:before="20" w:after="120"/>
      <w:ind w:left="0" w:right="-397"/>
    </w:pPr>
    <w:rPr>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etaBookLF-Roman" w:eastAsia="Times New Roman" w:hAnsi="MetaBookLF-Roman" w:cs="Times New Roman"/>
        <w:sz w:val="19"/>
        <w:szCs w:val="19"/>
        <w:lang w:val="en-AU" w:eastAsia="en-AU" w:bidi="ar-SA"/>
      </w:rPr>
    </w:rPrDefault>
    <w:pPrDefault>
      <w:pPr>
        <w:spacing w:before="80" w:line="252"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3" w:uiPriority="39"/>
    <w:lsdException w:name="toc 4" w:uiPriority="39"/>
    <w:lsdException w:name="toc 5" w:uiPriority="39"/>
    <w:lsdException w:name="toc 6" w:uiPriority="39"/>
    <w:lsdException w:name="Normal Indent" w:semiHidden="1"/>
    <w:lsdException w:name="index heading" w:semiHidden="1"/>
    <w:lsdException w:name="caption" w:semiHidden="1" w:uiPriority="2"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List" w:semiHidden="1"/>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uiPriority="0" w:qFormat="1"/>
    <w:lsdException w:name="List Bullet 3" w:uiPriority="0" w:qFormat="1"/>
    <w:lsdException w:name="List Bullet 4" w:semiHidden="1"/>
    <w:lsdException w:name="List Bullet 5" w:semiHidden="1"/>
    <w:lsdException w:name="List Number 2" w:uiPriority="4" w:qFormat="1"/>
    <w:lsdException w:name="List Number 3" w:uiPriority="4" w:qFormat="1"/>
    <w:lsdException w:name="List Number 4" w:semiHidden="1"/>
    <w:lsdException w:name="List Number 5" w:semiHidden="1"/>
    <w:lsdException w:name="Title"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41" w:qFormat="1"/>
    <w:lsdException w:name="Strong" w:semiHidden="1"/>
    <w:lsdException w:name="Emphasis" w:semiHidden="1" w:uiPriority="0" w:qFormat="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59"/>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2D3C32"/>
    <w:rPr>
      <w:rFonts w:ascii="Rotis Serif Std" w:hAnsi="Rotis Serif Std"/>
    </w:rPr>
  </w:style>
  <w:style w:type="paragraph" w:styleId="Heading1">
    <w:name w:val="heading 1"/>
    <w:basedOn w:val="Normal"/>
    <w:next w:val="BodyText"/>
    <w:link w:val="Heading1Char"/>
    <w:qFormat/>
    <w:rsid w:val="00A035A6"/>
    <w:pPr>
      <w:keepNext/>
      <w:keepLines/>
      <w:spacing w:before="960" w:after="480"/>
      <w:outlineLvl w:val="0"/>
    </w:pPr>
    <w:rPr>
      <w:rFonts w:ascii="MetaBoldLF-Roman" w:hAnsi="MetaBoldLF-Roman"/>
      <w:color w:val="000000" w:themeColor="text1"/>
      <w:sz w:val="56"/>
    </w:rPr>
  </w:style>
  <w:style w:type="paragraph" w:styleId="Heading2">
    <w:name w:val="heading 2"/>
    <w:basedOn w:val="Heading1"/>
    <w:next w:val="BodyText"/>
    <w:link w:val="Heading2Char"/>
    <w:qFormat/>
    <w:rsid w:val="003D7892"/>
    <w:pPr>
      <w:numPr>
        <w:ilvl w:val="1"/>
      </w:numPr>
      <w:spacing w:before="480" w:after="240" w:line="240" w:lineRule="auto"/>
      <w:outlineLvl w:val="1"/>
    </w:pPr>
    <w:rPr>
      <w:sz w:val="40"/>
    </w:rPr>
  </w:style>
  <w:style w:type="paragraph" w:styleId="Heading3">
    <w:name w:val="heading 3"/>
    <w:basedOn w:val="Heading2"/>
    <w:next w:val="BodyText"/>
    <w:link w:val="Heading3Char"/>
    <w:qFormat/>
    <w:rsid w:val="003838F0"/>
    <w:pPr>
      <w:numPr>
        <w:ilvl w:val="0"/>
      </w:numPr>
      <w:spacing w:before="280" w:after="200"/>
      <w:outlineLvl w:val="2"/>
    </w:pPr>
    <w:rPr>
      <w:sz w:val="30"/>
      <w:szCs w:val="28"/>
    </w:rPr>
  </w:style>
  <w:style w:type="paragraph" w:styleId="Heading4">
    <w:name w:val="heading 4"/>
    <w:basedOn w:val="Heading3"/>
    <w:next w:val="BodyText"/>
    <w:link w:val="Heading4Char"/>
    <w:qFormat/>
    <w:rsid w:val="003717FB"/>
    <w:pPr>
      <w:spacing w:before="200" w:after="80"/>
      <w:outlineLvl w:val="3"/>
    </w:pPr>
    <w:rPr>
      <w:rFonts w:ascii="MetaBoldLF-Italic" w:hAnsi="MetaBoldLF-Italic"/>
      <w:color w:val="auto"/>
      <w:sz w:val="24"/>
      <w:szCs w:val="24"/>
    </w:rPr>
  </w:style>
  <w:style w:type="paragraph" w:styleId="Heading5">
    <w:name w:val="heading 5"/>
    <w:basedOn w:val="H3Appendix"/>
    <w:next w:val="BodyText"/>
    <w:link w:val="Heading5Char"/>
    <w:qFormat/>
    <w:rsid w:val="00CD06CF"/>
    <w:pPr>
      <w:ind w:right="-284"/>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35A6"/>
    <w:rPr>
      <w:rFonts w:ascii="MetaBoldLF-Roman" w:hAnsi="MetaBoldLF-Roman"/>
      <w:color w:val="000000" w:themeColor="text1"/>
      <w:sz w:val="56"/>
    </w:rPr>
  </w:style>
  <w:style w:type="character" w:customStyle="1" w:styleId="Heading2Char">
    <w:name w:val="Heading 2 Char"/>
    <w:basedOn w:val="Heading1Char"/>
    <w:link w:val="Heading2"/>
    <w:rsid w:val="003D7892"/>
    <w:rPr>
      <w:rFonts w:ascii="MetaBoldLF-Roman" w:hAnsi="MetaBoldLF-Roman"/>
      <w:color w:val="000000" w:themeColor="text1"/>
      <w:sz w:val="40"/>
    </w:rPr>
  </w:style>
  <w:style w:type="character" w:customStyle="1" w:styleId="Heading3Char">
    <w:name w:val="Heading 3 Char"/>
    <w:basedOn w:val="Heading2Char"/>
    <w:link w:val="Heading3"/>
    <w:rsid w:val="003838F0"/>
    <w:rPr>
      <w:rFonts w:ascii="MetaBoldLF-Roman" w:hAnsi="MetaBoldLF-Roman"/>
      <w:b w:val="0"/>
      <w:color w:val="000000" w:themeColor="text1"/>
      <w:sz w:val="30"/>
      <w:szCs w:val="28"/>
    </w:rPr>
  </w:style>
  <w:style w:type="character" w:customStyle="1" w:styleId="Heading4Char">
    <w:name w:val="Heading 4 Char"/>
    <w:basedOn w:val="Heading3Char"/>
    <w:link w:val="Heading4"/>
    <w:rsid w:val="003717FB"/>
    <w:rPr>
      <w:rFonts w:ascii="MetaBoldLF-Italic" w:hAnsi="MetaBoldLF-Italic"/>
      <w:b w:val="0"/>
      <w:color w:val="000000" w:themeColor="text1"/>
      <w:sz w:val="24"/>
      <w:szCs w:val="24"/>
    </w:rPr>
  </w:style>
  <w:style w:type="paragraph" w:styleId="TableofFigures">
    <w:name w:val="table of figures"/>
    <w:basedOn w:val="TableText"/>
    <w:next w:val="Normal"/>
    <w:uiPriority w:val="99"/>
    <w:rsid w:val="00943831"/>
    <w:pPr>
      <w:ind w:right="113"/>
      <w:jc w:val="right"/>
    </w:pPr>
  </w:style>
  <w:style w:type="paragraph" w:customStyle="1" w:styleId="Checklistchecked">
    <w:name w:val="Checklist checked"/>
    <w:basedOn w:val="Checklist"/>
    <w:uiPriority w:val="8"/>
    <w:qFormat/>
    <w:rsid w:val="00953F2D"/>
    <w:pPr>
      <w:numPr>
        <w:numId w:val="15"/>
      </w:numPr>
    </w:pPr>
  </w:style>
  <w:style w:type="numbering" w:customStyle="1" w:styleId="ListBullet">
    <w:name w:val="List_Bullet"/>
    <w:uiPriority w:val="99"/>
    <w:rsid w:val="007403D9"/>
    <w:pPr>
      <w:numPr>
        <w:numId w:val="1"/>
      </w:numPr>
    </w:pPr>
  </w:style>
  <w:style w:type="paragraph" w:customStyle="1" w:styleId="Checklist">
    <w:name w:val="Checklist"/>
    <w:basedOn w:val="Normal"/>
    <w:uiPriority w:val="8"/>
    <w:qFormat/>
    <w:rsid w:val="00953F2D"/>
    <w:pPr>
      <w:numPr>
        <w:numId w:val="14"/>
      </w:numPr>
      <w:spacing w:after="120" w:line="264" w:lineRule="auto"/>
    </w:pPr>
  </w:style>
  <w:style w:type="paragraph" w:styleId="TOC4">
    <w:name w:val="toc 4"/>
    <w:basedOn w:val="ListBullet0"/>
    <w:next w:val="Normal"/>
    <w:uiPriority w:val="39"/>
    <w:rsid w:val="00C55D43"/>
    <w:pPr>
      <w:spacing w:before="52"/>
    </w:pPr>
  </w:style>
  <w:style w:type="paragraph" w:styleId="FootnoteText">
    <w:name w:val="footnote text"/>
    <w:basedOn w:val="Normal"/>
    <w:uiPriority w:val="99"/>
    <w:semiHidden/>
    <w:rsid w:val="00DF1E7B"/>
    <w:pPr>
      <w:widowControl w:val="0"/>
    </w:pPr>
    <w:rPr>
      <w:sz w:val="20"/>
    </w:rPr>
  </w:style>
  <w:style w:type="table" w:styleId="TableGrid">
    <w:name w:val="Table Grid"/>
    <w:basedOn w:val="TableNormal"/>
    <w:uiPriority w:val="59"/>
    <w:rsid w:val="009C2833"/>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113" w:type="dxa"/>
        <w:right w:w="108" w:type="dxa"/>
      </w:tblCellMar>
    </w:tblPr>
  </w:style>
  <w:style w:type="paragraph" w:styleId="TOC1">
    <w:name w:val="toc 1"/>
    <w:next w:val="Normal"/>
    <w:uiPriority w:val="39"/>
    <w:qFormat/>
    <w:rsid w:val="00D64EB2"/>
    <w:pPr>
      <w:tabs>
        <w:tab w:val="right" w:leader="dot" w:pos="9072"/>
      </w:tabs>
      <w:spacing w:before="120" w:line="240" w:lineRule="auto"/>
      <w:ind w:left="425" w:right="1134"/>
    </w:pPr>
    <w:rPr>
      <w:rFonts w:ascii="Rotis Serif Std" w:hAnsi="Rotis Serif Std"/>
      <w:b/>
      <w:noProof/>
      <w:color w:val="000000" w:themeColor="text1"/>
      <w:sz w:val="24"/>
      <w:szCs w:val="28"/>
    </w:rPr>
  </w:style>
  <w:style w:type="paragraph" w:styleId="TOC2">
    <w:name w:val="toc 2"/>
    <w:basedOn w:val="TOC1"/>
    <w:next w:val="Normal"/>
    <w:uiPriority w:val="39"/>
    <w:rsid w:val="006A77BB"/>
    <w:pPr>
      <w:tabs>
        <w:tab w:val="left" w:pos="426"/>
        <w:tab w:val="left" w:pos="709"/>
      </w:tabs>
      <w:spacing w:before="40"/>
    </w:pPr>
    <w:rPr>
      <w:b w:val="0"/>
      <w:sz w:val="20"/>
      <w:szCs w:val="24"/>
      <w:lang w:eastAsia="en-US"/>
    </w:rPr>
  </w:style>
  <w:style w:type="paragraph" w:styleId="BalloonText">
    <w:name w:val="Balloon Text"/>
    <w:basedOn w:val="Normal"/>
    <w:uiPriority w:val="99"/>
    <w:semiHidden/>
    <w:rsid w:val="00FF4CEA"/>
    <w:rPr>
      <w:rFonts w:ascii="Tahoma" w:hAnsi="Tahoma" w:cs="Tahoma"/>
      <w:sz w:val="16"/>
      <w:szCs w:val="16"/>
    </w:rPr>
  </w:style>
  <w:style w:type="character" w:styleId="CommentReference">
    <w:name w:val="annotation reference"/>
    <w:basedOn w:val="DefaultParagraphFont"/>
    <w:uiPriority w:val="99"/>
    <w:semiHidden/>
    <w:rsid w:val="00FF4CEA"/>
    <w:rPr>
      <w:sz w:val="16"/>
      <w:szCs w:val="16"/>
    </w:rPr>
  </w:style>
  <w:style w:type="paragraph" w:styleId="CommentText">
    <w:name w:val="annotation text"/>
    <w:basedOn w:val="Normal"/>
    <w:uiPriority w:val="99"/>
    <w:semiHidden/>
    <w:rsid w:val="00FF4CEA"/>
  </w:style>
  <w:style w:type="paragraph" w:styleId="CommentSubject">
    <w:name w:val="annotation subject"/>
    <w:basedOn w:val="CommentText"/>
    <w:next w:val="CommentText"/>
    <w:uiPriority w:val="99"/>
    <w:semiHidden/>
    <w:rsid w:val="00FF4CEA"/>
    <w:rPr>
      <w:b/>
      <w:bCs/>
    </w:rPr>
  </w:style>
  <w:style w:type="numbering" w:customStyle="1" w:styleId="ListTableBullet">
    <w:name w:val="List_Table Bullet"/>
    <w:uiPriority w:val="99"/>
    <w:rsid w:val="00715AFA"/>
    <w:pPr>
      <w:numPr>
        <w:numId w:val="3"/>
      </w:numPr>
    </w:pPr>
  </w:style>
  <w:style w:type="paragraph" w:styleId="DocumentMap">
    <w:name w:val="Document Map"/>
    <w:basedOn w:val="Normal"/>
    <w:uiPriority w:val="99"/>
    <w:semiHidden/>
    <w:rsid w:val="00FF4CEA"/>
    <w:pPr>
      <w:shd w:val="clear" w:color="auto" w:fill="000080"/>
    </w:pPr>
    <w:rPr>
      <w:rFonts w:ascii="Tahoma" w:hAnsi="Tahoma" w:cs="Tahoma"/>
    </w:rPr>
  </w:style>
  <w:style w:type="character" w:styleId="FootnoteReference">
    <w:name w:val="footnote reference"/>
    <w:basedOn w:val="DefaultParagraphFont"/>
    <w:uiPriority w:val="99"/>
    <w:semiHidden/>
    <w:rsid w:val="00FF4CEA"/>
    <w:rPr>
      <w:vertAlign w:val="superscript"/>
    </w:rPr>
  </w:style>
  <w:style w:type="paragraph" w:styleId="TOC3">
    <w:name w:val="toc 3"/>
    <w:basedOn w:val="TOC2"/>
    <w:next w:val="Normal"/>
    <w:uiPriority w:val="39"/>
    <w:rsid w:val="00D151E1"/>
    <w:pPr>
      <w:ind w:left="680"/>
    </w:pPr>
    <w:rPr>
      <w:szCs w:val="22"/>
    </w:rPr>
  </w:style>
  <w:style w:type="paragraph" w:styleId="Header">
    <w:name w:val="header"/>
    <w:basedOn w:val="Normal"/>
    <w:uiPriority w:val="99"/>
    <w:semiHidden/>
    <w:rsid w:val="00E37680"/>
    <w:pPr>
      <w:tabs>
        <w:tab w:val="center" w:pos="4718"/>
        <w:tab w:val="right" w:pos="9505"/>
      </w:tabs>
    </w:pPr>
  </w:style>
  <w:style w:type="paragraph" w:styleId="Footer">
    <w:name w:val="footer"/>
    <w:basedOn w:val="Normal"/>
    <w:uiPriority w:val="99"/>
    <w:rsid w:val="00ED7CB2"/>
    <w:pPr>
      <w:widowControl w:val="0"/>
    </w:pPr>
    <w:rPr>
      <w:color w:val="000000" w:themeColor="text1"/>
      <w:sz w:val="18"/>
      <w:szCs w:val="16"/>
    </w:rPr>
  </w:style>
  <w:style w:type="character" w:styleId="Hyperlink">
    <w:name w:val="Hyperlink"/>
    <w:uiPriority w:val="99"/>
    <w:qFormat/>
    <w:rsid w:val="00BF415E"/>
    <w:rPr>
      <w:color w:val="auto"/>
      <w:u w:val="none"/>
    </w:rPr>
  </w:style>
  <w:style w:type="character" w:styleId="FollowedHyperlink">
    <w:name w:val="FollowedHyperlink"/>
    <w:basedOn w:val="Hyperlink"/>
    <w:uiPriority w:val="41"/>
    <w:qFormat/>
    <w:rsid w:val="00DF1E7B"/>
    <w:rPr>
      <w:color w:val="auto"/>
      <w:u w:val="none"/>
    </w:rPr>
  </w:style>
  <w:style w:type="paragraph" w:customStyle="1" w:styleId="footnoteseparator">
    <w:name w:val="footnote separator"/>
    <w:basedOn w:val="Normal"/>
    <w:uiPriority w:val="99"/>
    <w:semiHidden/>
    <w:rsid w:val="00E56377"/>
    <w:pPr>
      <w:pBdr>
        <w:top w:val="single" w:sz="4" w:space="1" w:color="00948D"/>
      </w:pBdr>
      <w:tabs>
        <w:tab w:val="right" w:leader="underscore" w:pos="8505"/>
      </w:tabs>
    </w:pPr>
    <w:rPr>
      <w:color w:val="00928F"/>
      <w:sz w:val="4"/>
      <w:szCs w:val="22"/>
    </w:rPr>
  </w:style>
  <w:style w:type="paragraph" w:customStyle="1" w:styleId="QSAnamestyle">
    <w:name w:val="QSA namestyle"/>
    <w:uiPriority w:val="16"/>
    <w:qFormat/>
    <w:rsid w:val="00351EA0"/>
    <w:pPr>
      <w:spacing w:after="40" w:line="300" w:lineRule="atLeast"/>
      <w:ind w:left="284"/>
    </w:pPr>
    <w:rPr>
      <w:rFonts w:ascii="MetaBoldLF-Roman" w:hAnsi="MetaBoldLF-Roman"/>
      <w:sz w:val="26"/>
      <w:szCs w:val="26"/>
    </w:rPr>
  </w:style>
  <w:style w:type="paragraph" w:customStyle="1" w:styleId="QSAnamestyleaddress">
    <w:name w:val="QSA namestyle address"/>
    <w:uiPriority w:val="17"/>
    <w:qFormat/>
    <w:rsid w:val="00351EA0"/>
    <w:pPr>
      <w:tabs>
        <w:tab w:val="left" w:pos="993"/>
      </w:tabs>
      <w:spacing w:before="60"/>
      <w:ind w:left="284"/>
    </w:pPr>
    <w:rPr>
      <w:rFonts w:ascii="Rotis Serif Std" w:hAnsi="Rotis Serif Std"/>
      <w:szCs w:val="18"/>
    </w:rPr>
  </w:style>
  <w:style w:type="paragraph" w:customStyle="1" w:styleId="QSAnamestyleurl">
    <w:name w:val="QSA namestyle url"/>
    <w:uiPriority w:val="18"/>
    <w:qFormat/>
    <w:rsid w:val="00351EA0"/>
    <w:pPr>
      <w:spacing w:before="40" w:line="240" w:lineRule="atLeast"/>
      <w:ind w:left="284"/>
    </w:pPr>
    <w:rPr>
      <w:rFonts w:ascii="Rotis Serif Std" w:hAnsi="Rotis Serif Std"/>
      <w:b/>
    </w:rPr>
  </w:style>
  <w:style w:type="paragraph" w:customStyle="1" w:styleId="Reference">
    <w:name w:val="Reference"/>
    <w:basedOn w:val="Normal"/>
    <w:uiPriority w:val="99"/>
    <w:semiHidden/>
    <w:rsid w:val="00FF4CEA"/>
    <w:pPr>
      <w:tabs>
        <w:tab w:val="left" w:pos="284"/>
      </w:tabs>
      <w:ind w:left="284" w:hanging="284"/>
    </w:pPr>
  </w:style>
  <w:style w:type="character" w:customStyle="1" w:styleId="Footerbold">
    <w:name w:val="Footer bold"/>
    <w:uiPriority w:val="99"/>
    <w:semiHidden/>
    <w:qFormat/>
    <w:rsid w:val="00FF4CEA"/>
    <w:rPr>
      <w:rFonts w:ascii="Arial" w:hAnsi="Arial"/>
      <w:b/>
      <w:color w:val="00948D"/>
      <w:sz w:val="16"/>
    </w:rPr>
  </w:style>
  <w:style w:type="character" w:styleId="PlaceholderText">
    <w:name w:val="Placeholder Text"/>
    <w:basedOn w:val="DefaultParagraphFont"/>
    <w:uiPriority w:val="99"/>
    <w:semiHidden/>
    <w:rsid w:val="00FF4CEA"/>
    <w:rPr>
      <w:color w:val="FF0000"/>
    </w:rPr>
  </w:style>
  <w:style w:type="paragraph" w:customStyle="1" w:styleId="smallspace">
    <w:name w:val="_small space"/>
    <w:basedOn w:val="Normal"/>
    <w:rsid w:val="00ED7CB2"/>
    <w:rPr>
      <w:rFonts w:eastAsia="SimSun"/>
      <w:sz w:val="2"/>
      <w:szCs w:val="2"/>
    </w:rPr>
  </w:style>
  <w:style w:type="character" w:customStyle="1" w:styleId="Heading5Char">
    <w:name w:val="Heading 5 Char"/>
    <w:basedOn w:val="DefaultParagraphFont"/>
    <w:link w:val="Heading5"/>
    <w:rsid w:val="00CD06CF"/>
    <w:rPr>
      <w:rFonts w:ascii="MetaBoldLF-Roman" w:eastAsia="MS Mincho" w:hAnsi="MetaBoldLF-Roman" w:cs="MS Mincho"/>
      <w:kern w:val="28"/>
      <w:sz w:val="22"/>
      <w:szCs w:val="28"/>
    </w:rPr>
  </w:style>
  <w:style w:type="paragraph" w:styleId="Caption">
    <w:name w:val="caption"/>
    <w:basedOn w:val="Heading5"/>
    <w:next w:val="Normal"/>
    <w:uiPriority w:val="2"/>
    <w:qFormat/>
    <w:rsid w:val="009D2CFB"/>
    <w:pPr>
      <w:tabs>
        <w:tab w:val="left" w:pos="1134"/>
      </w:tabs>
      <w:spacing w:before="240" w:after="80"/>
      <w:outlineLvl w:val="9"/>
    </w:pPr>
    <w:rPr>
      <w:bCs/>
      <w:szCs w:val="18"/>
    </w:rPr>
  </w:style>
  <w:style w:type="paragraph" w:styleId="Title">
    <w:name w:val="Title"/>
    <w:basedOn w:val="Normal"/>
    <w:next w:val="Subtitle"/>
    <w:link w:val="TitleChar"/>
    <w:uiPriority w:val="99"/>
    <w:qFormat/>
    <w:rsid w:val="008566E6"/>
    <w:pPr>
      <w:keepNext/>
      <w:widowControl w:val="0"/>
      <w:spacing w:before="200" w:line="680" w:lineRule="atLeast"/>
      <w:ind w:left="40"/>
    </w:pPr>
    <w:rPr>
      <w:rFonts w:ascii="MetaBoldLF-Roman" w:eastAsia="SimSun" w:hAnsi="MetaBoldLF-Roman" w:cs="Arial"/>
      <w:noProof/>
      <w:kern w:val="28"/>
      <w:sz w:val="94"/>
      <w:szCs w:val="94"/>
    </w:rPr>
  </w:style>
  <w:style w:type="character" w:customStyle="1" w:styleId="TitleChar">
    <w:name w:val="Title Char"/>
    <w:basedOn w:val="DefaultParagraphFont"/>
    <w:link w:val="Title"/>
    <w:uiPriority w:val="99"/>
    <w:rsid w:val="008566E6"/>
    <w:rPr>
      <w:rFonts w:ascii="MetaBoldLF-Roman" w:eastAsia="SimSun" w:hAnsi="MetaBoldLF-Roman" w:cs="Arial"/>
      <w:noProof/>
      <w:kern w:val="28"/>
      <w:sz w:val="94"/>
      <w:szCs w:val="94"/>
    </w:rPr>
  </w:style>
  <w:style w:type="paragraph" w:styleId="Subtitle">
    <w:name w:val="Subtitle"/>
    <w:basedOn w:val="Normal"/>
    <w:next w:val="Normal"/>
    <w:link w:val="SubtitleChar"/>
    <w:uiPriority w:val="99"/>
    <w:qFormat/>
    <w:rsid w:val="00F6198F"/>
    <w:pPr>
      <w:spacing w:before="340"/>
      <w:ind w:left="40"/>
    </w:pPr>
    <w:rPr>
      <w:rFonts w:ascii="MetaBoldLF-Roman" w:eastAsia="SimSun" w:hAnsi="MetaBoldLF-Roman"/>
      <w:sz w:val="40"/>
      <w:szCs w:val="35"/>
    </w:rPr>
  </w:style>
  <w:style w:type="character" w:customStyle="1" w:styleId="SubtitleChar">
    <w:name w:val="Subtitle Char"/>
    <w:basedOn w:val="DefaultParagraphFont"/>
    <w:link w:val="Subtitle"/>
    <w:uiPriority w:val="99"/>
    <w:rsid w:val="00F6198F"/>
    <w:rPr>
      <w:rFonts w:ascii="MetaBoldLF-Roman" w:eastAsia="SimSun" w:hAnsi="MetaBoldLF-Roman"/>
      <w:sz w:val="40"/>
      <w:szCs w:val="35"/>
    </w:rPr>
  </w:style>
  <w:style w:type="paragraph" w:styleId="Date">
    <w:name w:val="Date"/>
    <w:basedOn w:val="Normal"/>
    <w:next w:val="Normal"/>
    <w:link w:val="DateChar"/>
    <w:uiPriority w:val="99"/>
    <w:qFormat/>
    <w:rsid w:val="00A035A6"/>
    <w:pPr>
      <w:spacing w:before="0"/>
    </w:pPr>
    <w:rPr>
      <w:rFonts w:ascii="MetaBoldLF-Roman" w:eastAsia="SimSun" w:hAnsi="MetaBoldLF-Roman"/>
      <w:kern w:val="28"/>
      <w:sz w:val="28"/>
    </w:rPr>
  </w:style>
  <w:style w:type="character" w:customStyle="1" w:styleId="DateChar">
    <w:name w:val="Date Char"/>
    <w:basedOn w:val="DefaultParagraphFont"/>
    <w:link w:val="Date"/>
    <w:uiPriority w:val="99"/>
    <w:rsid w:val="00A035A6"/>
    <w:rPr>
      <w:rFonts w:ascii="MetaBoldLF-Roman" w:eastAsia="SimSun" w:hAnsi="MetaBoldLF-Roman"/>
      <w:kern w:val="28"/>
      <w:sz w:val="28"/>
    </w:rPr>
  </w:style>
  <w:style w:type="paragraph" w:styleId="TOCHeading">
    <w:name w:val="TOC Heading"/>
    <w:basedOn w:val="Heading1"/>
    <w:next w:val="Normal"/>
    <w:uiPriority w:val="99"/>
    <w:qFormat/>
    <w:rsid w:val="00D3700C"/>
    <w:pPr>
      <w:spacing w:before="0" w:after="400"/>
      <w:ind w:left="425"/>
    </w:pPr>
    <w:rPr>
      <w:rFonts w:cs="Tahoma"/>
      <w:bCs/>
      <w:sz w:val="44"/>
    </w:rPr>
  </w:style>
  <w:style w:type="paragraph" w:customStyle="1" w:styleId="Tabletextfigures">
    <w:name w:val="Table text figures"/>
    <w:link w:val="TabletextfiguresChar"/>
    <w:rsid w:val="00CA75BA"/>
    <w:pPr>
      <w:widowControl w:val="0"/>
      <w:tabs>
        <w:tab w:val="decimal" w:pos="616"/>
      </w:tabs>
      <w:spacing w:before="0" w:line="220" w:lineRule="atLeast"/>
    </w:pPr>
    <w:rPr>
      <w:rFonts w:eastAsia="SimSun"/>
      <w:sz w:val="18"/>
      <w:szCs w:val="18"/>
      <w:lang w:eastAsia="en-US"/>
    </w:rPr>
  </w:style>
  <w:style w:type="paragraph" w:styleId="ListNumber0">
    <w:name w:val="List Number"/>
    <w:aliases w:val="Numbered level 1"/>
    <w:basedOn w:val="Normal"/>
    <w:qFormat/>
    <w:rsid w:val="00FF4CEA"/>
    <w:pPr>
      <w:numPr>
        <w:numId w:val="9"/>
      </w:numPr>
      <w:spacing w:after="120" w:line="264" w:lineRule="auto"/>
    </w:pPr>
  </w:style>
  <w:style w:type="paragraph" w:styleId="ListNumber2">
    <w:name w:val="List Number 2"/>
    <w:aliases w:val="Numbered level 2"/>
    <w:basedOn w:val="Normal"/>
    <w:uiPriority w:val="4"/>
    <w:qFormat/>
    <w:rsid w:val="0090259E"/>
    <w:pPr>
      <w:numPr>
        <w:ilvl w:val="1"/>
        <w:numId w:val="9"/>
      </w:numPr>
      <w:spacing w:before="60"/>
    </w:pPr>
  </w:style>
  <w:style w:type="paragraph" w:styleId="ListNumber3">
    <w:name w:val="List Number 3"/>
    <w:aliases w:val="Numbered level 3"/>
    <w:basedOn w:val="Normal"/>
    <w:uiPriority w:val="4"/>
    <w:qFormat/>
    <w:rsid w:val="00FF4CEA"/>
    <w:pPr>
      <w:numPr>
        <w:ilvl w:val="2"/>
        <w:numId w:val="9"/>
      </w:numPr>
      <w:spacing w:after="120" w:line="264" w:lineRule="auto"/>
    </w:pPr>
  </w:style>
  <w:style w:type="numbering" w:customStyle="1" w:styleId="ListNumber">
    <w:name w:val="List_Number"/>
    <w:uiPriority w:val="99"/>
    <w:rsid w:val="00FF4CEA"/>
    <w:pPr>
      <w:numPr>
        <w:numId w:val="2"/>
      </w:numPr>
    </w:pPr>
  </w:style>
  <w:style w:type="paragraph" w:customStyle="1" w:styleId="TableBullet2">
    <w:name w:val="Table Bullet 2"/>
    <w:basedOn w:val="TableBullet"/>
    <w:uiPriority w:val="5"/>
    <w:qFormat/>
    <w:rsid w:val="00715AFA"/>
    <w:pPr>
      <w:widowControl w:val="0"/>
      <w:numPr>
        <w:ilvl w:val="1"/>
      </w:numPr>
    </w:pPr>
    <w:rPr>
      <w:szCs w:val="18"/>
    </w:rPr>
  </w:style>
  <w:style w:type="paragraph" w:customStyle="1" w:styleId="TableText">
    <w:name w:val="Table Text"/>
    <w:basedOn w:val="Normal"/>
    <w:link w:val="TableTextChar"/>
    <w:qFormat/>
    <w:rsid w:val="00827E03"/>
    <w:pPr>
      <w:spacing w:before="40" w:after="40"/>
    </w:pPr>
    <w:rPr>
      <w:sz w:val="20"/>
    </w:rPr>
  </w:style>
  <w:style w:type="paragraph" w:customStyle="1" w:styleId="TableBullet">
    <w:name w:val="Table Bullet"/>
    <w:basedOn w:val="TableText"/>
    <w:qFormat/>
    <w:rsid w:val="00715AFA"/>
    <w:pPr>
      <w:numPr>
        <w:numId w:val="12"/>
      </w:numPr>
      <w:tabs>
        <w:tab w:val="left" w:pos="284"/>
      </w:tabs>
    </w:pPr>
    <w:rPr>
      <w:lang w:eastAsia="en-US"/>
    </w:rPr>
  </w:style>
  <w:style w:type="paragraph" w:customStyle="1" w:styleId="ID">
    <w:name w:val="ID"/>
    <w:basedOn w:val="Normal"/>
    <w:uiPriority w:val="99"/>
    <w:qFormat/>
    <w:rsid w:val="00FF4CEA"/>
    <w:rPr>
      <w:color w:val="797979" w:themeColor="background2" w:themeShade="80"/>
      <w:sz w:val="10"/>
      <w:szCs w:val="10"/>
    </w:rPr>
  </w:style>
  <w:style w:type="paragraph" w:styleId="BodyText">
    <w:name w:val="Body Text"/>
    <w:basedOn w:val="Normal"/>
    <w:link w:val="BodyTextChar"/>
    <w:qFormat/>
    <w:rsid w:val="00F120D1"/>
    <w:pPr>
      <w:spacing w:before="100" w:line="250" w:lineRule="auto"/>
    </w:pPr>
  </w:style>
  <w:style w:type="character" w:customStyle="1" w:styleId="BodyTextChar">
    <w:name w:val="Body Text Char"/>
    <w:basedOn w:val="DefaultParagraphFont"/>
    <w:link w:val="BodyText"/>
    <w:rsid w:val="00F120D1"/>
    <w:rPr>
      <w:rFonts w:ascii="Rotis Serif Std" w:hAnsi="Rotis Serif Std"/>
    </w:rPr>
  </w:style>
  <w:style w:type="paragraph" w:styleId="ListBullet0">
    <w:name w:val="List Bullet"/>
    <w:aliases w:val="Bullets level 1"/>
    <w:basedOn w:val="Normal"/>
    <w:qFormat/>
    <w:rsid w:val="00723858"/>
    <w:pPr>
      <w:numPr>
        <w:numId w:val="1"/>
      </w:numPr>
      <w:spacing w:before="56" w:line="240" w:lineRule="auto"/>
    </w:pPr>
  </w:style>
  <w:style w:type="paragraph" w:styleId="ListBullet2">
    <w:name w:val="List Bullet 2"/>
    <w:aliases w:val="Bullets level 2"/>
    <w:basedOn w:val="ListBullet0"/>
    <w:qFormat/>
    <w:rsid w:val="008F7332"/>
    <w:pPr>
      <w:numPr>
        <w:ilvl w:val="1"/>
      </w:numPr>
    </w:pPr>
  </w:style>
  <w:style w:type="paragraph" w:styleId="ListBullet3">
    <w:name w:val="List Bullet 3"/>
    <w:aliases w:val="Bullets level 3"/>
    <w:basedOn w:val="Normal"/>
    <w:qFormat/>
    <w:rsid w:val="007403D9"/>
    <w:pPr>
      <w:numPr>
        <w:ilvl w:val="2"/>
        <w:numId w:val="1"/>
      </w:numPr>
      <w:spacing w:after="120" w:line="264" w:lineRule="auto"/>
    </w:pPr>
  </w:style>
  <w:style w:type="numbering" w:customStyle="1" w:styleId="ListHeadings">
    <w:name w:val="List_Headings"/>
    <w:uiPriority w:val="99"/>
    <w:rsid w:val="00B05FFF"/>
    <w:pPr>
      <w:numPr>
        <w:numId w:val="10"/>
      </w:numPr>
    </w:pPr>
  </w:style>
  <w:style w:type="paragraph" w:styleId="TOC5">
    <w:name w:val="toc 5"/>
    <w:basedOn w:val="TOC2"/>
    <w:next w:val="Normal"/>
    <w:uiPriority w:val="39"/>
    <w:rsid w:val="009E44B4"/>
    <w:pPr>
      <w:tabs>
        <w:tab w:val="left" w:pos="680"/>
      </w:tabs>
      <w:ind w:left="680" w:hanging="680"/>
    </w:pPr>
  </w:style>
  <w:style w:type="paragraph" w:styleId="TOC6">
    <w:name w:val="toc 6"/>
    <w:basedOn w:val="TOC3"/>
    <w:next w:val="Normal"/>
    <w:uiPriority w:val="39"/>
    <w:rsid w:val="00907B77"/>
    <w:pPr>
      <w:tabs>
        <w:tab w:val="left" w:pos="1531"/>
      </w:tabs>
      <w:ind w:left="1531" w:hanging="851"/>
    </w:pPr>
  </w:style>
  <w:style w:type="paragraph" w:styleId="TOC9">
    <w:name w:val="toc 9"/>
    <w:basedOn w:val="Normal"/>
    <w:next w:val="Normal"/>
    <w:uiPriority w:val="99"/>
    <w:semiHidden/>
    <w:rsid w:val="00C9669C"/>
    <w:pPr>
      <w:tabs>
        <w:tab w:val="left" w:pos="1134"/>
        <w:tab w:val="right" w:leader="dot" w:pos="8505"/>
      </w:tabs>
      <w:ind w:left="1134" w:right="1134" w:hanging="1134"/>
    </w:pPr>
  </w:style>
  <w:style w:type="paragraph" w:styleId="TOC7">
    <w:name w:val="toc 7"/>
    <w:basedOn w:val="Normal"/>
    <w:next w:val="Normal"/>
    <w:uiPriority w:val="99"/>
    <w:semiHidden/>
    <w:rsid w:val="004C1CBE"/>
  </w:style>
  <w:style w:type="paragraph" w:styleId="TOC8">
    <w:name w:val="toc 8"/>
    <w:basedOn w:val="Normal"/>
    <w:next w:val="Normal"/>
    <w:uiPriority w:val="99"/>
    <w:semiHidden/>
    <w:rsid w:val="004C1CBE"/>
  </w:style>
  <w:style w:type="character" w:customStyle="1" w:styleId="TabletextfiguresChar">
    <w:name w:val="Table text figures Char"/>
    <w:link w:val="Tabletextfigures"/>
    <w:rsid w:val="00CA75BA"/>
    <w:rPr>
      <w:rFonts w:ascii="MetaBookLF-Roman" w:eastAsia="SimSun" w:hAnsi="MetaBookLF-Roman"/>
      <w:sz w:val="18"/>
      <w:szCs w:val="18"/>
      <w:lang w:eastAsia="en-US"/>
    </w:rPr>
  </w:style>
  <w:style w:type="paragraph" w:styleId="Quote">
    <w:name w:val="Quote"/>
    <w:aliases w:val="Block Quote"/>
    <w:basedOn w:val="Normal"/>
    <w:next w:val="Normal"/>
    <w:link w:val="QuoteChar"/>
    <w:uiPriority w:val="39"/>
    <w:qFormat/>
    <w:rsid w:val="00FF4CEA"/>
    <w:pPr>
      <w:spacing w:before="120" w:after="120" w:line="264" w:lineRule="auto"/>
      <w:ind w:left="284" w:right="284"/>
    </w:pPr>
    <w:rPr>
      <w:sz w:val="18"/>
    </w:rPr>
  </w:style>
  <w:style w:type="character" w:customStyle="1" w:styleId="QuoteChar">
    <w:name w:val="Quote Char"/>
    <w:aliases w:val="Block Quote Char"/>
    <w:basedOn w:val="DefaultParagraphFont"/>
    <w:link w:val="Quote"/>
    <w:uiPriority w:val="39"/>
    <w:rsid w:val="00FF4CEA"/>
    <w:rPr>
      <w:sz w:val="18"/>
    </w:rPr>
  </w:style>
  <w:style w:type="paragraph" w:customStyle="1" w:styleId="TableBullet3">
    <w:name w:val="Table Bullet 3"/>
    <w:basedOn w:val="TableBullet2"/>
    <w:uiPriority w:val="5"/>
    <w:qFormat/>
    <w:rsid w:val="00715AFA"/>
    <w:pPr>
      <w:numPr>
        <w:ilvl w:val="2"/>
      </w:numPr>
    </w:pPr>
  </w:style>
  <w:style w:type="paragraph" w:customStyle="1" w:styleId="TableNumber2">
    <w:name w:val="Table Number 2"/>
    <w:basedOn w:val="TableNumber"/>
    <w:uiPriority w:val="5"/>
    <w:qFormat/>
    <w:rsid w:val="00715AFA"/>
    <w:pPr>
      <w:numPr>
        <w:ilvl w:val="1"/>
      </w:numPr>
    </w:pPr>
  </w:style>
  <w:style w:type="paragraph" w:customStyle="1" w:styleId="TableNumber">
    <w:name w:val="Table Number"/>
    <w:basedOn w:val="TableText"/>
    <w:qFormat/>
    <w:rsid w:val="007F4F29"/>
    <w:pPr>
      <w:numPr>
        <w:numId w:val="11"/>
      </w:numPr>
    </w:pPr>
    <w:rPr>
      <w:rFonts w:eastAsia="Cordia New" w:cs="Tw Cen MT"/>
      <w:szCs w:val="22"/>
      <w:lang w:eastAsia="en-US"/>
    </w:rPr>
  </w:style>
  <w:style w:type="numbering" w:customStyle="1" w:styleId="TableBullets">
    <w:name w:val="TableBullets"/>
    <w:uiPriority w:val="99"/>
    <w:rsid w:val="00FF4CEA"/>
    <w:pPr>
      <w:numPr>
        <w:numId w:val="4"/>
      </w:numPr>
    </w:pPr>
  </w:style>
  <w:style w:type="numbering" w:customStyle="1" w:styleId="TableBullet0">
    <w:name w:val="TableBullet"/>
    <w:uiPriority w:val="99"/>
    <w:rsid w:val="00FF4CEA"/>
    <w:pPr>
      <w:numPr>
        <w:numId w:val="5"/>
      </w:numPr>
    </w:pPr>
  </w:style>
  <w:style w:type="numbering" w:customStyle="1" w:styleId="ListPara">
    <w:name w:val="ListPara"/>
    <w:uiPriority w:val="99"/>
    <w:rsid w:val="00FF4CEA"/>
    <w:pPr>
      <w:numPr>
        <w:numId w:val="6"/>
      </w:numPr>
    </w:pPr>
  </w:style>
  <w:style w:type="character" w:customStyle="1" w:styleId="TableTextChar">
    <w:name w:val="Table Text Char"/>
    <w:link w:val="TableText"/>
    <w:rsid w:val="00827E03"/>
    <w:rPr>
      <w:rFonts w:ascii="Rotis Serif Std" w:hAnsi="Rotis Serif Std"/>
      <w:sz w:val="20"/>
    </w:rPr>
  </w:style>
  <w:style w:type="numbering" w:customStyle="1" w:styleId="ListParagraph">
    <w:name w:val="List_Paragraph"/>
    <w:uiPriority w:val="99"/>
    <w:rsid w:val="00FF4CEA"/>
    <w:pPr>
      <w:numPr>
        <w:numId w:val="7"/>
      </w:numPr>
    </w:pPr>
  </w:style>
  <w:style w:type="paragraph" w:customStyle="1" w:styleId="TableNumber3">
    <w:name w:val="Table Number 3"/>
    <w:basedOn w:val="TableNumber2"/>
    <w:uiPriority w:val="5"/>
    <w:qFormat/>
    <w:rsid w:val="00715AFA"/>
    <w:pPr>
      <w:numPr>
        <w:ilvl w:val="2"/>
      </w:numPr>
    </w:pPr>
  </w:style>
  <w:style w:type="numbering" w:customStyle="1" w:styleId="ListTableNumber">
    <w:name w:val="List_TableNumber"/>
    <w:uiPriority w:val="99"/>
    <w:rsid w:val="00715AFA"/>
    <w:pPr>
      <w:numPr>
        <w:numId w:val="8"/>
      </w:numPr>
    </w:pPr>
  </w:style>
  <w:style w:type="table" w:styleId="Table3Deffects3">
    <w:name w:val="Table 3D effects 3"/>
    <w:basedOn w:val="TableNormal"/>
    <w:rsid w:val="00FF4CEA"/>
    <w:pPr>
      <w:spacing w:before="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C7EC4"/>
    <w:rPr>
      <w:rFonts w:ascii="Arial" w:hAnsi="Arial"/>
      <w:color w:val="auto"/>
      <w:u w:val="none"/>
    </w:rPr>
  </w:style>
  <w:style w:type="numbering" w:customStyle="1" w:styleId="ListInstruction">
    <w:name w:val="List_Instruction"/>
    <w:uiPriority w:val="99"/>
    <w:rsid w:val="00D51864"/>
    <w:pPr>
      <w:numPr>
        <w:numId w:val="13"/>
      </w:numPr>
    </w:pPr>
  </w:style>
  <w:style w:type="character" w:styleId="Emphasis">
    <w:name w:val="Emphasis"/>
    <w:aliases w:val="emphasis — italic"/>
    <w:qFormat/>
    <w:rsid w:val="00A21E1E"/>
    <w:rPr>
      <w:rFonts w:ascii="Rotis Serif Std" w:hAnsi="Rotis Serif Std"/>
      <w:i/>
      <w:iCs/>
    </w:rPr>
  </w:style>
  <w:style w:type="paragraph" w:customStyle="1" w:styleId="Highlightstables">
    <w:name w:val="Highlights tables"/>
    <w:basedOn w:val="TableText"/>
    <w:qFormat/>
    <w:rsid w:val="00587F3E"/>
    <w:pPr>
      <w:widowControl w:val="0"/>
      <w:spacing w:line="240" w:lineRule="auto"/>
      <w:jc w:val="center"/>
    </w:pPr>
    <w:rPr>
      <w:rFonts w:ascii="MetaBookLF-Roman" w:eastAsia="SimSun" w:hAnsi="MetaBookLF-Roman"/>
      <w:szCs w:val="18"/>
      <w:lang w:eastAsia="en-US"/>
    </w:rPr>
  </w:style>
  <w:style w:type="paragraph" w:customStyle="1" w:styleId="Districtaddressblock">
    <w:name w:val="District address block"/>
    <w:basedOn w:val="BodyText"/>
    <w:uiPriority w:val="42"/>
    <w:qFormat/>
    <w:rsid w:val="001A2BB0"/>
    <w:pPr>
      <w:spacing w:before="0"/>
    </w:pPr>
  </w:style>
  <w:style w:type="paragraph" w:customStyle="1" w:styleId="Tablehead">
    <w:name w:val="Table head"/>
    <w:basedOn w:val="Normal"/>
    <w:next w:val="Normal"/>
    <w:rsid w:val="00BC5554"/>
    <w:pPr>
      <w:spacing w:before="40" w:after="40" w:line="240" w:lineRule="auto"/>
    </w:pPr>
    <w:rPr>
      <w:rFonts w:ascii="MetaBoldLF-Roman" w:eastAsia="SimSun" w:hAnsi="MetaBoldLF-Roman"/>
    </w:rPr>
  </w:style>
  <w:style w:type="numbering" w:customStyle="1" w:styleId="ListBullets">
    <w:name w:val="ListBullets"/>
    <w:uiPriority w:val="99"/>
    <w:rsid w:val="001A2F8B"/>
    <w:pPr>
      <w:numPr>
        <w:numId w:val="16"/>
      </w:numPr>
    </w:pPr>
  </w:style>
  <w:style w:type="paragraph" w:customStyle="1" w:styleId="Authoritymember">
    <w:name w:val="Authority member"/>
    <w:basedOn w:val="Normal"/>
    <w:qFormat/>
    <w:rsid w:val="003D7892"/>
    <w:pPr>
      <w:spacing w:before="40" w:after="20"/>
      <w:ind w:left="227"/>
    </w:pPr>
    <w:rPr>
      <w:rFonts w:eastAsia="SimSun"/>
      <w:i/>
    </w:rPr>
  </w:style>
  <w:style w:type="paragraph" w:customStyle="1" w:styleId="Normallead-in">
    <w:name w:val="Normal lead-in"/>
    <w:basedOn w:val="Normal"/>
    <w:next w:val="ListBullet0"/>
    <w:rsid w:val="0065657E"/>
    <w:pPr>
      <w:keepNext/>
    </w:pPr>
    <w:rPr>
      <w:rFonts w:eastAsia="SimSun"/>
    </w:rPr>
  </w:style>
  <w:style w:type="paragraph" w:customStyle="1" w:styleId="Headingdistrictoffice">
    <w:name w:val="Heading district office"/>
    <w:basedOn w:val="Normal"/>
    <w:next w:val="Normal"/>
    <w:rsid w:val="00FD213B"/>
    <w:pPr>
      <w:spacing w:before="0" w:after="20" w:line="240" w:lineRule="auto"/>
    </w:pPr>
    <w:rPr>
      <w:rFonts w:ascii="MetaBoldLF-Roman" w:eastAsia="SimSun" w:hAnsi="MetaBoldLF-Roman"/>
      <w:sz w:val="22"/>
      <w:szCs w:val="22"/>
      <w:lang w:eastAsia="en-US"/>
    </w:rPr>
  </w:style>
  <w:style w:type="numbering" w:customStyle="1" w:styleId="BulletsList">
    <w:name w:val="BulletsList"/>
    <w:uiPriority w:val="99"/>
    <w:rsid w:val="0049501B"/>
    <w:pPr>
      <w:numPr>
        <w:numId w:val="17"/>
      </w:numPr>
    </w:pPr>
  </w:style>
  <w:style w:type="paragraph" w:customStyle="1" w:styleId="H2Appendix">
    <w:name w:val="H2 Appendix"/>
    <w:basedOn w:val="Heading2"/>
    <w:next w:val="Normal"/>
    <w:qFormat/>
    <w:rsid w:val="00F120D1"/>
    <w:pPr>
      <w:numPr>
        <w:ilvl w:val="0"/>
        <w:numId w:val="18"/>
      </w:numPr>
      <w:spacing w:before="320" w:after="180"/>
      <w:ind w:left="0" w:hanging="357"/>
    </w:pPr>
    <w:rPr>
      <w:rFonts w:eastAsia="MS Mincho" w:cs="MS Mincho"/>
      <w:color w:val="auto"/>
      <w:kern w:val="28"/>
      <w:sz w:val="32"/>
      <w:szCs w:val="36"/>
    </w:rPr>
  </w:style>
  <w:style w:type="paragraph" w:customStyle="1" w:styleId="Acronyms">
    <w:name w:val="Acronyms"/>
    <w:basedOn w:val="Normal"/>
    <w:qFormat/>
    <w:rsid w:val="00E64C91"/>
    <w:pPr>
      <w:tabs>
        <w:tab w:val="left" w:pos="1134"/>
      </w:tabs>
      <w:spacing w:before="0" w:after="180"/>
      <w:ind w:left="1134" w:hanging="1134"/>
    </w:pPr>
    <w:rPr>
      <w:rFonts w:eastAsia="SimSun"/>
      <w:sz w:val="20"/>
    </w:rPr>
  </w:style>
  <w:style w:type="paragraph" w:styleId="Revision">
    <w:name w:val="Revision"/>
    <w:hidden/>
    <w:uiPriority w:val="99"/>
    <w:semiHidden/>
    <w:rsid w:val="00F7355D"/>
    <w:pPr>
      <w:spacing w:before="0" w:line="240" w:lineRule="auto"/>
    </w:pPr>
  </w:style>
  <w:style w:type="paragraph" w:styleId="ListParagraph0">
    <w:name w:val="List Paragraph"/>
    <w:basedOn w:val="Normal"/>
    <w:uiPriority w:val="34"/>
    <w:qFormat/>
    <w:rsid w:val="00C70157"/>
    <w:pPr>
      <w:spacing w:before="0"/>
      <w:ind w:left="720"/>
      <w:contextualSpacing/>
    </w:pPr>
  </w:style>
  <w:style w:type="paragraph" w:customStyle="1" w:styleId="Chairsletter">
    <w:name w:val="Chair's letter"/>
    <w:basedOn w:val="BodyText"/>
    <w:uiPriority w:val="42"/>
    <w:qFormat/>
    <w:rsid w:val="000B6ECF"/>
    <w:pPr>
      <w:ind w:right="849"/>
    </w:pPr>
  </w:style>
  <w:style w:type="character" w:customStyle="1" w:styleId="emphasisbold">
    <w:name w:val="emphasis — bold"/>
    <w:uiPriority w:val="1"/>
    <w:qFormat/>
    <w:rsid w:val="00A21E1E"/>
    <w:rPr>
      <w:b/>
    </w:rPr>
  </w:style>
  <w:style w:type="character" w:customStyle="1" w:styleId="emphasisbolditalic">
    <w:name w:val="emphasis — bold italic"/>
    <w:uiPriority w:val="1"/>
    <w:qFormat/>
    <w:rsid w:val="00A21E1E"/>
    <w:rPr>
      <w:b/>
      <w:i/>
    </w:rPr>
  </w:style>
  <w:style w:type="paragraph" w:customStyle="1" w:styleId="mediumspace">
    <w:name w:val="_medium space"/>
    <w:basedOn w:val="smallspace"/>
    <w:qFormat/>
    <w:rsid w:val="00CC0F6A"/>
    <w:pPr>
      <w:spacing w:before="0" w:line="240" w:lineRule="auto"/>
    </w:pPr>
    <w:rPr>
      <w:sz w:val="16"/>
    </w:rPr>
  </w:style>
  <w:style w:type="paragraph" w:customStyle="1" w:styleId="H3Appendix">
    <w:name w:val="H3 Appendix"/>
    <w:basedOn w:val="H2Appendix"/>
    <w:uiPriority w:val="42"/>
    <w:qFormat/>
    <w:rsid w:val="00D96A68"/>
    <w:pPr>
      <w:numPr>
        <w:numId w:val="0"/>
      </w:numPr>
      <w:spacing w:before="200" w:after="100"/>
      <w:outlineLvl w:val="2"/>
    </w:pPr>
    <w:rPr>
      <w:sz w:val="22"/>
      <w:szCs w:val="28"/>
    </w:rPr>
  </w:style>
  <w:style w:type="paragraph" w:customStyle="1" w:styleId="TOCentry">
    <w:name w:val="TOC_entry"/>
    <w:basedOn w:val="mediumspace"/>
    <w:next w:val="BodyText"/>
    <w:uiPriority w:val="42"/>
    <w:qFormat/>
    <w:rsid w:val="00802EBC"/>
    <w:rPr>
      <w:sz w:val="12"/>
    </w:rPr>
  </w:style>
  <w:style w:type="paragraph" w:customStyle="1" w:styleId="Heading5nonavigation">
    <w:name w:val="Heading 5 no navigation"/>
    <w:next w:val="Normal"/>
    <w:uiPriority w:val="42"/>
    <w:rsid w:val="00463918"/>
    <w:pPr>
      <w:spacing w:before="160" w:after="40"/>
    </w:pPr>
    <w:rPr>
      <w:rFonts w:ascii="MetaBoldLF-Roman" w:hAnsi="MetaBoldLF-Roman"/>
      <w:bCs/>
      <w:iCs/>
      <w:sz w:val="20"/>
      <w:szCs w:val="20"/>
    </w:rPr>
  </w:style>
  <w:style w:type="table" w:styleId="Table3Deffects1">
    <w:name w:val="Table 3D effects 1"/>
    <w:basedOn w:val="TableNormal"/>
    <w:rsid w:val="00772C6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EndnoteText">
    <w:name w:val="endnote text"/>
    <w:basedOn w:val="Normal"/>
    <w:link w:val="EndnoteTextChar"/>
    <w:uiPriority w:val="99"/>
    <w:semiHidden/>
    <w:rsid w:val="00AF1BB7"/>
    <w:pPr>
      <w:spacing w:before="0" w:line="240" w:lineRule="auto"/>
    </w:pPr>
    <w:rPr>
      <w:sz w:val="20"/>
      <w:szCs w:val="20"/>
    </w:rPr>
  </w:style>
  <w:style w:type="paragraph" w:styleId="BodyText3">
    <w:name w:val="Body Text 3"/>
    <w:basedOn w:val="Normal"/>
    <w:link w:val="BodyText3Char"/>
    <w:uiPriority w:val="99"/>
    <w:semiHidden/>
    <w:rsid w:val="005D4422"/>
    <w:pPr>
      <w:spacing w:after="120"/>
    </w:pPr>
    <w:rPr>
      <w:sz w:val="16"/>
      <w:szCs w:val="16"/>
    </w:rPr>
  </w:style>
  <w:style w:type="character" w:customStyle="1" w:styleId="BodyText3Char">
    <w:name w:val="Body Text 3 Char"/>
    <w:basedOn w:val="DefaultParagraphFont"/>
    <w:link w:val="BodyText3"/>
    <w:uiPriority w:val="99"/>
    <w:semiHidden/>
    <w:rsid w:val="005D4422"/>
    <w:rPr>
      <w:rFonts w:ascii="Rotis Serif Std" w:hAnsi="Rotis Serif Std"/>
      <w:sz w:val="16"/>
      <w:szCs w:val="16"/>
    </w:rPr>
  </w:style>
  <w:style w:type="paragraph" w:customStyle="1" w:styleId="Bodytextlead-in">
    <w:name w:val="Body text lead-in"/>
    <w:basedOn w:val="BodyText"/>
    <w:uiPriority w:val="42"/>
    <w:qFormat/>
    <w:rsid w:val="005D4422"/>
    <w:pPr>
      <w:keepNext/>
    </w:pPr>
  </w:style>
  <w:style w:type="character" w:customStyle="1" w:styleId="EndnoteTextChar">
    <w:name w:val="Endnote Text Char"/>
    <w:basedOn w:val="DefaultParagraphFont"/>
    <w:link w:val="EndnoteText"/>
    <w:uiPriority w:val="99"/>
    <w:semiHidden/>
    <w:rsid w:val="00AF1BB7"/>
    <w:rPr>
      <w:rFonts w:ascii="Rotis Serif Std" w:hAnsi="Rotis Serif Std"/>
      <w:sz w:val="20"/>
      <w:szCs w:val="20"/>
    </w:rPr>
  </w:style>
  <w:style w:type="character" w:styleId="EndnoteReference">
    <w:name w:val="endnote reference"/>
    <w:basedOn w:val="DefaultParagraphFont"/>
    <w:uiPriority w:val="99"/>
    <w:semiHidden/>
    <w:rsid w:val="00AF1BB7"/>
    <w:rPr>
      <w:vertAlign w:val="superscript"/>
    </w:rPr>
  </w:style>
  <w:style w:type="character" w:customStyle="1" w:styleId="hi-lite">
    <w:name w:val="hi-lite"/>
    <w:uiPriority w:val="8"/>
    <w:qFormat/>
    <w:rPr>
      <w:bdr w:val="none" w:sz="0" w:space="0" w:color="auto"/>
      <w:shd w:val="clear" w:color="auto" w:fill="90ECE1"/>
    </w:rPr>
  </w:style>
  <w:style w:type="paragraph" w:customStyle="1" w:styleId="Heading2Financials">
    <w:name w:val="Heading 2 Financials"/>
    <w:basedOn w:val="Heading2"/>
    <w:next w:val="BodyText"/>
    <w:uiPriority w:val="42"/>
    <w:qFormat/>
    <w:rsid w:val="00797E13"/>
    <w:pPr>
      <w:spacing w:before="0" w:after="0"/>
    </w:pPr>
  </w:style>
  <w:style w:type="paragraph" w:customStyle="1" w:styleId="FinH3">
    <w:name w:val="Fin H3"/>
    <w:basedOn w:val="Normal"/>
    <w:next w:val="Finnormal"/>
    <w:uiPriority w:val="42"/>
    <w:qFormat/>
    <w:rsid w:val="004526D5"/>
    <w:pPr>
      <w:numPr>
        <w:numId w:val="32"/>
      </w:numPr>
      <w:tabs>
        <w:tab w:val="left" w:pos="284"/>
        <w:tab w:val="left" w:pos="851"/>
      </w:tabs>
      <w:spacing w:before="120" w:after="120" w:line="240" w:lineRule="auto"/>
    </w:pPr>
    <w:rPr>
      <w:rFonts w:ascii="Arial" w:hAnsi="Arial" w:cs="Arial"/>
      <w:b/>
      <w:sz w:val="20"/>
      <w:szCs w:val="16"/>
    </w:rPr>
  </w:style>
  <w:style w:type="paragraph" w:customStyle="1" w:styleId="Finnormal">
    <w:name w:val="Fin normal"/>
    <w:basedOn w:val="Normal"/>
    <w:uiPriority w:val="42"/>
    <w:qFormat/>
    <w:rsid w:val="003B1306"/>
    <w:pPr>
      <w:tabs>
        <w:tab w:val="left" w:pos="284"/>
        <w:tab w:val="left" w:pos="851"/>
      </w:tabs>
      <w:spacing w:after="80" w:line="240" w:lineRule="auto"/>
    </w:pPr>
    <w:rPr>
      <w:rFonts w:ascii="Arial" w:hAnsi="Arial" w:cs="Arial"/>
      <w:sz w:val="16"/>
      <w:szCs w:val="16"/>
    </w:rPr>
  </w:style>
  <w:style w:type="paragraph" w:customStyle="1" w:styleId="FinH4">
    <w:name w:val="Fin H4"/>
    <w:basedOn w:val="ListParagraph0"/>
    <w:uiPriority w:val="42"/>
    <w:qFormat/>
    <w:rsid w:val="00342F5E"/>
    <w:pPr>
      <w:numPr>
        <w:ilvl w:val="1"/>
        <w:numId w:val="32"/>
      </w:numPr>
      <w:spacing w:before="60" w:after="20" w:line="240" w:lineRule="auto"/>
      <w:ind w:right="-227"/>
    </w:pPr>
    <w:rPr>
      <w:rFonts w:ascii="Arial" w:hAnsi="Arial" w:cs="Arial"/>
      <w:b/>
      <w:sz w:val="18"/>
      <w:szCs w:val="16"/>
    </w:rPr>
  </w:style>
  <w:style w:type="paragraph" w:customStyle="1" w:styleId="Finnormalindent">
    <w:name w:val="Fin normal indent"/>
    <w:basedOn w:val="Normal"/>
    <w:uiPriority w:val="42"/>
    <w:qFormat/>
    <w:rsid w:val="00A021CB"/>
    <w:pPr>
      <w:spacing w:before="60"/>
      <w:ind w:left="567"/>
    </w:pPr>
    <w:rPr>
      <w:rFonts w:ascii="Arial" w:hAnsi="Arial" w:cs="Arial"/>
      <w:sz w:val="16"/>
      <w:szCs w:val="16"/>
    </w:rPr>
  </w:style>
  <w:style w:type="paragraph" w:customStyle="1" w:styleId="FinH5">
    <w:name w:val="Fin H5"/>
    <w:basedOn w:val="Finnormalindent"/>
    <w:uiPriority w:val="42"/>
    <w:qFormat/>
    <w:rsid w:val="00657533"/>
    <w:pPr>
      <w:numPr>
        <w:ilvl w:val="2"/>
        <w:numId w:val="32"/>
      </w:numPr>
    </w:pPr>
    <w:rPr>
      <w:i/>
    </w:rPr>
  </w:style>
  <w:style w:type="paragraph" w:customStyle="1" w:styleId="Heading2Financialfollower">
    <w:name w:val="Heading 2 Financial follower"/>
    <w:basedOn w:val="Heading2Financials"/>
    <w:next w:val="BodyText"/>
    <w:uiPriority w:val="42"/>
    <w:qFormat/>
    <w:rsid w:val="009D2836"/>
    <w:pPr>
      <w:spacing w:after="240"/>
      <w:outlineLvl w:val="9"/>
    </w:pPr>
    <w:rPr>
      <w:sz w:val="32"/>
    </w:rPr>
  </w:style>
  <w:style w:type="paragraph" w:customStyle="1" w:styleId="FinF4continuation">
    <w:name w:val="FinF4 continuation"/>
    <w:basedOn w:val="Normal"/>
    <w:uiPriority w:val="42"/>
    <w:qFormat/>
    <w:rsid w:val="00342F5E"/>
    <w:pPr>
      <w:ind w:left="153" w:right="-284"/>
    </w:pPr>
    <w:rPr>
      <w:rFonts w:asciiTheme="majorHAnsi" w:hAnsiTheme="majorHAnsi" w:cstheme="majorHAnsi"/>
      <w:b/>
      <w:sz w:val="18"/>
      <w:szCs w:val="16"/>
    </w:rPr>
  </w:style>
  <w:style w:type="paragraph" w:customStyle="1" w:styleId="FinF3continuation">
    <w:name w:val="FinF3 continuation"/>
    <w:basedOn w:val="FinF4continuation"/>
    <w:uiPriority w:val="42"/>
    <w:qFormat/>
    <w:rsid w:val="00342F5E"/>
    <w:pPr>
      <w:keepNext/>
      <w:spacing w:before="20" w:after="120"/>
      <w:ind w:left="0" w:right="-397"/>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8012">
      <w:bodyDiv w:val="1"/>
      <w:marLeft w:val="0"/>
      <w:marRight w:val="0"/>
      <w:marTop w:val="0"/>
      <w:marBottom w:val="0"/>
      <w:divBdr>
        <w:top w:val="none" w:sz="0" w:space="0" w:color="auto"/>
        <w:left w:val="none" w:sz="0" w:space="0" w:color="auto"/>
        <w:bottom w:val="none" w:sz="0" w:space="0" w:color="auto"/>
        <w:right w:val="none" w:sz="0" w:space="0" w:color="auto"/>
      </w:divBdr>
    </w:div>
    <w:div w:id="83890761">
      <w:bodyDiv w:val="1"/>
      <w:marLeft w:val="0"/>
      <w:marRight w:val="0"/>
      <w:marTop w:val="0"/>
      <w:marBottom w:val="0"/>
      <w:divBdr>
        <w:top w:val="none" w:sz="0" w:space="0" w:color="auto"/>
        <w:left w:val="none" w:sz="0" w:space="0" w:color="auto"/>
        <w:bottom w:val="none" w:sz="0" w:space="0" w:color="auto"/>
        <w:right w:val="none" w:sz="0" w:space="0" w:color="auto"/>
      </w:divBdr>
    </w:div>
    <w:div w:id="247545419">
      <w:bodyDiv w:val="1"/>
      <w:marLeft w:val="0"/>
      <w:marRight w:val="0"/>
      <w:marTop w:val="0"/>
      <w:marBottom w:val="0"/>
      <w:divBdr>
        <w:top w:val="none" w:sz="0" w:space="0" w:color="auto"/>
        <w:left w:val="none" w:sz="0" w:space="0" w:color="auto"/>
        <w:bottom w:val="none" w:sz="0" w:space="0" w:color="auto"/>
        <w:right w:val="none" w:sz="0" w:space="0" w:color="auto"/>
      </w:divBdr>
    </w:div>
    <w:div w:id="316888328">
      <w:bodyDiv w:val="1"/>
      <w:marLeft w:val="0"/>
      <w:marRight w:val="0"/>
      <w:marTop w:val="0"/>
      <w:marBottom w:val="0"/>
      <w:divBdr>
        <w:top w:val="none" w:sz="0" w:space="0" w:color="auto"/>
        <w:left w:val="none" w:sz="0" w:space="0" w:color="auto"/>
        <w:bottom w:val="none" w:sz="0" w:space="0" w:color="auto"/>
        <w:right w:val="none" w:sz="0" w:space="0" w:color="auto"/>
      </w:divBdr>
    </w:div>
    <w:div w:id="489442079">
      <w:bodyDiv w:val="1"/>
      <w:marLeft w:val="0"/>
      <w:marRight w:val="0"/>
      <w:marTop w:val="0"/>
      <w:marBottom w:val="0"/>
      <w:divBdr>
        <w:top w:val="none" w:sz="0" w:space="0" w:color="auto"/>
        <w:left w:val="none" w:sz="0" w:space="0" w:color="auto"/>
        <w:bottom w:val="none" w:sz="0" w:space="0" w:color="auto"/>
        <w:right w:val="none" w:sz="0" w:space="0" w:color="auto"/>
      </w:divBdr>
    </w:div>
    <w:div w:id="582301391">
      <w:bodyDiv w:val="1"/>
      <w:marLeft w:val="0"/>
      <w:marRight w:val="0"/>
      <w:marTop w:val="0"/>
      <w:marBottom w:val="0"/>
      <w:divBdr>
        <w:top w:val="none" w:sz="0" w:space="0" w:color="auto"/>
        <w:left w:val="none" w:sz="0" w:space="0" w:color="auto"/>
        <w:bottom w:val="none" w:sz="0" w:space="0" w:color="auto"/>
        <w:right w:val="none" w:sz="0" w:space="0" w:color="auto"/>
      </w:divBdr>
    </w:div>
    <w:div w:id="782573751">
      <w:bodyDiv w:val="1"/>
      <w:marLeft w:val="0"/>
      <w:marRight w:val="0"/>
      <w:marTop w:val="0"/>
      <w:marBottom w:val="0"/>
      <w:divBdr>
        <w:top w:val="none" w:sz="0" w:space="0" w:color="auto"/>
        <w:left w:val="none" w:sz="0" w:space="0" w:color="auto"/>
        <w:bottom w:val="none" w:sz="0" w:space="0" w:color="auto"/>
        <w:right w:val="none" w:sz="0" w:space="0" w:color="auto"/>
      </w:divBdr>
    </w:div>
    <w:div w:id="864751118">
      <w:bodyDiv w:val="1"/>
      <w:marLeft w:val="0"/>
      <w:marRight w:val="0"/>
      <w:marTop w:val="0"/>
      <w:marBottom w:val="0"/>
      <w:divBdr>
        <w:top w:val="none" w:sz="0" w:space="0" w:color="auto"/>
        <w:left w:val="none" w:sz="0" w:space="0" w:color="auto"/>
        <w:bottom w:val="none" w:sz="0" w:space="0" w:color="auto"/>
        <w:right w:val="none" w:sz="0" w:space="0" w:color="auto"/>
      </w:divBdr>
    </w:div>
    <w:div w:id="868371202">
      <w:bodyDiv w:val="1"/>
      <w:marLeft w:val="0"/>
      <w:marRight w:val="0"/>
      <w:marTop w:val="0"/>
      <w:marBottom w:val="0"/>
      <w:divBdr>
        <w:top w:val="none" w:sz="0" w:space="0" w:color="auto"/>
        <w:left w:val="none" w:sz="0" w:space="0" w:color="auto"/>
        <w:bottom w:val="none" w:sz="0" w:space="0" w:color="auto"/>
        <w:right w:val="none" w:sz="0" w:space="0" w:color="auto"/>
      </w:divBdr>
    </w:div>
    <w:div w:id="932932172">
      <w:bodyDiv w:val="1"/>
      <w:marLeft w:val="0"/>
      <w:marRight w:val="0"/>
      <w:marTop w:val="0"/>
      <w:marBottom w:val="0"/>
      <w:divBdr>
        <w:top w:val="none" w:sz="0" w:space="0" w:color="auto"/>
        <w:left w:val="none" w:sz="0" w:space="0" w:color="auto"/>
        <w:bottom w:val="none" w:sz="0" w:space="0" w:color="auto"/>
        <w:right w:val="none" w:sz="0" w:space="0" w:color="auto"/>
      </w:divBdr>
    </w:div>
    <w:div w:id="941451203">
      <w:bodyDiv w:val="1"/>
      <w:marLeft w:val="0"/>
      <w:marRight w:val="0"/>
      <w:marTop w:val="0"/>
      <w:marBottom w:val="0"/>
      <w:divBdr>
        <w:top w:val="none" w:sz="0" w:space="0" w:color="auto"/>
        <w:left w:val="none" w:sz="0" w:space="0" w:color="auto"/>
        <w:bottom w:val="none" w:sz="0" w:space="0" w:color="auto"/>
        <w:right w:val="none" w:sz="0" w:space="0" w:color="auto"/>
      </w:divBdr>
    </w:div>
    <w:div w:id="944271657">
      <w:bodyDiv w:val="1"/>
      <w:marLeft w:val="0"/>
      <w:marRight w:val="0"/>
      <w:marTop w:val="0"/>
      <w:marBottom w:val="0"/>
      <w:divBdr>
        <w:top w:val="none" w:sz="0" w:space="0" w:color="auto"/>
        <w:left w:val="none" w:sz="0" w:space="0" w:color="auto"/>
        <w:bottom w:val="none" w:sz="0" w:space="0" w:color="auto"/>
        <w:right w:val="none" w:sz="0" w:space="0" w:color="auto"/>
      </w:divBdr>
    </w:div>
    <w:div w:id="1004867069">
      <w:bodyDiv w:val="1"/>
      <w:marLeft w:val="0"/>
      <w:marRight w:val="0"/>
      <w:marTop w:val="0"/>
      <w:marBottom w:val="0"/>
      <w:divBdr>
        <w:top w:val="none" w:sz="0" w:space="0" w:color="auto"/>
        <w:left w:val="none" w:sz="0" w:space="0" w:color="auto"/>
        <w:bottom w:val="none" w:sz="0" w:space="0" w:color="auto"/>
        <w:right w:val="none" w:sz="0" w:space="0" w:color="auto"/>
      </w:divBdr>
    </w:div>
    <w:div w:id="1052539934">
      <w:bodyDiv w:val="1"/>
      <w:marLeft w:val="0"/>
      <w:marRight w:val="0"/>
      <w:marTop w:val="0"/>
      <w:marBottom w:val="0"/>
      <w:divBdr>
        <w:top w:val="none" w:sz="0" w:space="0" w:color="auto"/>
        <w:left w:val="none" w:sz="0" w:space="0" w:color="auto"/>
        <w:bottom w:val="none" w:sz="0" w:space="0" w:color="auto"/>
        <w:right w:val="none" w:sz="0" w:space="0" w:color="auto"/>
      </w:divBdr>
    </w:div>
    <w:div w:id="1179352175">
      <w:bodyDiv w:val="1"/>
      <w:marLeft w:val="0"/>
      <w:marRight w:val="0"/>
      <w:marTop w:val="0"/>
      <w:marBottom w:val="0"/>
      <w:divBdr>
        <w:top w:val="none" w:sz="0" w:space="0" w:color="auto"/>
        <w:left w:val="none" w:sz="0" w:space="0" w:color="auto"/>
        <w:bottom w:val="none" w:sz="0" w:space="0" w:color="auto"/>
        <w:right w:val="none" w:sz="0" w:space="0" w:color="auto"/>
      </w:divBdr>
    </w:div>
    <w:div w:id="1265191668">
      <w:bodyDiv w:val="1"/>
      <w:marLeft w:val="0"/>
      <w:marRight w:val="0"/>
      <w:marTop w:val="0"/>
      <w:marBottom w:val="0"/>
      <w:divBdr>
        <w:top w:val="none" w:sz="0" w:space="0" w:color="auto"/>
        <w:left w:val="none" w:sz="0" w:space="0" w:color="auto"/>
        <w:bottom w:val="none" w:sz="0" w:space="0" w:color="auto"/>
        <w:right w:val="none" w:sz="0" w:space="0" w:color="auto"/>
      </w:divBdr>
    </w:div>
    <w:div w:id="1310401684">
      <w:bodyDiv w:val="1"/>
      <w:marLeft w:val="0"/>
      <w:marRight w:val="0"/>
      <w:marTop w:val="0"/>
      <w:marBottom w:val="0"/>
      <w:divBdr>
        <w:top w:val="none" w:sz="0" w:space="0" w:color="auto"/>
        <w:left w:val="none" w:sz="0" w:space="0" w:color="auto"/>
        <w:bottom w:val="none" w:sz="0" w:space="0" w:color="auto"/>
        <w:right w:val="none" w:sz="0" w:space="0" w:color="auto"/>
      </w:divBdr>
    </w:div>
    <w:div w:id="1322003527">
      <w:bodyDiv w:val="1"/>
      <w:marLeft w:val="0"/>
      <w:marRight w:val="0"/>
      <w:marTop w:val="0"/>
      <w:marBottom w:val="0"/>
      <w:divBdr>
        <w:top w:val="none" w:sz="0" w:space="0" w:color="auto"/>
        <w:left w:val="none" w:sz="0" w:space="0" w:color="auto"/>
        <w:bottom w:val="none" w:sz="0" w:space="0" w:color="auto"/>
        <w:right w:val="none" w:sz="0" w:space="0" w:color="auto"/>
      </w:divBdr>
    </w:div>
    <w:div w:id="1347950484">
      <w:bodyDiv w:val="1"/>
      <w:marLeft w:val="0"/>
      <w:marRight w:val="0"/>
      <w:marTop w:val="0"/>
      <w:marBottom w:val="0"/>
      <w:divBdr>
        <w:top w:val="none" w:sz="0" w:space="0" w:color="auto"/>
        <w:left w:val="none" w:sz="0" w:space="0" w:color="auto"/>
        <w:bottom w:val="none" w:sz="0" w:space="0" w:color="auto"/>
        <w:right w:val="none" w:sz="0" w:space="0" w:color="auto"/>
      </w:divBdr>
    </w:div>
    <w:div w:id="1439061034">
      <w:bodyDiv w:val="1"/>
      <w:marLeft w:val="0"/>
      <w:marRight w:val="0"/>
      <w:marTop w:val="0"/>
      <w:marBottom w:val="0"/>
      <w:divBdr>
        <w:top w:val="none" w:sz="0" w:space="0" w:color="auto"/>
        <w:left w:val="none" w:sz="0" w:space="0" w:color="auto"/>
        <w:bottom w:val="none" w:sz="0" w:space="0" w:color="auto"/>
        <w:right w:val="none" w:sz="0" w:space="0" w:color="auto"/>
      </w:divBdr>
    </w:div>
    <w:div w:id="1460951439">
      <w:bodyDiv w:val="1"/>
      <w:marLeft w:val="0"/>
      <w:marRight w:val="0"/>
      <w:marTop w:val="0"/>
      <w:marBottom w:val="0"/>
      <w:divBdr>
        <w:top w:val="none" w:sz="0" w:space="0" w:color="auto"/>
        <w:left w:val="none" w:sz="0" w:space="0" w:color="auto"/>
        <w:bottom w:val="none" w:sz="0" w:space="0" w:color="auto"/>
        <w:right w:val="none" w:sz="0" w:space="0" w:color="auto"/>
      </w:divBdr>
    </w:div>
    <w:div w:id="1508524245">
      <w:bodyDiv w:val="1"/>
      <w:marLeft w:val="0"/>
      <w:marRight w:val="0"/>
      <w:marTop w:val="0"/>
      <w:marBottom w:val="0"/>
      <w:divBdr>
        <w:top w:val="none" w:sz="0" w:space="0" w:color="auto"/>
        <w:left w:val="none" w:sz="0" w:space="0" w:color="auto"/>
        <w:bottom w:val="none" w:sz="0" w:space="0" w:color="auto"/>
        <w:right w:val="none" w:sz="0" w:space="0" w:color="auto"/>
      </w:divBdr>
    </w:div>
    <w:div w:id="1620800849">
      <w:bodyDiv w:val="1"/>
      <w:marLeft w:val="0"/>
      <w:marRight w:val="0"/>
      <w:marTop w:val="0"/>
      <w:marBottom w:val="0"/>
      <w:divBdr>
        <w:top w:val="none" w:sz="0" w:space="0" w:color="auto"/>
        <w:left w:val="none" w:sz="0" w:space="0" w:color="auto"/>
        <w:bottom w:val="none" w:sz="0" w:space="0" w:color="auto"/>
        <w:right w:val="none" w:sz="0" w:space="0" w:color="auto"/>
      </w:divBdr>
    </w:div>
    <w:div w:id="1902598390">
      <w:bodyDiv w:val="1"/>
      <w:marLeft w:val="0"/>
      <w:marRight w:val="0"/>
      <w:marTop w:val="0"/>
      <w:marBottom w:val="0"/>
      <w:divBdr>
        <w:top w:val="none" w:sz="0" w:space="0" w:color="auto"/>
        <w:left w:val="none" w:sz="0" w:space="0" w:color="auto"/>
        <w:bottom w:val="none" w:sz="0" w:space="0" w:color="auto"/>
        <w:right w:val="none" w:sz="0" w:space="0" w:color="auto"/>
      </w:divBdr>
    </w:div>
    <w:div w:id="202624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footer" Target="footer8.xml"/><Relationship Id="rId21" Type="http://schemas.openxmlformats.org/officeDocument/2006/relationships/footer" Target="footer3.xml"/><Relationship Id="rId34" Type="http://schemas.openxmlformats.org/officeDocument/2006/relationships/image" Target="media/image6.png"/><Relationship Id="rId42" Type="http://schemas.openxmlformats.org/officeDocument/2006/relationships/header" Target="header10.xml"/><Relationship Id="rId47" Type="http://schemas.openxmlformats.org/officeDocument/2006/relationships/image" Target="media/image11.png"/><Relationship Id="rId50" Type="http://schemas.openxmlformats.org/officeDocument/2006/relationships/footer" Target="footer12.xml"/><Relationship Id="rId55" Type="http://schemas.openxmlformats.org/officeDocument/2006/relationships/hyperlink" Target="mailto:UMackayOffice@qsa.qld.edu.au" TargetMode="External"/><Relationship Id="rId63" Type="http://schemas.openxmlformats.org/officeDocument/2006/relationships/hyperlink" Target="mailto:UTownsvilleOffice@qsa.qld.edu.au" TargetMode="External"/><Relationship Id="rId68" Type="http://schemas.openxmlformats.org/officeDocument/2006/relationships/header" Target="header16.xml"/><Relationship Id="rId76" Type="http://schemas.openxmlformats.org/officeDocument/2006/relationships/header" Target="header20.xml"/><Relationship Id="rId7" Type="http://schemas.openxmlformats.org/officeDocument/2006/relationships/numbering" Target="numbering.xml"/><Relationship Id="rId71"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7.xml"/><Relationship Id="rId11" Type="http://schemas.openxmlformats.org/officeDocument/2006/relationships/webSettings" Target="webSettings.xml"/><Relationship Id="rId24" Type="http://schemas.openxmlformats.org/officeDocument/2006/relationships/hyperlink" Target="http://www.qcaa.qld.edu.au/624.html" TargetMode="External"/><Relationship Id="rId32" Type="http://schemas.openxmlformats.org/officeDocument/2006/relationships/footer" Target="footer6.xml"/><Relationship Id="rId37" Type="http://schemas.openxmlformats.org/officeDocument/2006/relationships/hyperlink" Target="http://www.qcaa.qld.edu.au" TargetMode="External"/><Relationship Id="rId40" Type="http://schemas.openxmlformats.org/officeDocument/2006/relationships/footer" Target="footer9.xml"/><Relationship Id="rId45" Type="http://schemas.openxmlformats.org/officeDocument/2006/relationships/image" Target="media/image9.png"/><Relationship Id="rId53" Type="http://schemas.openxmlformats.org/officeDocument/2006/relationships/header" Target="header14.xml"/><Relationship Id="rId58" Type="http://schemas.openxmlformats.org/officeDocument/2006/relationships/hyperlink" Target="mailto:UBrisbaneEastOffice@qsa.qld.edu.au" TargetMode="External"/><Relationship Id="rId66" Type="http://schemas.openxmlformats.org/officeDocument/2006/relationships/hyperlink" Target="mailto:UGoldCoastOffice@qsa.qld.edu.au" TargetMode="External"/><Relationship Id="rId74" Type="http://schemas.openxmlformats.org/officeDocument/2006/relationships/footer" Target="footer16.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mailto:UToowoombaOffice@qsa.qld.edu.au" TargetMode="Externa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footer" Target="footer11.xml"/><Relationship Id="rId52" Type="http://schemas.openxmlformats.org/officeDocument/2006/relationships/hyperlink" Target="http://www.qld.gov.au/data" TargetMode="External"/><Relationship Id="rId60" Type="http://schemas.openxmlformats.org/officeDocument/2006/relationships/hyperlink" Target="mailto:UBrisbaneSouthOffice@qsa.qld.edu.au" TargetMode="External"/><Relationship Id="rId65" Type="http://schemas.openxmlformats.org/officeDocument/2006/relationships/hyperlink" Target="mailto:UWideBayOffice@qsa.qld.edu.au" TargetMode="External"/><Relationship Id="rId73" Type="http://schemas.openxmlformats.org/officeDocument/2006/relationships/header" Target="header19.xml"/><Relationship Id="rId78" Type="http://schemas.openxmlformats.org/officeDocument/2006/relationships/glossaryDocument" Target="glossary/document.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www.qcaa.qld.edu.au/624.html" TargetMode="External"/><Relationship Id="rId30" Type="http://schemas.openxmlformats.org/officeDocument/2006/relationships/header" Target="header8.xml"/><Relationship Id="rId35" Type="http://schemas.openxmlformats.org/officeDocument/2006/relationships/image" Target="media/image7.jpeg"/><Relationship Id="rId43" Type="http://schemas.openxmlformats.org/officeDocument/2006/relationships/header" Target="header11.xml"/><Relationship Id="rId48" Type="http://schemas.openxmlformats.org/officeDocument/2006/relationships/header" Target="header12.xml"/><Relationship Id="rId56" Type="http://schemas.openxmlformats.org/officeDocument/2006/relationships/hyperlink" Target="mailto:UBrisbaneNorthOffice@qsa.qld.edu.au" TargetMode="External"/><Relationship Id="rId64" Type="http://schemas.openxmlformats.org/officeDocument/2006/relationships/hyperlink" Target="mailto:UCairnsOffice@qsa.qld.edu.au" TargetMode="External"/><Relationship Id="rId69" Type="http://schemas.openxmlformats.org/officeDocument/2006/relationships/footer" Target="footer14.xm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footer" Target="footer13.xml"/><Relationship Id="rId72"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3.tiff"/><Relationship Id="rId33" Type="http://schemas.openxmlformats.org/officeDocument/2006/relationships/header" Target="header9.xml"/><Relationship Id="rId38" Type="http://schemas.openxmlformats.org/officeDocument/2006/relationships/footer" Target="footer7.xml"/><Relationship Id="rId46" Type="http://schemas.openxmlformats.org/officeDocument/2006/relationships/image" Target="media/image10.png"/><Relationship Id="rId59" Type="http://schemas.openxmlformats.org/officeDocument/2006/relationships/hyperlink" Target="mailto:USunshineCoastOffice@qsa.qld.edu.au" TargetMode="External"/><Relationship Id="rId67" Type="http://schemas.openxmlformats.org/officeDocument/2006/relationships/header" Target="header15.xml"/><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hyperlink" Target="mailto:BrisbaneCentralOffice@qsa.qld.edu.au" TargetMode="External"/><Relationship Id="rId62" Type="http://schemas.openxmlformats.org/officeDocument/2006/relationships/hyperlink" Target="mailto:UBrisbaneIpswichOffice@qsa.qld.edu.au" TargetMode="External"/><Relationship Id="rId70" Type="http://schemas.openxmlformats.org/officeDocument/2006/relationships/footer" Target="footer15.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5.jpg"/><Relationship Id="rId36" Type="http://schemas.openxmlformats.org/officeDocument/2006/relationships/hyperlink" Target="mailto:finance@qcaa.qld.edu.au" TargetMode="External"/><Relationship Id="rId49" Type="http://schemas.openxmlformats.org/officeDocument/2006/relationships/header" Target="header13.xml"/><Relationship Id="rId57" Type="http://schemas.openxmlformats.org/officeDocument/2006/relationships/hyperlink" Target="mailto:URockhamptonOffice@qsa.qld.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10.xml.rels><?xml version="1.0" encoding="UTF-8" standalone="yes"?>
<Relationships xmlns="http://schemas.openxmlformats.org/package/2006/relationships"><Relationship Id="rId1" Type="http://schemas.openxmlformats.org/officeDocument/2006/relationships/image" Target="media/image8.jpg"/></Relationships>
</file>

<file path=word/_rels/footer11.xml.rels><?xml version="1.0" encoding="UTF-8" standalone="yes"?>
<Relationships xmlns="http://schemas.openxmlformats.org/package/2006/relationships"><Relationship Id="rId1" Type="http://schemas.openxmlformats.org/officeDocument/2006/relationships/image" Target="media/image8.jpg"/></Relationships>
</file>

<file path=word/_rels/footer7.xml.rels><?xml version="1.0" encoding="UTF-8" standalone="yes"?>
<Relationships xmlns="http://schemas.openxmlformats.org/package/2006/relationships"><Relationship Id="rId1" Type="http://schemas.openxmlformats.org/officeDocument/2006/relationships/image" Target="media/image8.jpg"/></Relationships>
</file>

<file path=word/_rels/footer9.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7C21F7E7334138BA55CBF0639FBD01"/>
        <w:category>
          <w:name w:val="General"/>
          <w:gallery w:val="placeholder"/>
        </w:category>
        <w:types>
          <w:type w:val="bbPlcHdr"/>
        </w:types>
        <w:behaviors>
          <w:behavior w:val="content"/>
        </w:behaviors>
        <w:guid w:val="{E42BBC1D-CF88-4247-A8DA-218D0C4A2E51}"/>
      </w:docPartPr>
      <w:docPartBody>
        <w:p w:rsidR="006758B2" w:rsidRDefault="006758B2" w:rsidP="006758B2">
          <w:pPr>
            <w:pStyle w:val="E27C21F7E7334138BA55CBF0639FBD01"/>
          </w:pPr>
          <w:r w:rsidRPr="008714CB">
            <w:rPr>
              <w:rStyle w:val="TitleChar"/>
              <w:highlight w:val="lightGray"/>
            </w:rPr>
            <w:t>[</w:t>
          </w:r>
          <w:r>
            <w:rPr>
              <w:rStyle w:val="TitleChar"/>
              <w:highlight w:val="lightGray"/>
            </w:rPr>
            <w:t>E</w:t>
          </w:r>
          <w:r w:rsidRPr="008714CB">
            <w:rPr>
              <w:rStyle w:val="TitleChar"/>
              <w:highlight w:val="lightGray"/>
            </w:rPr>
            <w:t>nter title]</w:t>
          </w:r>
        </w:p>
      </w:docPartBody>
    </w:docPart>
    <w:docPart>
      <w:docPartPr>
        <w:name w:val="5D8613A0827A42339D70B59561BED5B5"/>
        <w:category>
          <w:name w:val="General"/>
          <w:gallery w:val="placeholder"/>
        </w:category>
        <w:types>
          <w:type w:val="bbPlcHdr"/>
        </w:types>
        <w:behaviors>
          <w:behavior w:val="content"/>
        </w:behaviors>
        <w:guid w:val="{4B235A72-6235-4794-B208-5FA4C2DA1CF5}"/>
      </w:docPartPr>
      <w:docPartBody>
        <w:p w:rsidR="006758B2" w:rsidRDefault="006758B2" w:rsidP="006758B2">
          <w:pPr>
            <w:pStyle w:val="5D8613A0827A42339D70B59561BED5B5"/>
          </w:pPr>
          <w:r w:rsidRPr="008714CB">
            <w:rPr>
              <w:highlight w:val="lightGray"/>
            </w:rPr>
            <w:t>[</w:t>
          </w:r>
          <w:r>
            <w:rPr>
              <w:highlight w:val="lightGray"/>
            </w:rPr>
            <w:t>E</w:t>
          </w:r>
          <w:r w:rsidRPr="008714CB">
            <w:rPr>
              <w:highlight w:val="lightGray"/>
            </w:rPr>
            <w:t>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etaBookLF-Roman">
    <w:altName w:val="Vrinda"/>
    <w:panose1 w:val="020B0502040000020004"/>
    <w:charset w:val="00"/>
    <w:family w:val="swiss"/>
    <w:pitch w:val="variable"/>
    <w:sig w:usb0="80000027" w:usb1="00000000" w:usb2="00000000" w:usb3="00000000" w:csb0="00000001" w:csb1="00000000"/>
  </w:font>
  <w:font w:name="Rotis Serif Std">
    <w:altName w:val="Times New Roman"/>
    <w:panose1 w:val="00000000000000000000"/>
    <w:charset w:val="00"/>
    <w:family w:val="roman"/>
    <w:notTrueType/>
    <w:pitch w:val="variable"/>
    <w:sig w:usb0="00000003" w:usb1="00000000" w:usb2="00000000" w:usb3="00000000" w:csb0="00000001" w:csb1="00000000"/>
  </w:font>
  <w:font w:name="MetaBoldLF-Roman">
    <w:altName w:val="Segoe UI Semibold"/>
    <w:panose1 w:val="020B0802030000020004"/>
    <w:charset w:val="00"/>
    <w:family w:val="swiss"/>
    <w:pitch w:val="variable"/>
    <w:sig w:usb0="80000027" w:usb1="00000000" w:usb2="00000000" w:usb3="00000000" w:csb0="00000001" w:csb1="00000000"/>
  </w:font>
  <w:font w:name="MetaBoldLF-Italic">
    <w:altName w:val="MV Boli"/>
    <w:panose1 w:val="020B0802030000090004"/>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w Cen MT">
    <w:panose1 w:val="020B0602020104020603"/>
    <w:charset w:val="00"/>
    <w:family w:val="swiss"/>
    <w:pitch w:val="variable"/>
    <w:sig w:usb0="00000007" w:usb1="00000000" w:usb2="00000000" w:usb3="00000000" w:csb0="00000003" w:csb1="00000000"/>
  </w:font>
  <w:font w:name="MetaBookLF-Italic">
    <w:altName w:val="MV Boli"/>
    <w:panose1 w:val="020B05020300000900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CF"/>
    <w:rsid w:val="00050BC6"/>
    <w:rsid w:val="00066FDA"/>
    <w:rsid w:val="00135EF4"/>
    <w:rsid w:val="001B2F4D"/>
    <w:rsid w:val="00263980"/>
    <w:rsid w:val="002675DD"/>
    <w:rsid w:val="002748BA"/>
    <w:rsid w:val="002842E1"/>
    <w:rsid w:val="002E348B"/>
    <w:rsid w:val="0032152C"/>
    <w:rsid w:val="003875BB"/>
    <w:rsid w:val="003E1DD5"/>
    <w:rsid w:val="003F6A74"/>
    <w:rsid w:val="00433432"/>
    <w:rsid w:val="00451739"/>
    <w:rsid w:val="004575BC"/>
    <w:rsid w:val="00466C06"/>
    <w:rsid w:val="00492681"/>
    <w:rsid w:val="004C6FAF"/>
    <w:rsid w:val="005972FE"/>
    <w:rsid w:val="005C3489"/>
    <w:rsid w:val="0064668D"/>
    <w:rsid w:val="006758B2"/>
    <w:rsid w:val="00691799"/>
    <w:rsid w:val="006A5D31"/>
    <w:rsid w:val="00721AAC"/>
    <w:rsid w:val="007E1CD5"/>
    <w:rsid w:val="00883CF5"/>
    <w:rsid w:val="008C7210"/>
    <w:rsid w:val="00912AFD"/>
    <w:rsid w:val="0095046E"/>
    <w:rsid w:val="009850EF"/>
    <w:rsid w:val="00A030CE"/>
    <w:rsid w:val="00B40067"/>
    <w:rsid w:val="00BD418C"/>
    <w:rsid w:val="00C679A5"/>
    <w:rsid w:val="00CA14D2"/>
    <w:rsid w:val="00CE240B"/>
    <w:rsid w:val="00CE303D"/>
    <w:rsid w:val="00D116C0"/>
    <w:rsid w:val="00D90C42"/>
    <w:rsid w:val="00D91270"/>
    <w:rsid w:val="00EC2948"/>
    <w:rsid w:val="00EE50EC"/>
    <w:rsid w:val="00F169C7"/>
    <w:rsid w:val="00FA3FCF"/>
    <w:rsid w:val="00FC46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99"/>
    <w:qFormat/>
    <w:rsid w:val="006758B2"/>
    <w:pPr>
      <w:spacing w:after="240" w:line="240" w:lineRule="auto"/>
    </w:pPr>
    <w:rPr>
      <w:rFonts w:asciiTheme="majorHAnsi" w:eastAsiaTheme="majorEastAsia" w:hAnsiTheme="majorHAnsi" w:cstheme="majorBidi"/>
      <w:b/>
      <w:color w:val="4F81BD" w:themeColor="accent1"/>
      <w:sz w:val="64"/>
      <w:szCs w:val="52"/>
    </w:rPr>
  </w:style>
  <w:style w:type="character" w:customStyle="1" w:styleId="TitleChar">
    <w:name w:val="Title Char"/>
    <w:basedOn w:val="DefaultParagraphFont"/>
    <w:link w:val="Title"/>
    <w:uiPriority w:val="99"/>
    <w:rsid w:val="006758B2"/>
    <w:rPr>
      <w:rFonts w:asciiTheme="majorHAnsi" w:eastAsiaTheme="majorEastAsia" w:hAnsiTheme="majorHAnsi" w:cstheme="majorBidi"/>
      <w:b/>
      <w:color w:val="4F81BD" w:themeColor="accent1"/>
      <w:sz w:val="64"/>
      <w:szCs w:val="52"/>
    </w:rPr>
  </w:style>
  <w:style w:type="paragraph" w:styleId="Subtitle">
    <w:name w:val="Subtitle"/>
    <w:basedOn w:val="Normal"/>
    <w:next w:val="Normal"/>
    <w:link w:val="SubtitleChar"/>
    <w:uiPriority w:val="11"/>
    <w:qFormat/>
    <w:rsid w:val="00FA3F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A3FCF"/>
    <w:rPr>
      <w:rFonts w:asciiTheme="majorHAnsi" w:eastAsiaTheme="majorEastAsia" w:hAnsiTheme="majorHAnsi" w:cstheme="majorBidi"/>
      <w:i/>
      <w:iCs/>
      <w:color w:val="4F81BD" w:themeColor="accent1"/>
      <w:spacing w:val="15"/>
      <w:sz w:val="24"/>
      <w:szCs w:val="24"/>
    </w:rPr>
  </w:style>
  <w:style w:type="paragraph" w:customStyle="1" w:styleId="BFF000E512854666AE6F218B145D5C9C">
    <w:name w:val="BFF000E512854666AE6F218B145D5C9C"/>
    <w:rsid w:val="00FA3FCF"/>
  </w:style>
  <w:style w:type="paragraph" w:customStyle="1" w:styleId="347E36D82EE544379E04AE4B36DB282E">
    <w:name w:val="347E36D82EE544379E04AE4B36DB282E"/>
    <w:rsid w:val="00FA3FCF"/>
  </w:style>
  <w:style w:type="paragraph" w:customStyle="1" w:styleId="B006D577134649B48DA7C05B11D4AA10">
    <w:name w:val="B006D577134649B48DA7C05B11D4AA10"/>
    <w:rsid w:val="00FA3FCF"/>
  </w:style>
  <w:style w:type="paragraph" w:customStyle="1" w:styleId="206C212A785545CDA75AD161A5AFB2E5">
    <w:name w:val="206C212A785545CDA75AD161A5AFB2E5"/>
    <w:rsid w:val="00FA3FCF"/>
  </w:style>
  <w:style w:type="paragraph" w:customStyle="1" w:styleId="8CA0176A78FE40E8AA7BCB6E8979E2A1">
    <w:name w:val="8CA0176A78FE40E8AA7BCB6E8979E2A1"/>
    <w:rsid w:val="00FA3FCF"/>
  </w:style>
  <w:style w:type="paragraph" w:customStyle="1" w:styleId="86EAB3D9E79848F085527DC44BFB98B4">
    <w:name w:val="86EAB3D9E79848F085527DC44BFB98B4"/>
    <w:rsid w:val="00FA3FCF"/>
  </w:style>
  <w:style w:type="paragraph" w:customStyle="1" w:styleId="293327BEA8DF44369A3D2F34777A422E">
    <w:name w:val="293327BEA8DF44369A3D2F34777A422E"/>
    <w:rsid w:val="00FA3FCF"/>
  </w:style>
  <w:style w:type="paragraph" w:customStyle="1" w:styleId="31ABF4A8F6494421A1B28A05192D4726">
    <w:name w:val="31ABF4A8F6494421A1B28A05192D4726"/>
    <w:rsid w:val="00FA3FCF"/>
  </w:style>
  <w:style w:type="paragraph" w:customStyle="1" w:styleId="4A348517005A4D52806D3AAACBD9E53F">
    <w:name w:val="4A348517005A4D52806D3AAACBD9E53F"/>
    <w:rsid w:val="00FA3FCF"/>
  </w:style>
  <w:style w:type="paragraph" w:customStyle="1" w:styleId="E27C21F7E7334138BA55CBF0639FBD01">
    <w:name w:val="E27C21F7E7334138BA55CBF0639FBD01"/>
    <w:rsid w:val="006758B2"/>
  </w:style>
  <w:style w:type="paragraph" w:customStyle="1" w:styleId="5D8613A0827A42339D70B59561BED5B5">
    <w:name w:val="5D8613A0827A42339D70B59561BED5B5"/>
    <w:rsid w:val="006758B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99"/>
    <w:qFormat/>
    <w:rsid w:val="006758B2"/>
    <w:pPr>
      <w:spacing w:after="240" w:line="240" w:lineRule="auto"/>
    </w:pPr>
    <w:rPr>
      <w:rFonts w:asciiTheme="majorHAnsi" w:eastAsiaTheme="majorEastAsia" w:hAnsiTheme="majorHAnsi" w:cstheme="majorBidi"/>
      <w:b/>
      <w:color w:val="4F81BD" w:themeColor="accent1"/>
      <w:sz w:val="64"/>
      <w:szCs w:val="52"/>
    </w:rPr>
  </w:style>
  <w:style w:type="character" w:customStyle="1" w:styleId="TitleChar">
    <w:name w:val="Title Char"/>
    <w:basedOn w:val="DefaultParagraphFont"/>
    <w:link w:val="Title"/>
    <w:uiPriority w:val="99"/>
    <w:rsid w:val="006758B2"/>
    <w:rPr>
      <w:rFonts w:asciiTheme="majorHAnsi" w:eastAsiaTheme="majorEastAsia" w:hAnsiTheme="majorHAnsi" w:cstheme="majorBidi"/>
      <w:b/>
      <w:color w:val="4F81BD" w:themeColor="accent1"/>
      <w:sz w:val="64"/>
      <w:szCs w:val="52"/>
    </w:rPr>
  </w:style>
  <w:style w:type="paragraph" w:styleId="Subtitle">
    <w:name w:val="Subtitle"/>
    <w:basedOn w:val="Normal"/>
    <w:next w:val="Normal"/>
    <w:link w:val="SubtitleChar"/>
    <w:uiPriority w:val="11"/>
    <w:qFormat/>
    <w:rsid w:val="00FA3F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A3FCF"/>
    <w:rPr>
      <w:rFonts w:asciiTheme="majorHAnsi" w:eastAsiaTheme="majorEastAsia" w:hAnsiTheme="majorHAnsi" w:cstheme="majorBidi"/>
      <w:i/>
      <w:iCs/>
      <w:color w:val="4F81BD" w:themeColor="accent1"/>
      <w:spacing w:val="15"/>
      <w:sz w:val="24"/>
      <w:szCs w:val="24"/>
    </w:rPr>
  </w:style>
  <w:style w:type="paragraph" w:customStyle="1" w:styleId="BFF000E512854666AE6F218B145D5C9C">
    <w:name w:val="BFF000E512854666AE6F218B145D5C9C"/>
    <w:rsid w:val="00FA3FCF"/>
  </w:style>
  <w:style w:type="paragraph" w:customStyle="1" w:styleId="347E36D82EE544379E04AE4B36DB282E">
    <w:name w:val="347E36D82EE544379E04AE4B36DB282E"/>
    <w:rsid w:val="00FA3FCF"/>
  </w:style>
  <w:style w:type="paragraph" w:customStyle="1" w:styleId="B006D577134649B48DA7C05B11D4AA10">
    <w:name w:val="B006D577134649B48DA7C05B11D4AA10"/>
    <w:rsid w:val="00FA3FCF"/>
  </w:style>
  <w:style w:type="paragraph" w:customStyle="1" w:styleId="206C212A785545CDA75AD161A5AFB2E5">
    <w:name w:val="206C212A785545CDA75AD161A5AFB2E5"/>
    <w:rsid w:val="00FA3FCF"/>
  </w:style>
  <w:style w:type="paragraph" w:customStyle="1" w:styleId="8CA0176A78FE40E8AA7BCB6E8979E2A1">
    <w:name w:val="8CA0176A78FE40E8AA7BCB6E8979E2A1"/>
    <w:rsid w:val="00FA3FCF"/>
  </w:style>
  <w:style w:type="paragraph" w:customStyle="1" w:styleId="86EAB3D9E79848F085527DC44BFB98B4">
    <w:name w:val="86EAB3D9E79848F085527DC44BFB98B4"/>
    <w:rsid w:val="00FA3FCF"/>
  </w:style>
  <w:style w:type="paragraph" w:customStyle="1" w:styleId="293327BEA8DF44369A3D2F34777A422E">
    <w:name w:val="293327BEA8DF44369A3D2F34777A422E"/>
    <w:rsid w:val="00FA3FCF"/>
  </w:style>
  <w:style w:type="paragraph" w:customStyle="1" w:styleId="31ABF4A8F6494421A1B28A05192D4726">
    <w:name w:val="31ABF4A8F6494421A1B28A05192D4726"/>
    <w:rsid w:val="00FA3FCF"/>
  </w:style>
  <w:style w:type="paragraph" w:customStyle="1" w:styleId="4A348517005A4D52806D3AAACBD9E53F">
    <w:name w:val="4A348517005A4D52806D3AAACBD9E53F"/>
    <w:rsid w:val="00FA3FCF"/>
  </w:style>
  <w:style w:type="paragraph" w:customStyle="1" w:styleId="E27C21F7E7334138BA55CBF0639FBD01">
    <w:name w:val="E27C21F7E7334138BA55CBF0639FBD01"/>
    <w:rsid w:val="006758B2"/>
  </w:style>
  <w:style w:type="paragraph" w:customStyle="1" w:styleId="5D8613A0827A42339D70B59561BED5B5">
    <w:name w:val="5D8613A0827A42339D70B59561BED5B5"/>
    <w:rsid w:val="006758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QSA">
      <a:dk1>
        <a:sysClr val="windowText" lastClr="000000"/>
      </a:dk1>
      <a:lt1>
        <a:sysClr val="window" lastClr="FFFFFF"/>
      </a:lt1>
      <a:dk2>
        <a:srgbClr val="7F7F7F"/>
      </a:dk2>
      <a:lt2>
        <a:srgbClr val="F2F2F2"/>
      </a:lt2>
      <a:accent1>
        <a:srgbClr val="00948D"/>
      </a:accent1>
      <a:accent2>
        <a:srgbClr val="F1AB00"/>
      </a:accent2>
      <a:accent3>
        <a:srgbClr val="8CC8C9"/>
      </a:accent3>
      <a:accent4>
        <a:srgbClr val="FFDFA4"/>
      </a:accent4>
      <a:accent5>
        <a:srgbClr val="CFE7E6"/>
      </a:accent5>
      <a:accent6>
        <a:srgbClr val="FFF1D9"/>
      </a:accent6>
      <a:hlink>
        <a:srgbClr val="0000FF"/>
      </a:hlink>
      <a:folHlink>
        <a:srgbClr val="800080"/>
      </a:folHlink>
    </a:clrScheme>
    <a:fontScheme name="QC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root>
  <subtitle/>
</root>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b:Sources xmlns:b="http://schemas.openxmlformats.org/officeDocument/2006/bibliography" xmlns="http://schemas.openxmlformats.org/officeDocument/2006/bibliography" SelectedStyle="\APA.XSL" StyleName="APA">
</b:Sources>
</file>

<file path=customXml/item5.xml><?xml version="1.0" encoding="utf-8"?>
<b:Sources xmlns:b="http://schemas.openxmlformats.org/officeDocument/2006/bibliography" xmlns="http://schemas.openxmlformats.org/officeDocument/2006/bibliography" SelectedStyle="\APA.XSL" StyleName="APA">
</b:Sourc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3D94B3-FABA-4E1E-B14F-6D1E722A4B5A}">
  <ds:schemaRefs/>
</ds:datastoreItem>
</file>

<file path=customXml/itemProps3.xml><?xml version="1.0" encoding="utf-8"?>
<ds:datastoreItem xmlns:ds="http://schemas.openxmlformats.org/officeDocument/2006/customXml" ds:itemID="{E78C8132-7F50-43E8-8D51-786138464A36}">
  <ds:schemaRefs>
    <ds:schemaRef ds:uri="http://schemas.openxmlformats.org/officeDocument/2006/bibliography"/>
  </ds:schemaRefs>
</ds:datastoreItem>
</file>

<file path=customXml/itemProps4.xml><?xml version="1.0" encoding="utf-8"?>
<ds:datastoreItem xmlns:ds="http://schemas.openxmlformats.org/officeDocument/2006/customXml" ds:itemID="{700D18A2-4CAA-41D2-B2D7-392E0C1DFCCE}">
  <ds:schemaRefs>
    <ds:schemaRef ds:uri="http://schemas.openxmlformats.org/officeDocument/2006/bibliography"/>
  </ds:schemaRefs>
</ds:datastoreItem>
</file>

<file path=customXml/itemProps5.xml><?xml version="1.0" encoding="utf-8"?>
<ds:datastoreItem xmlns:ds="http://schemas.openxmlformats.org/officeDocument/2006/customXml" ds:itemID="{D2199686-4A26-4CAC-84B0-05CA3A06CB4F}">
  <ds:schemaRefs>
    <ds:schemaRef ds:uri="http://schemas.openxmlformats.org/officeDocument/2006/bibliography"/>
  </ds:schemaRefs>
</ds:datastoreItem>
</file>

<file path=customXml/itemProps6.xml><?xml version="1.0" encoding="utf-8"?>
<ds:datastoreItem xmlns:ds="http://schemas.openxmlformats.org/officeDocument/2006/customXml" ds:itemID="{7925D730-3465-4916-B45D-928988E8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60</Pages>
  <Words>18429</Words>
  <Characters>114283</Characters>
  <Application>Microsoft Office Word</Application>
  <DocSecurity>8</DocSecurity>
  <Lines>5714</Lines>
  <Paragraphs>2823</Paragraphs>
  <ScaleCrop>false</ScaleCrop>
  <HeadingPairs>
    <vt:vector size="2" baseType="variant">
      <vt:variant>
        <vt:lpstr>Title</vt:lpstr>
      </vt:variant>
      <vt:variant>
        <vt:i4>1</vt:i4>
      </vt:variant>
    </vt:vector>
  </HeadingPairs>
  <TitlesOfParts>
    <vt:vector size="1" baseType="lpstr">
      <vt:lpstr>Annual report 2013–14</vt:lpstr>
    </vt:vector>
  </TitlesOfParts>
  <Company>Queensland Studies Authority</Company>
  <LinksUpToDate>false</LinksUpToDate>
  <CharactersWithSpaces>129889</CharactersWithSpaces>
  <SharedDoc>false</SharedDoc>
  <HLinks>
    <vt:vector size="42" baseType="variant">
      <vt:variant>
        <vt:i4>7340144</vt:i4>
      </vt:variant>
      <vt:variant>
        <vt:i4>42</vt:i4>
      </vt:variant>
      <vt:variant>
        <vt:i4>0</vt:i4>
      </vt:variant>
      <vt:variant>
        <vt:i4>5</vt:i4>
      </vt:variant>
      <vt:variant>
        <vt:lpwstr>http://www.qsa.qld.edu.au/</vt:lpwstr>
      </vt:variant>
      <vt:variant>
        <vt:lpwstr/>
      </vt:variant>
      <vt:variant>
        <vt:i4>1310773</vt:i4>
      </vt:variant>
      <vt:variant>
        <vt:i4>35</vt:i4>
      </vt:variant>
      <vt:variant>
        <vt:i4>0</vt:i4>
      </vt:variant>
      <vt:variant>
        <vt:i4>5</vt:i4>
      </vt:variant>
      <vt:variant>
        <vt:lpwstr/>
      </vt:variant>
      <vt:variant>
        <vt:lpwstr>_Toc245629087</vt:lpwstr>
      </vt:variant>
      <vt:variant>
        <vt:i4>1310773</vt:i4>
      </vt:variant>
      <vt:variant>
        <vt:i4>29</vt:i4>
      </vt:variant>
      <vt:variant>
        <vt:i4>0</vt:i4>
      </vt:variant>
      <vt:variant>
        <vt:i4>5</vt:i4>
      </vt:variant>
      <vt:variant>
        <vt:lpwstr/>
      </vt:variant>
      <vt:variant>
        <vt:lpwstr>_Toc245629086</vt:lpwstr>
      </vt:variant>
      <vt:variant>
        <vt:i4>1310773</vt:i4>
      </vt:variant>
      <vt:variant>
        <vt:i4>23</vt:i4>
      </vt:variant>
      <vt:variant>
        <vt:i4>0</vt:i4>
      </vt:variant>
      <vt:variant>
        <vt:i4>5</vt:i4>
      </vt:variant>
      <vt:variant>
        <vt:lpwstr/>
      </vt:variant>
      <vt:variant>
        <vt:lpwstr>_Toc245629085</vt:lpwstr>
      </vt:variant>
      <vt:variant>
        <vt:i4>1310773</vt:i4>
      </vt:variant>
      <vt:variant>
        <vt:i4>17</vt:i4>
      </vt:variant>
      <vt:variant>
        <vt:i4>0</vt:i4>
      </vt:variant>
      <vt:variant>
        <vt:i4>5</vt:i4>
      </vt:variant>
      <vt:variant>
        <vt:lpwstr/>
      </vt:variant>
      <vt:variant>
        <vt:lpwstr>_Toc245629084</vt:lpwstr>
      </vt:variant>
      <vt:variant>
        <vt:i4>1310773</vt:i4>
      </vt:variant>
      <vt:variant>
        <vt:i4>11</vt:i4>
      </vt:variant>
      <vt:variant>
        <vt:i4>0</vt:i4>
      </vt:variant>
      <vt:variant>
        <vt:i4>5</vt:i4>
      </vt:variant>
      <vt:variant>
        <vt:lpwstr/>
      </vt:variant>
      <vt:variant>
        <vt:lpwstr>_Toc245629083</vt:lpwstr>
      </vt:variant>
      <vt:variant>
        <vt:i4>1310773</vt:i4>
      </vt:variant>
      <vt:variant>
        <vt:i4>5</vt:i4>
      </vt:variant>
      <vt:variant>
        <vt:i4>0</vt:i4>
      </vt:variant>
      <vt:variant>
        <vt:i4>5</vt:i4>
      </vt:variant>
      <vt:variant>
        <vt:lpwstr/>
      </vt:variant>
      <vt:variant>
        <vt:lpwstr>_Toc245629082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2013–14</dc:title>
  <dc:subject>Final report for the Queensland Studies Authority</dc:subject>
  <dc:creator>Queensland Studies Authority</dc:creator>
  <cp:lastModifiedBy>Editor GH</cp:lastModifiedBy>
  <cp:revision>24</cp:revision>
  <cp:lastPrinted>2014-09-04T00:23:00Z</cp:lastPrinted>
  <dcterms:created xsi:type="dcterms:W3CDTF">2014-09-02T04:54:00Z</dcterms:created>
  <dcterms:modified xsi:type="dcterms:W3CDTF">2014-09-04T01:14:00Z</dcterms:modified>
  <cp:category>13457</cp:category>
  <cp:contentStatus>R1</cp:contentStatus>
</cp:coreProperties>
</file>